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FC918">
      <w:pPr>
        <w:jc w:val="center"/>
        <w:rPr>
          <w:rFonts w:hint="eastAsia" w:eastAsia="宋体"/>
          <w:b/>
          <w:bCs/>
          <w:lang w:val="en-US" w:eastAsia="zh-CN"/>
        </w:rPr>
      </w:pPr>
      <w:bookmarkStart w:id="0" w:name="_Toc404899751"/>
      <w:bookmarkStart w:id="1" w:name="_Toc10043"/>
    </w:p>
    <w:p w14:paraId="26224848"/>
    <w:p w14:paraId="0C3BAC3B">
      <w:pPr>
        <w:jc w:val="center"/>
        <w:rPr>
          <w:rFonts w:eastAsia="黑体"/>
          <w:b/>
          <w:sz w:val="52"/>
          <w:szCs w:val="52"/>
        </w:rPr>
      </w:pPr>
    </w:p>
    <w:p w14:paraId="684AFE24">
      <w:pPr>
        <w:jc w:val="center"/>
        <w:rPr>
          <w:rFonts w:eastAsia="黑体"/>
          <w:sz w:val="36"/>
          <w:szCs w:val="36"/>
        </w:rPr>
      </w:pPr>
      <w:r>
        <w:rPr>
          <w:rFonts w:eastAsia="黑体"/>
          <w:sz w:val="36"/>
          <w:szCs w:val="36"/>
        </w:rPr>
        <w:t>核技术利用建设项目</w:t>
      </w:r>
    </w:p>
    <w:p w14:paraId="20049973">
      <w:pPr>
        <w:jc w:val="center"/>
        <w:rPr>
          <w:rFonts w:eastAsia="仿宋_GB2312"/>
          <w:b/>
          <w:sz w:val="28"/>
          <w:szCs w:val="28"/>
        </w:rPr>
      </w:pPr>
    </w:p>
    <w:p w14:paraId="1934BE6E">
      <w:pPr>
        <w:jc w:val="center"/>
        <w:rPr>
          <w:rFonts w:eastAsia="黑体"/>
          <w:bCs/>
          <w:sz w:val="48"/>
          <w:szCs w:val="48"/>
        </w:rPr>
      </w:pPr>
      <w:r>
        <w:rPr>
          <w:rFonts w:hint="eastAsia" w:eastAsia="黑体"/>
          <w:bCs/>
          <w:sz w:val="48"/>
          <w:szCs w:val="48"/>
          <w:lang w:eastAsia="zh-CN"/>
        </w:rPr>
        <w:t>四川天府新区人民医院新院区核技术利用项目</w:t>
      </w:r>
    </w:p>
    <w:p w14:paraId="177A43D3">
      <w:pPr>
        <w:jc w:val="center"/>
        <w:rPr>
          <w:rFonts w:eastAsia="仿宋_GB2312"/>
          <w:b/>
          <w:sz w:val="28"/>
          <w:szCs w:val="28"/>
        </w:rPr>
      </w:pPr>
      <w:r>
        <w:rPr>
          <w:rFonts w:hint="eastAsia" w:eastAsia="仿宋_GB2312"/>
          <w:b/>
          <w:sz w:val="28"/>
          <w:szCs w:val="28"/>
        </w:rPr>
        <w:t xml:space="preserve"> </w:t>
      </w:r>
    </w:p>
    <w:p w14:paraId="4888C287">
      <w:pPr>
        <w:jc w:val="center"/>
        <w:rPr>
          <w:rFonts w:eastAsia="黑体"/>
          <w:bCs/>
          <w:sz w:val="48"/>
          <w:szCs w:val="48"/>
        </w:rPr>
      </w:pPr>
      <w:r>
        <w:rPr>
          <w:rFonts w:eastAsia="黑体"/>
          <w:bCs/>
          <w:sz w:val="48"/>
          <w:szCs w:val="48"/>
        </w:rPr>
        <w:t>环境影响报告表</w:t>
      </w:r>
    </w:p>
    <w:p w14:paraId="419B9CD2">
      <w:pPr>
        <w:jc w:val="center"/>
      </w:pPr>
      <w:r>
        <w:rPr>
          <w:sz w:val="30"/>
          <w:szCs w:val="30"/>
        </w:rPr>
        <w:t>（</w:t>
      </w:r>
      <w:r>
        <w:rPr>
          <w:rFonts w:hint="eastAsia"/>
          <w:sz w:val="30"/>
          <w:szCs w:val="30"/>
          <w:lang w:val="en-US" w:eastAsia="zh-CN"/>
        </w:rPr>
        <w:t>公示版</w:t>
      </w:r>
      <w:r>
        <w:rPr>
          <w:sz w:val="30"/>
          <w:szCs w:val="30"/>
        </w:rPr>
        <w:t>）</w:t>
      </w:r>
    </w:p>
    <w:p w14:paraId="09DBEDB9">
      <w:pPr>
        <w:jc w:val="center"/>
        <w:rPr>
          <w:rFonts w:eastAsia="仿宋_GB2312"/>
          <w:b/>
          <w:sz w:val="28"/>
          <w:szCs w:val="28"/>
        </w:rPr>
      </w:pPr>
    </w:p>
    <w:p w14:paraId="553B85FB">
      <w:pPr>
        <w:jc w:val="center"/>
        <w:rPr>
          <w:rFonts w:eastAsia="仿宋_GB2312"/>
          <w:b/>
          <w:sz w:val="28"/>
          <w:szCs w:val="28"/>
        </w:rPr>
      </w:pPr>
    </w:p>
    <w:p w14:paraId="678FDBBA">
      <w:pPr>
        <w:jc w:val="center"/>
        <w:rPr>
          <w:rFonts w:eastAsia="仿宋_GB2312"/>
          <w:b/>
          <w:sz w:val="28"/>
          <w:szCs w:val="28"/>
        </w:rPr>
      </w:pPr>
    </w:p>
    <w:p w14:paraId="14ED5DD7">
      <w:pPr>
        <w:jc w:val="center"/>
        <w:rPr>
          <w:rFonts w:eastAsia="仿宋_GB2312"/>
          <w:b/>
          <w:sz w:val="28"/>
          <w:szCs w:val="28"/>
        </w:rPr>
      </w:pPr>
    </w:p>
    <w:p w14:paraId="7135D0D4">
      <w:pPr>
        <w:jc w:val="center"/>
        <w:rPr>
          <w:rFonts w:eastAsia="仿宋_GB2312"/>
          <w:b/>
          <w:sz w:val="28"/>
          <w:szCs w:val="28"/>
        </w:rPr>
      </w:pPr>
    </w:p>
    <w:p w14:paraId="3899390C">
      <w:pPr>
        <w:jc w:val="center"/>
        <w:rPr>
          <w:rFonts w:eastAsia="仿宋_GB2312"/>
          <w:b/>
          <w:sz w:val="28"/>
          <w:szCs w:val="28"/>
        </w:rPr>
      </w:pPr>
    </w:p>
    <w:p w14:paraId="692E47B7">
      <w:pPr>
        <w:jc w:val="center"/>
        <w:rPr>
          <w:rFonts w:eastAsia="仿宋_GB2312"/>
          <w:b/>
          <w:sz w:val="28"/>
          <w:szCs w:val="28"/>
        </w:rPr>
      </w:pPr>
    </w:p>
    <w:p w14:paraId="2F8226D3">
      <w:pPr>
        <w:jc w:val="center"/>
        <w:rPr>
          <w:rFonts w:eastAsia="仿宋_GB2312"/>
          <w:b/>
          <w:sz w:val="28"/>
          <w:szCs w:val="28"/>
        </w:rPr>
      </w:pPr>
    </w:p>
    <w:p w14:paraId="2F184359">
      <w:pPr>
        <w:jc w:val="center"/>
        <w:rPr>
          <w:rFonts w:eastAsia="仿宋_GB2312"/>
          <w:b/>
          <w:sz w:val="28"/>
          <w:szCs w:val="28"/>
        </w:rPr>
      </w:pPr>
    </w:p>
    <w:p w14:paraId="50DC66E0">
      <w:pPr>
        <w:rPr>
          <w:rFonts w:eastAsia="仿宋_GB2312"/>
          <w:b/>
          <w:sz w:val="28"/>
          <w:szCs w:val="28"/>
        </w:rPr>
      </w:pPr>
    </w:p>
    <w:p w14:paraId="32638C66">
      <w:pPr>
        <w:jc w:val="center"/>
        <w:rPr>
          <w:rFonts w:eastAsia="仿宋_GB2312"/>
          <w:b/>
          <w:sz w:val="28"/>
          <w:szCs w:val="28"/>
        </w:rPr>
      </w:pPr>
    </w:p>
    <w:p w14:paraId="300DE38C">
      <w:pPr>
        <w:jc w:val="center"/>
        <w:rPr>
          <w:rFonts w:hint="eastAsia" w:eastAsia="黑体"/>
          <w:b/>
          <w:sz w:val="28"/>
          <w:szCs w:val="28"/>
          <w:lang w:eastAsia="zh-CN"/>
        </w:rPr>
      </w:pPr>
      <w:r>
        <w:rPr>
          <w:rFonts w:hint="eastAsia" w:eastAsia="黑体"/>
          <w:bCs/>
          <w:sz w:val="32"/>
          <w:szCs w:val="32"/>
          <w:lang w:eastAsia="zh-CN"/>
        </w:rPr>
        <w:t>四川天府新区人民医院</w:t>
      </w:r>
    </w:p>
    <w:p w14:paraId="1FDF3812">
      <w:pPr>
        <w:jc w:val="center"/>
        <w:rPr>
          <w:rFonts w:eastAsia="黑体"/>
          <w:bCs/>
          <w:sz w:val="32"/>
          <w:szCs w:val="32"/>
        </w:rPr>
      </w:pPr>
      <w:r>
        <w:rPr>
          <w:rFonts w:eastAsia="黑体"/>
          <w:bCs/>
          <w:sz w:val="32"/>
          <w:szCs w:val="32"/>
        </w:rPr>
        <w:t>202</w:t>
      </w:r>
      <w:r>
        <w:rPr>
          <w:rFonts w:hint="eastAsia" w:eastAsia="黑体"/>
          <w:bCs/>
          <w:sz w:val="32"/>
          <w:szCs w:val="32"/>
          <w:lang w:val="en-US" w:eastAsia="zh-CN"/>
        </w:rPr>
        <w:t>6</w:t>
      </w:r>
      <w:r>
        <w:rPr>
          <w:rFonts w:eastAsia="黑体"/>
          <w:bCs/>
          <w:sz w:val="32"/>
          <w:szCs w:val="32"/>
        </w:rPr>
        <w:t>年</w:t>
      </w:r>
      <w:r>
        <w:rPr>
          <w:rFonts w:hint="eastAsia" w:eastAsia="黑体"/>
          <w:bCs/>
          <w:sz w:val="32"/>
          <w:szCs w:val="32"/>
          <w:lang w:val="en-US" w:eastAsia="zh-CN"/>
        </w:rPr>
        <w:t>9</w:t>
      </w:r>
      <w:r>
        <w:rPr>
          <w:rFonts w:eastAsia="黑体"/>
          <w:bCs/>
          <w:sz w:val="32"/>
          <w:szCs w:val="32"/>
        </w:rPr>
        <w:t>月</w:t>
      </w:r>
    </w:p>
    <w:p w14:paraId="5176C595">
      <w:pPr>
        <w:jc w:val="center"/>
        <w:rPr>
          <w:sz w:val="32"/>
          <w:szCs w:val="32"/>
        </w:rPr>
      </w:pPr>
      <w:r>
        <w:rPr>
          <w:rFonts w:eastAsia="黑体"/>
          <w:bCs/>
          <w:sz w:val="32"/>
          <w:szCs w:val="32"/>
        </w:rPr>
        <w:t>生态环境部监制</w:t>
      </w:r>
    </w:p>
    <w:p w14:paraId="5486C410">
      <w:pPr>
        <w:jc w:val="center"/>
        <w:rPr>
          <w:rFonts w:eastAsia="黑体"/>
          <w:sz w:val="36"/>
          <w:szCs w:val="36"/>
        </w:rPr>
      </w:pPr>
    </w:p>
    <w:p w14:paraId="511C78F9">
      <w:pPr>
        <w:jc w:val="center"/>
        <w:rPr>
          <w:rFonts w:eastAsia="黑体"/>
          <w:sz w:val="36"/>
          <w:szCs w:val="36"/>
        </w:rPr>
      </w:pPr>
    </w:p>
    <w:p w14:paraId="4C59B628"/>
    <w:p w14:paraId="28AE043C">
      <w:pPr>
        <w:jc w:val="left"/>
        <w:sectPr>
          <w:footerReference r:id="rId5" w:type="default"/>
          <w:pgSz w:w="11907" w:h="16839"/>
          <w:pgMar w:top="1106" w:right="1800" w:bottom="1276" w:left="1803" w:header="851" w:footer="567" w:gutter="0"/>
          <w:pgBorders>
            <w:top w:val="none" w:sz="0" w:space="0"/>
            <w:left w:val="none" w:sz="0" w:space="0"/>
            <w:bottom w:val="none" w:sz="0" w:space="0"/>
            <w:right w:val="none" w:sz="0" w:space="0"/>
          </w:pgBorders>
          <w:pgNumType w:start="1"/>
          <w:cols w:space="720" w:num="1"/>
          <w:docGrid w:linePitch="360" w:charSpace="0"/>
        </w:sectPr>
      </w:pPr>
    </w:p>
    <w:p w14:paraId="36E53442">
      <w:pPr>
        <w:jc w:val="left"/>
      </w:pPr>
    </w:p>
    <w:p w14:paraId="1212A63D">
      <w:pPr>
        <w:jc w:val="left"/>
      </w:pPr>
    </w:p>
    <w:p w14:paraId="708038F7">
      <w:pPr>
        <w:jc w:val="center"/>
        <w:rPr>
          <w:rFonts w:eastAsia="黑体"/>
          <w:sz w:val="36"/>
          <w:szCs w:val="36"/>
        </w:rPr>
      </w:pPr>
      <w:r>
        <w:rPr>
          <w:rFonts w:eastAsia="黑体"/>
          <w:sz w:val="36"/>
          <w:szCs w:val="36"/>
        </w:rPr>
        <w:t>核技术利用建设项目</w:t>
      </w:r>
    </w:p>
    <w:p w14:paraId="02164E86">
      <w:pPr>
        <w:jc w:val="center"/>
        <w:rPr>
          <w:rFonts w:eastAsia="仿宋_GB2312"/>
          <w:b/>
          <w:sz w:val="28"/>
          <w:szCs w:val="28"/>
        </w:rPr>
      </w:pPr>
    </w:p>
    <w:p w14:paraId="2257241A">
      <w:pPr>
        <w:jc w:val="center"/>
        <w:rPr>
          <w:rFonts w:eastAsia="黑体"/>
          <w:bCs/>
          <w:sz w:val="48"/>
          <w:szCs w:val="48"/>
        </w:rPr>
      </w:pPr>
      <w:r>
        <w:rPr>
          <w:rFonts w:hint="eastAsia" w:eastAsia="黑体"/>
          <w:bCs/>
          <w:sz w:val="48"/>
          <w:szCs w:val="48"/>
          <w:lang w:eastAsia="zh-CN"/>
        </w:rPr>
        <w:t>四川天府新区人民医院新院区核技术利用项目</w:t>
      </w:r>
    </w:p>
    <w:p w14:paraId="0410C1FB">
      <w:pPr>
        <w:jc w:val="center"/>
        <w:rPr>
          <w:rFonts w:eastAsia="仿宋_GB2312"/>
          <w:b/>
          <w:sz w:val="48"/>
          <w:szCs w:val="48"/>
        </w:rPr>
      </w:pPr>
    </w:p>
    <w:p w14:paraId="11EE6712">
      <w:pPr>
        <w:jc w:val="center"/>
        <w:rPr>
          <w:rFonts w:eastAsia="黑体"/>
          <w:bCs/>
          <w:sz w:val="48"/>
          <w:szCs w:val="48"/>
        </w:rPr>
      </w:pPr>
      <w:r>
        <w:rPr>
          <w:rFonts w:eastAsia="黑体"/>
          <w:bCs/>
          <w:sz w:val="48"/>
          <w:szCs w:val="48"/>
        </w:rPr>
        <w:t>环境影响报告表</w:t>
      </w:r>
    </w:p>
    <w:p w14:paraId="01F4C973">
      <w:pPr>
        <w:jc w:val="center"/>
        <w:rPr>
          <w:sz w:val="52"/>
          <w:szCs w:val="52"/>
        </w:rPr>
      </w:pPr>
    </w:p>
    <w:p w14:paraId="26E10530">
      <w:pPr>
        <w:jc w:val="center"/>
        <w:rPr>
          <w:sz w:val="52"/>
          <w:szCs w:val="52"/>
        </w:rPr>
      </w:pPr>
    </w:p>
    <w:p w14:paraId="2190D610">
      <w:pPr>
        <w:jc w:val="center"/>
        <w:rPr>
          <w:sz w:val="52"/>
          <w:szCs w:val="52"/>
        </w:rPr>
      </w:pPr>
    </w:p>
    <w:p w14:paraId="4C70E334">
      <w:pPr>
        <w:jc w:val="center"/>
        <w:rPr>
          <w:sz w:val="52"/>
          <w:szCs w:val="52"/>
        </w:rPr>
      </w:pPr>
    </w:p>
    <w:p w14:paraId="21C90EFE">
      <w:pPr>
        <w:rPr>
          <w:sz w:val="32"/>
          <w:szCs w:val="32"/>
        </w:rPr>
      </w:pPr>
    </w:p>
    <w:p w14:paraId="3950FC97"/>
    <w:p w14:paraId="72F71048"/>
    <w:p w14:paraId="0B389BC9"/>
    <w:p w14:paraId="15BD2ACA"/>
    <w:p w14:paraId="151F46C6">
      <w:pPr>
        <w:jc w:val="left"/>
        <w:rPr>
          <w:rFonts w:hint="eastAsia" w:eastAsia="黑体"/>
          <w:sz w:val="28"/>
          <w:szCs w:val="28"/>
          <w:lang w:eastAsia="zh-CN"/>
        </w:rPr>
      </w:pPr>
      <w:r>
        <w:rPr>
          <w:rFonts w:eastAsia="黑体"/>
          <w:sz w:val="28"/>
          <w:szCs w:val="28"/>
        </w:rPr>
        <w:t>建设单位名称：</w:t>
      </w:r>
      <w:r>
        <w:rPr>
          <w:rFonts w:hint="eastAsia" w:eastAsia="黑体"/>
          <w:sz w:val="28"/>
          <w:szCs w:val="28"/>
          <w:lang w:eastAsia="zh-CN"/>
        </w:rPr>
        <w:t>四川天府新区人民医院</w:t>
      </w:r>
    </w:p>
    <w:p w14:paraId="6BEAE707">
      <w:pPr>
        <w:jc w:val="left"/>
        <w:rPr>
          <w:rFonts w:eastAsia="黑体"/>
          <w:sz w:val="28"/>
          <w:szCs w:val="28"/>
        </w:rPr>
      </w:pPr>
      <w:r>
        <w:rPr>
          <w:rFonts w:eastAsia="黑体"/>
          <w:sz w:val="28"/>
          <w:szCs w:val="28"/>
        </w:rPr>
        <w:t xml:space="preserve">建设单位法人代表（签名或签章）： </w:t>
      </w:r>
    </w:p>
    <w:p w14:paraId="2DADF43A">
      <w:pPr>
        <w:rPr>
          <w:rFonts w:eastAsia="黑体"/>
          <w:sz w:val="28"/>
          <w:szCs w:val="28"/>
        </w:rPr>
      </w:pPr>
      <w:r>
        <w:rPr>
          <w:rFonts w:eastAsia="黑体"/>
          <w:sz w:val="28"/>
          <w:szCs w:val="28"/>
        </w:rPr>
        <w:t>通讯地址：</w:t>
      </w:r>
      <w:r>
        <w:rPr>
          <w:rFonts w:hint="eastAsia" w:eastAsia="黑体"/>
          <w:sz w:val="28"/>
          <w:szCs w:val="28"/>
        </w:rPr>
        <w:t>四川省成都市天府新区华阳街道正北上街97号</w:t>
      </w:r>
    </w:p>
    <w:p w14:paraId="057F1224">
      <w:pPr>
        <w:rPr>
          <w:rFonts w:hint="default" w:eastAsia="黑体"/>
          <w:sz w:val="28"/>
          <w:szCs w:val="28"/>
          <w:highlight w:val="none"/>
          <w:lang w:val="en-US" w:eastAsia="zh-CN"/>
        </w:rPr>
      </w:pPr>
      <w:r>
        <w:rPr>
          <w:rFonts w:eastAsia="黑体"/>
          <w:sz w:val="28"/>
          <w:szCs w:val="28"/>
        </w:rPr>
        <w:t xml:space="preserve">邮政编码：610000                 </w:t>
      </w:r>
      <w:r>
        <w:rPr>
          <w:rFonts w:eastAsia="黑体"/>
          <w:sz w:val="28"/>
          <w:szCs w:val="28"/>
          <w:highlight w:val="none"/>
        </w:rPr>
        <w:t xml:space="preserve">    联系人：</w:t>
      </w:r>
      <w:r>
        <w:rPr>
          <w:rFonts w:hint="eastAsia" w:eastAsia="黑体"/>
          <w:sz w:val="28"/>
          <w:szCs w:val="28"/>
          <w:highlight w:val="none"/>
          <w:lang w:val="en-US" w:eastAsia="zh-CN"/>
        </w:rPr>
        <w:t>陈*</w:t>
      </w:r>
    </w:p>
    <w:p w14:paraId="76E7A3F9">
      <w:pPr>
        <w:rPr>
          <w:rFonts w:eastAsia="黑体"/>
          <w:sz w:val="28"/>
          <w:szCs w:val="28"/>
        </w:rPr>
        <w:sectPr>
          <w:pgSz w:w="11907" w:h="16839"/>
          <w:pgMar w:top="1106" w:right="1800" w:bottom="1276" w:left="1803" w:header="851" w:footer="567" w:gutter="0"/>
          <w:pgBorders>
            <w:top w:val="none" w:sz="0" w:space="0"/>
            <w:left w:val="none" w:sz="0" w:space="0"/>
            <w:bottom w:val="none" w:sz="0" w:space="0"/>
            <w:right w:val="none" w:sz="0" w:space="0"/>
          </w:pgBorders>
          <w:pgNumType w:start="1"/>
          <w:cols w:space="720" w:num="1"/>
          <w:docGrid w:linePitch="360" w:charSpace="0"/>
        </w:sectPr>
      </w:pPr>
      <w:r>
        <w:rPr>
          <w:rFonts w:eastAsia="黑体"/>
          <w:sz w:val="28"/>
          <w:szCs w:val="28"/>
          <w:highlight w:val="none"/>
        </w:rPr>
        <w:t>电子邮箱：</w:t>
      </w:r>
      <w:r>
        <w:rPr>
          <w:rFonts w:hint="eastAsia" w:eastAsia="黑体"/>
          <w:sz w:val="28"/>
          <w:szCs w:val="28"/>
          <w:highlight w:val="none"/>
        </w:rPr>
        <w:t>28</w:t>
      </w:r>
      <w:r>
        <w:rPr>
          <w:rFonts w:hint="eastAsia" w:eastAsia="黑体"/>
          <w:sz w:val="28"/>
          <w:szCs w:val="28"/>
          <w:highlight w:val="none"/>
          <w:lang w:val="en-US" w:eastAsia="zh-CN"/>
        </w:rPr>
        <w:t>*</w:t>
      </w:r>
      <w:r>
        <w:rPr>
          <w:rFonts w:hint="eastAsia" w:eastAsia="黑体"/>
          <w:sz w:val="28"/>
          <w:szCs w:val="28"/>
          <w:highlight w:val="none"/>
        </w:rPr>
        <w:t>36@qq.com</w:t>
      </w:r>
      <w:r>
        <w:rPr>
          <w:rFonts w:eastAsia="黑体"/>
          <w:sz w:val="28"/>
          <w:szCs w:val="28"/>
          <w:highlight w:val="none"/>
        </w:rPr>
        <w:t xml:space="preserve">          联系电话：</w:t>
      </w:r>
      <w:r>
        <w:rPr>
          <w:rFonts w:hint="eastAsia" w:eastAsia="黑体"/>
          <w:sz w:val="28"/>
          <w:szCs w:val="28"/>
          <w:highlight w:val="none"/>
        </w:rPr>
        <w:t>13</w:t>
      </w:r>
      <w:r>
        <w:rPr>
          <w:rFonts w:hint="eastAsia" w:eastAsia="黑体"/>
          <w:sz w:val="28"/>
          <w:szCs w:val="28"/>
          <w:highlight w:val="none"/>
          <w:lang w:val="en-US" w:eastAsia="zh-CN"/>
        </w:rPr>
        <w:t>*</w:t>
      </w:r>
      <w:r>
        <w:rPr>
          <w:rFonts w:hint="eastAsia" w:eastAsia="黑体"/>
          <w:sz w:val="28"/>
          <w:szCs w:val="28"/>
          <w:highlight w:val="none"/>
        </w:rPr>
        <w:t>2</w:t>
      </w:r>
      <w:r>
        <w:rPr>
          <w:rFonts w:eastAsia="黑体"/>
          <w:sz w:val="28"/>
          <w:szCs w:val="28"/>
        </w:rPr>
        <w:br w:type="page" w:clear="all"/>
      </w:r>
    </w:p>
    <w:p w14:paraId="2F8A90CD">
      <w:pPr>
        <w:keepNext/>
        <w:keepLines/>
        <w:tabs>
          <w:tab w:val="left" w:pos="372"/>
          <w:tab w:val="center" w:pos="4513"/>
        </w:tabs>
        <w:spacing w:line="276" w:lineRule="auto"/>
        <w:jc w:val="center"/>
        <w:outlineLvl w:val="0"/>
        <w:rPr>
          <w:rFonts w:eastAsia="黑体"/>
          <w:b/>
          <w:bCs/>
          <w:sz w:val="28"/>
          <w:szCs w:val="44"/>
        </w:rPr>
        <w:sectPr>
          <w:footerReference r:id="rId6" w:type="default"/>
          <w:pgSz w:w="11907" w:h="16839"/>
          <w:pgMar w:top="1418" w:right="1588" w:bottom="1418" w:left="1588" w:header="851" w:footer="567" w:gutter="0"/>
          <w:pgBorders>
            <w:top w:val="none" w:sz="0" w:space="0"/>
            <w:left w:val="none" w:sz="0" w:space="0"/>
            <w:bottom w:val="none" w:sz="0" w:space="0"/>
            <w:right w:val="none" w:sz="0" w:space="0"/>
          </w:pgBorders>
          <w:pgNumType w:start="1"/>
          <w:cols w:space="720" w:num="1"/>
          <w:docGrid w:linePitch="360" w:charSpace="0"/>
        </w:sectPr>
      </w:pPr>
      <w:bookmarkStart w:id="2" w:name="_Toc15991523"/>
      <w:bookmarkStart w:id="3" w:name="_Toc194317388"/>
      <w:bookmarkStart w:id="4" w:name="_Toc449102823"/>
    </w:p>
    <w:bookmarkEnd w:id="0"/>
    <w:bookmarkEnd w:id="1"/>
    <w:bookmarkEnd w:id="2"/>
    <w:bookmarkEnd w:id="3"/>
    <w:bookmarkEnd w:id="4"/>
    <w:p w14:paraId="3C55BD0D">
      <w:pPr>
        <w:keepNext/>
        <w:keepLines/>
        <w:pageBreakBefore/>
        <w:spacing w:line="240" w:lineRule="auto"/>
        <w:outlineLvl w:val="0"/>
        <w:rPr>
          <w:rFonts w:eastAsia="黑体"/>
          <w:bCs/>
        </w:rPr>
      </w:pPr>
      <w:bookmarkStart w:id="5" w:name="_Toc194317389"/>
      <w:r>
        <w:rPr>
          <w:b/>
          <w:bCs/>
          <w:sz w:val="28"/>
          <w:szCs w:val="28"/>
        </w:rPr>
        <w:t>表1：项目基本情况</w:t>
      </w:r>
      <w:bookmarkEnd w:id="5"/>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1247"/>
        <w:gridCol w:w="1113"/>
        <w:gridCol w:w="1549"/>
        <w:gridCol w:w="1142"/>
        <w:gridCol w:w="1226"/>
        <w:gridCol w:w="694"/>
        <w:gridCol w:w="840"/>
      </w:tblGrid>
      <w:tr w14:paraId="4F17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7" w:type="pct"/>
            <w:gridSpan w:val="2"/>
            <w:vAlign w:val="center"/>
          </w:tcPr>
          <w:p w14:paraId="40427CAE">
            <w:pPr>
              <w:spacing w:line="420" w:lineRule="exact"/>
              <w:jc w:val="center"/>
            </w:pPr>
            <w:r>
              <w:t>建设项目名称</w:t>
            </w:r>
          </w:p>
        </w:tc>
        <w:tc>
          <w:tcPr>
            <w:tcW w:w="3763" w:type="pct"/>
            <w:gridSpan w:val="6"/>
            <w:vAlign w:val="center"/>
          </w:tcPr>
          <w:p w14:paraId="51B60629">
            <w:pPr>
              <w:spacing w:line="420" w:lineRule="exact"/>
              <w:jc w:val="center"/>
              <w:rPr>
                <w:bCs/>
              </w:rPr>
            </w:pPr>
            <w:r>
              <w:rPr>
                <w:rFonts w:hint="eastAsia"/>
                <w:bCs/>
                <w:lang w:eastAsia="zh-CN"/>
              </w:rPr>
              <w:t>四川天府新区人民医院新院区核技术利用项目</w:t>
            </w:r>
          </w:p>
        </w:tc>
      </w:tr>
      <w:tr w14:paraId="752C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gridSpan w:val="2"/>
            <w:vAlign w:val="center"/>
          </w:tcPr>
          <w:p w14:paraId="4A6913F2">
            <w:pPr>
              <w:spacing w:line="420" w:lineRule="exact"/>
              <w:jc w:val="center"/>
            </w:pPr>
            <w:r>
              <w:t>建设单位</w:t>
            </w:r>
          </w:p>
        </w:tc>
        <w:tc>
          <w:tcPr>
            <w:tcW w:w="3763" w:type="pct"/>
            <w:gridSpan w:val="6"/>
            <w:vAlign w:val="center"/>
          </w:tcPr>
          <w:p w14:paraId="3C2F1457">
            <w:pPr>
              <w:spacing w:line="420" w:lineRule="exact"/>
              <w:jc w:val="center"/>
              <w:rPr>
                <w:rFonts w:hint="eastAsia" w:eastAsia="宋体"/>
                <w:lang w:eastAsia="zh-CN"/>
              </w:rPr>
            </w:pPr>
            <w:r>
              <w:rPr>
                <w:rFonts w:hint="eastAsia"/>
                <w:bCs/>
                <w:lang w:eastAsia="zh-CN"/>
              </w:rPr>
              <w:t>四川天府新区人民医院</w:t>
            </w:r>
          </w:p>
        </w:tc>
      </w:tr>
      <w:tr w14:paraId="0D99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gridSpan w:val="2"/>
            <w:vAlign w:val="center"/>
          </w:tcPr>
          <w:p w14:paraId="3776CEAB">
            <w:pPr>
              <w:spacing w:line="420" w:lineRule="exact"/>
              <w:jc w:val="center"/>
            </w:pPr>
            <w:r>
              <w:t>法人代表</w:t>
            </w:r>
          </w:p>
        </w:tc>
        <w:tc>
          <w:tcPr>
            <w:tcW w:w="638" w:type="pct"/>
            <w:vAlign w:val="center"/>
          </w:tcPr>
          <w:p w14:paraId="63E3459E">
            <w:pPr>
              <w:spacing w:line="420" w:lineRule="exact"/>
              <w:jc w:val="center"/>
              <w:rPr>
                <w:rFonts w:hint="default" w:eastAsia="宋体"/>
                <w:lang w:val="en-US" w:eastAsia="zh-CN"/>
              </w:rPr>
            </w:pPr>
            <w:r>
              <w:rPr>
                <w:rFonts w:hint="eastAsia"/>
                <w:lang w:val="en-US" w:eastAsia="zh-CN"/>
              </w:rPr>
              <w:t>彭*</w:t>
            </w:r>
          </w:p>
        </w:tc>
        <w:tc>
          <w:tcPr>
            <w:tcW w:w="888" w:type="pct"/>
            <w:vAlign w:val="center"/>
          </w:tcPr>
          <w:p w14:paraId="20F2B3E3">
            <w:pPr>
              <w:spacing w:line="420" w:lineRule="exact"/>
              <w:jc w:val="center"/>
              <w:rPr>
                <w:bCs/>
              </w:rPr>
            </w:pPr>
            <w:r>
              <w:rPr>
                <w:bCs/>
              </w:rPr>
              <w:t>联系人</w:t>
            </w:r>
          </w:p>
        </w:tc>
        <w:tc>
          <w:tcPr>
            <w:tcW w:w="655" w:type="pct"/>
            <w:vAlign w:val="center"/>
          </w:tcPr>
          <w:p w14:paraId="19EBDE1D">
            <w:pPr>
              <w:spacing w:line="420" w:lineRule="exact"/>
              <w:jc w:val="center"/>
              <w:rPr>
                <w:rFonts w:hint="default" w:eastAsia="宋体"/>
                <w:bCs/>
                <w:lang w:val="en-US" w:eastAsia="zh-CN"/>
              </w:rPr>
            </w:pPr>
            <w:r>
              <w:rPr>
                <w:rFonts w:hint="eastAsia"/>
                <w:bCs/>
                <w:highlight w:val="none"/>
                <w:lang w:val="en-US" w:eastAsia="zh-CN"/>
              </w:rPr>
              <w:t>陈</w:t>
            </w:r>
            <w:r>
              <w:rPr>
                <w:rFonts w:hint="eastAsia"/>
                <w:lang w:val="en-US" w:eastAsia="zh-CN"/>
              </w:rPr>
              <w:t>*</w:t>
            </w:r>
          </w:p>
        </w:tc>
        <w:tc>
          <w:tcPr>
            <w:tcW w:w="703" w:type="pct"/>
            <w:vAlign w:val="center"/>
          </w:tcPr>
          <w:p w14:paraId="08B4BF6D">
            <w:pPr>
              <w:spacing w:line="420" w:lineRule="exact"/>
              <w:jc w:val="center"/>
              <w:rPr>
                <w:bCs/>
              </w:rPr>
            </w:pPr>
            <w:r>
              <w:rPr>
                <w:bCs/>
              </w:rPr>
              <w:t>联系电话</w:t>
            </w:r>
          </w:p>
        </w:tc>
        <w:tc>
          <w:tcPr>
            <w:tcW w:w="879" w:type="pct"/>
            <w:gridSpan w:val="2"/>
            <w:vAlign w:val="center"/>
          </w:tcPr>
          <w:p w14:paraId="1920779D">
            <w:pPr>
              <w:spacing w:line="420" w:lineRule="exact"/>
              <w:jc w:val="center"/>
              <w:rPr>
                <w:bCs/>
                <w:spacing w:val="-20"/>
              </w:rPr>
            </w:pPr>
            <w:r>
              <w:rPr>
                <w:rFonts w:hint="eastAsia"/>
                <w:bCs/>
                <w:spacing w:val="-20"/>
              </w:rPr>
              <w:t>13</w:t>
            </w:r>
            <w:r>
              <w:rPr>
                <w:rFonts w:hint="eastAsia"/>
                <w:lang w:val="en-US" w:eastAsia="zh-CN"/>
              </w:rPr>
              <w:t>*</w:t>
            </w:r>
            <w:r>
              <w:rPr>
                <w:rFonts w:hint="eastAsia"/>
                <w:bCs/>
                <w:spacing w:val="-20"/>
              </w:rPr>
              <w:t>2</w:t>
            </w:r>
          </w:p>
        </w:tc>
      </w:tr>
      <w:tr w14:paraId="7FE9B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gridSpan w:val="2"/>
            <w:vAlign w:val="center"/>
          </w:tcPr>
          <w:p w14:paraId="579C21F4">
            <w:pPr>
              <w:spacing w:line="420" w:lineRule="exact"/>
              <w:jc w:val="center"/>
            </w:pPr>
            <w:r>
              <w:t>注册地址</w:t>
            </w:r>
          </w:p>
        </w:tc>
        <w:tc>
          <w:tcPr>
            <w:tcW w:w="3763" w:type="pct"/>
            <w:gridSpan w:val="6"/>
            <w:vAlign w:val="center"/>
          </w:tcPr>
          <w:p w14:paraId="1BCF6F33">
            <w:pPr>
              <w:spacing w:line="420" w:lineRule="exact"/>
              <w:jc w:val="center"/>
              <w:rPr>
                <w:bCs/>
              </w:rPr>
            </w:pPr>
            <w:r>
              <w:rPr>
                <w:rFonts w:hint="eastAsia"/>
              </w:rPr>
              <w:t>四川省成都市天府新区华阳街道正北上街97号</w:t>
            </w:r>
          </w:p>
        </w:tc>
      </w:tr>
      <w:tr w14:paraId="26E0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gridSpan w:val="2"/>
            <w:vAlign w:val="center"/>
          </w:tcPr>
          <w:p w14:paraId="452C3630">
            <w:pPr>
              <w:spacing w:line="420" w:lineRule="exact"/>
              <w:jc w:val="center"/>
            </w:pPr>
            <w:r>
              <w:t>项目建设地点</w:t>
            </w:r>
          </w:p>
        </w:tc>
        <w:tc>
          <w:tcPr>
            <w:tcW w:w="3763" w:type="pct"/>
            <w:gridSpan w:val="6"/>
            <w:tcBorders>
              <w:top w:val="nil"/>
              <w:right w:val="single" w:color="auto" w:sz="4" w:space="0"/>
            </w:tcBorders>
            <w:vAlign w:val="center"/>
          </w:tcPr>
          <w:p w14:paraId="4C279DE3">
            <w:pPr>
              <w:spacing w:line="420" w:lineRule="exact"/>
              <w:jc w:val="center"/>
              <w:rPr>
                <w:bCs/>
              </w:rPr>
            </w:pPr>
            <w:r>
              <w:rPr>
                <w:rFonts w:hint="eastAsia"/>
              </w:rPr>
              <w:t>四川天府新区万安街道高饭店村、开元村（天津路东段）</w:t>
            </w:r>
            <w:r>
              <w:rPr>
                <w:rFonts w:hint="eastAsia"/>
                <w:bCs/>
                <w:spacing w:val="-6"/>
                <w:lang w:eastAsia="zh-CN"/>
              </w:rPr>
              <w:t>四川天府新区人民医院</w:t>
            </w:r>
            <w:r>
              <w:rPr>
                <w:bCs/>
                <w:spacing w:val="-6"/>
              </w:rPr>
              <w:t>内</w:t>
            </w:r>
          </w:p>
        </w:tc>
      </w:tr>
      <w:tr w14:paraId="46CD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gridSpan w:val="2"/>
            <w:vAlign w:val="center"/>
          </w:tcPr>
          <w:p w14:paraId="1E1C013E">
            <w:pPr>
              <w:spacing w:line="420" w:lineRule="exact"/>
              <w:jc w:val="center"/>
            </w:pPr>
            <w:r>
              <w:t>立项审批部门</w:t>
            </w:r>
          </w:p>
        </w:tc>
        <w:tc>
          <w:tcPr>
            <w:tcW w:w="1526" w:type="pct"/>
            <w:gridSpan w:val="2"/>
            <w:vAlign w:val="center"/>
          </w:tcPr>
          <w:p w14:paraId="3368632B">
            <w:pPr>
              <w:spacing w:line="420" w:lineRule="exact"/>
              <w:jc w:val="center"/>
              <w:rPr>
                <w:highlight w:val="none"/>
              </w:rPr>
            </w:pPr>
            <w:r>
              <w:rPr>
                <w:rFonts w:hint="eastAsia"/>
                <w:highlight w:val="none"/>
              </w:rPr>
              <w:t>四川天府新区发展和经济运行局</w:t>
            </w:r>
          </w:p>
        </w:tc>
        <w:tc>
          <w:tcPr>
            <w:tcW w:w="655" w:type="pct"/>
            <w:vAlign w:val="center"/>
          </w:tcPr>
          <w:p w14:paraId="46B13293">
            <w:pPr>
              <w:spacing w:line="420" w:lineRule="exact"/>
              <w:jc w:val="center"/>
              <w:rPr>
                <w:highlight w:val="none"/>
              </w:rPr>
            </w:pPr>
            <w:r>
              <w:rPr>
                <w:highlight w:val="none"/>
              </w:rPr>
              <w:t>批准文号</w:t>
            </w:r>
          </w:p>
        </w:tc>
        <w:tc>
          <w:tcPr>
            <w:tcW w:w="1582" w:type="pct"/>
            <w:gridSpan w:val="3"/>
            <w:tcBorders>
              <w:right w:val="single" w:color="auto" w:sz="4" w:space="0"/>
            </w:tcBorders>
            <w:vAlign w:val="center"/>
          </w:tcPr>
          <w:p w14:paraId="16EE15F5">
            <w:pPr>
              <w:spacing w:line="420" w:lineRule="exact"/>
              <w:jc w:val="center"/>
              <w:rPr>
                <w:highlight w:val="none"/>
              </w:rPr>
            </w:pPr>
            <w:r>
              <w:rPr>
                <w:rFonts w:hint="eastAsia"/>
                <w:highlight w:val="none"/>
              </w:rPr>
              <w:t>川天经审批〔2023〕16号</w:t>
            </w:r>
          </w:p>
        </w:tc>
      </w:tr>
      <w:tr w14:paraId="39AE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7" w:type="pct"/>
            <w:gridSpan w:val="2"/>
            <w:vAlign w:val="center"/>
          </w:tcPr>
          <w:p w14:paraId="479F4CEB">
            <w:pPr>
              <w:spacing w:line="420" w:lineRule="exact"/>
              <w:jc w:val="center"/>
            </w:pPr>
            <w:r>
              <w:t>建设项目总投资（万元）</w:t>
            </w:r>
          </w:p>
        </w:tc>
        <w:tc>
          <w:tcPr>
            <w:tcW w:w="638" w:type="pct"/>
            <w:vAlign w:val="center"/>
          </w:tcPr>
          <w:p w14:paraId="4556B0CF">
            <w:pPr>
              <w:spacing w:line="420" w:lineRule="exact"/>
              <w:jc w:val="center"/>
              <w:rPr>
                <w:rFonts w:hint="default" w:eastAsia="宋体"/>
                <w:spacing w:val="-20"/>
                <w:lang w:val="en-US" w:eastAsia="zh-CN"/>
              </w:rPr>
            </w:pPr>
            <w:r>
              <w:rPr>
                <w:rFonts w:hint="eastAsia"/>
                <w:lang w:val="en-US" w:eastAsia="zh-CN"/>
              </w:rPr>
              <w:t>**</w:t>
            </w:r>
          </w:p>
        </w:tc>
        <w:tc>
          <w:tcPr>
            <w:tcW w:w="888" w:type="pct"/>
            <w:vAlign w:val="center"/>
          </w:tcPr>
          <w:p w14:paraId="29C9BC15">
            <w:pPr>
              <w:spacing w:line="420" w:lineRule="exact"/>
              <w:jc w:val="center"/>
            </w:pPr>
            <w:r>
              <w:t>项目环保投资(万元)</w:t>
            </w:r>
          </w:p>
        </w:tc>
        <w:tc>
          <w:tcPr>
            <w:tcW w:w="655" w:type="pct"/>
            <w:vAlign w:val="center"/>
          </w:tcPr>
          <w:p w14:paraId="3B414506">
            <w:pPr>
              <w:spacing w:line="420" w:lineRule="exact"/>
              <w:jc w:val="center"/>
              <w:rPr>
                <w:rFonts w:hint="default" w:eastAsia="宋体"/>
                <w:highlight w:val="none"/>
                <w:lang w:val="en-US" w:eastAsia="zh-CN"/>
              </w:rPr>
            </w:pPr>
            <w:r>
              <w:rPr>
                <w:rFonts w:hint="eastAsia"/>
                <w:lang w:val="en-US" w:eastAsia="zh-CN"/>
              </w:rPr>
              <w:t>**</w:t>
            </w:r>
          </w:p>
        </w:tc>
        <w:tc>
          <w:tcPr>
            <w:tcW w:w="1101" w:type="pct"/>
            <w:gridSpan w:val="2"/>
            <w:vAlign w:val="center"/>
          </w:tcPr>
          <w:p w14:paraId="5201D763">
            <w:pPr>
              <w:spacing w:line="420" w:lineRule="exact"/>
              <w:jc w:val="center"/>
              <w:rPr>
                <w:highlight w:val="none"/>
              </w:rPr>
            </w:pPr>
            <w:r>
              <w:rPr>
                <w:highlight w:val="none"/>
              </w:rPr>
              <w:t>投资比例（环保投资/总投资）</w:t>
            </w:r>
          </w:p>
        </w:tc>
        <w:tc>
          <w:tcPr>
            <w:tcW w:w="482" w:type="pct"/>
            <w:vAlign w:val="center"/>
          </w:tcPr>
          <w:p w14:paraId="2BB0D37F">
            <w:pPr>
              <w:spacing w:line="420" w:lineRule="exact"/>
              <w:jc w:val="center"/>
              <w:rPr>
                <w:highlight w:val="none"/>
              </w:rPr>
            </w:pPr>
            <w:r>
              <w:rPr>
                <w:rFonts w:hint="eastAsia"/>
                <w:lang w:val="en-US" w:eastAsia="zh-CN"/>
              </w:rPr>
              <w:t>**</w:t>
            </w:r>
          </w:p>
        </w:tc>
      </w:tr>
      <w:tr w14:paraId="5F4B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gridSpan w:val="2"/>
            <w:vAlign w:val="center"/>
          </w:tcPr>
          <w:p w14:paraId="76F7D9EE">
            <w:pPr>
              <w:spacing w:line="420" w:lineRule="exact"/>
              <w:jc w:val="center"/>
            </w:pPr>
            <w:r>
              <w:t>项目性质</w:t>
            </w:r>
          </w:p>
        </w:tc>
        <w:tc>
          <w:tcPr>
            <w:tcW w:w="2181" w:type="pct"/>
            <w:gridSpan w:val="3"/>
            <w:vAlign w:val="center"/>
          </w:tcPr>
          <w:p w14:paraId="1D707926">
            <w:pPr>
              <w:spacing w:line="420" w:lineRule="exact"/>
              <w:jc w:val="center"/>
            </w:pPr>
            <w:r>
              <w:rPr>
                <w:rFonts w:hint="eastAsia"/>
                <w:lang w:eastAsia="zh-CN"/>
              </w:rPr>
              <w:t>☑</w:t>
            </w:r>
            <w:r>
              <w:t xml:space="preserve">新建  </w:t>
            </w:r>
            <w:r>
              <w:rPr>
                <w:rFonts w:hint="eastAsia"/>
                <w:lang w:eastAsia="zh-CN"/>
              </w:rPr>
              <w:t>□</w:t>
            </w:r>
            <w:r>
              <w:t xml:space="preserve">改建  </w:t>
            </w:r>
            <w:r>
              <w:rPr>
                <w:rFonts w:hint="eastAsia"/>
                <w:lang w:eastAsia="zh-CN"/>
              </w:rPr>
              <w:t>□</w:t>
            </w:r>
            <w:r>
              <w:t xml:space="preserve">扩建  </w:t>
            </w:r>
            <w:r>
              <w:rPr>
                <w:rFonts w:hint="eastAsia"/>
                <w:lang w:eastAsia="zh-CN"/>
              </w:rPr>
              <w:t>□</w:t>
            </w:r>
            <w:r>
              <w:t>其它</w:t>
            </w:r>
          </w:p>
        </w:tc>
        <w:tc>
          <w:tcPr>
            <w:tcW w:w="1101" w:type="pct"/>
            <w:gridSpan w:val="2"/>
            <w:vAlign w:val="center"/>
          </w:tcPr>
          <w:p w14:paraId="7EE459AD">
            <w:pPr>
              <w:spacing w:line="420" w:lineRule="exact"/>
              <w:jc w:val="center"/>
            </w:pPr>
            <w:r>
              <w:t>占地面积(m</w:t>
            </w:r>
            <w:r>
              <w:rPr>
                <w:vertAlign w:val="superscript"/>
              </w:rPr>
              <w:t>2</w:t>
            </w:r>
            <w:r>
              <w:t>)</w:t>
            </w:r>
          </w:p>
        </w:tc>
        <w:tc>
          <w:tcPr>
            <w:tcW w:w="482" w:type="pct"/>
            <w:vAlign w:val="center"/>
          </w:tcPr>
          <w:p w14:paraId="19514EDE">
            <w:pPr>
              <w:spacing w:line="420" w:lineRule="exact"/>
              <w:jc w:val="center"/>
            </w:pPr>
            <w:r>
              <w:t>/</w:t>
            </w:r>
          </w:p>
        </w:tc>
      </w:tr>
      <w:tr w14:paraId="3729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restart"/>
            <w:vAlign w:val="center"/>
          </w:tcPr>
          <w:p w14:paraId="66267D20">
            <w:pPr>
              <w:spacing w:line="420" w:lineRule="exact"/>
              <w:jc w:val="center"/>
            </w:pPr>
            <w:r>
              <w:t>应</w:t>
            </w:r>
          </w:p>
          <w:p w14:paraId="6D9B144E">
            <w:pPr>
              <w:spacing w:line="420" w:lineRule="exact"/>
              <w:jc w:val="center"/>
            </w:pPr>
            <w:r>
              <w:t>用</w:t>
            </w:r>
          </w:p>
          <w:p w14:paraId="7166F2D0">
            <w:pPr>
              <w:spacing w:line="420" w:lineRule="exact"/>
              <w:jc w:val="center"/>
            </w:pPr>
            <w:r>
              <w:t>类</w:t>
            </w:r>
          </w:p>
          <w:p w14:paraId="157E06C8">
            <w:pPr>
              <w:spacing w:line="420" w:lineRule="exact"/>
              <w:jc w:val="center"/>
            </w:pPr>
            <w:r>
              <w:t>型</w:t>
            </w:r>
          </w:p>
        </w:tc>
        <w:tc>
          <w:tcPr>
            <w:tcW w:w="714" w:type="pct"/>
            <w:vMerge w:val="restart"/>
            <w:vAlign w:val="center"/>
          </w:tcPr>
          <w:p w14:paraId="1ED6EBD1">
            <w:pPr>
              <w:spacing w:line="420" w:lineRule="exact"/>
              <w:jc w:val="center"/>
            </w:pPr>
            <w:r>
              <w:t>放射源</w:t>
            </w:r>
          </w:p>
        </w:tc>
        <w:tc>
          <w:tcPr>
            <w:tcW w:w="638" w:type="pct"/>
            <w:vAlign w:val="center"/>
          </w:tcPr>
          <w:p w14:paraId="36217D81">
            <w:pPr>
              <w:spacing w:line="420" w:lineRule="exact"/>
              <w:jc w:val="center"/>
            </w:pPr>
            <w:r>
              <w:rPr>
                <w:rFonts w:hint="eastAsia"/>
                <w:lang w:eastAsia="zh-CN"/>
              </w:rPr>
              <w:t>□</w:t>
            </w:r>
            <w:r>
              <w:t>销售</w:t>
            </w:r>
          </w:p>
        </w:tc>
        <w:tc>
          <w:tcPr>
            <w:tcW w:w="3125" w:type="pct"/>
            <w:gridSpan w:val="5"/>
            <w:vAlign w:val="center"/>
          </w:tcPr>
          <w:p w14:paraId="3DD889C4">
            <w:pPr>
              <w:spacing w:line="420" w:lineRule="exact"/>
              <w:jc w:val="center"/>
            </w:pPr>
            <w:r>
              <w:rPr>
                <w:rFonts w:hint="eastAsia"/>
                <w:lang w:eastAsia="zh-CN"/>
              </w:rPr>
              <w:t>□</w:t>
            </w:r>
            <w:r>
              <w:t xml:space="preserve">Ⅰ类    </w:t>
            </w:r>
            <w:r>
              <w:rPr>
                <w:rFonts w:hint="eastAsia"/>
                <w:lang w:eastAsia="zh-CN"/>
              </w:rPr>
              <w:t>□</w:t>
            </w:r>
            <w:r>
              <w:t xml:space="preserve">Ⅱ类    </w:t>
            </w:r>
            <w:r>
              <w:rPr>
                <w:rFonts w:hint="eastAsia"/>
                <w:lang w:eastAsia="zh-CN"/>
              </w:rPr>
              <w:t>□</w:t>
            </w:r>
            <w:r>
              <w:t xml:space="preserve">Ⅲ类    </w:t>
            </w:r>
            <w:r>
              <w:rPr>
                <w:rFonts w:hint="eastAsia"/>
                <w:lang w:eastAsia="zh-CN"/>
              </w:rPr>
              <w:t>□</w:t>
            </w:r>
            <w:r>
              <w:t xml:space="preserve">Ⅳ类    </w:t>
            </w:r>
            <w:r>
              <w:rPr>
                <w:rFonts w:hint="eastAsia"/>
                <w:lang w:eastAsia="zh-CN"/>
              </w:rPr>
              <w:t>□</w:t>
            </w:r>
            <w:r>
              <w:t>Ⅴ类</w:t>
            </w:r>
          </w:p>
        </w:tc>
      </w:tr>
      <w:tr w14:paraId="04AC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61069D89">
            <w:pPr>
              <w:spacing w:line="420" w:lineRule="exact"/>
              <w:jc w:val="center"/>
            </w:pPr>
          </w:p>
        </w:tc>
        <w:tc>
          <w:tcPr>
            <w:tcW w:w="714" w:type="pct"/>
            <w:vMerge w:val="continue"/>
            <w:vAlign w:val="center"/>
          </w:tcPr>
          <w:p w14:paraId="55D68C66">
            <w:pPr>
              <w:spacing w:line="420" w:lineRule="exact"/>
              <w:jc w:val="center"/>
            </w:pPr>
          </w:p>
        </w:tc>
        <w:tc>
          <w:tcPr>
            <w:tcW w:w="638" w:type="pct"/>
            <w:vAlign w:val="center"/>
          </w:tcPr>
          <w:p w14:paraId="22D51A05">
            <w:pPr>
              <w:spacing w:line="420" w:lineRule="exact"/>
              <w:jc w:val="center"/>
            </w:pPr>
            <w:r>
              <w:rPr>
                <w:rFonts w:hint="eastAsia"/>
                <w:lang w:eastAsia="zh-CN"/>
              </w:rPr>
              <w:t>☑</w:t>
            </w:r>
            <w:r>
              <w:t>使用</w:t>
            </w:r>
          </w:p>
        </w:tc>
        <w:tc>
          <w:tcPr>
            <w:tcW w:w="3125" w:type="pct"/>
            <w:gridSpan w:val="5"/>
            <w:vAlign w:val="center"/>
          </w:tcPr>
          <w:p w14:paraId="6453FA0C">
            <w:pPr>
              <w:spacing w:line="420" w:lineRule="exact"/>
              <w:jc w:val="center"/>
            </w:pPr>
            <w:r>
              <w:rPr>
                <w:rFonts w:hint="eastAsia"/>
                <w:lang w:eastAsia="zh-CN"/>
              </w:rPr>
              <w:t>□</w:t>
            </w:r>
            <w:r>
              <w:t xml:space="preserve">Ⅰ类（医疗使用）  </w:t>
            </w:r>
            <w:r>
              <w:rPr>
                <w:rFonts w:hint="eastAsia"/>
                <w:lang w:eastAsia="zh-CN"/>
              </w:rPr>
              <w:t>□</w:t>
            </w:r>
            <w:r>
              <w:t xml:space="preserve">Ⅱ类  </w:t>
            </w:r>
            <w:r>
              <w:rPr>
                <w:rFonts w:hint="eastAsia"/>
                <w:lang w:eastAsia="zh-CN"/>
              </w:rPr>
              <w:t>□</w:t>
            </w:r>
            <w:r>
              <w:t xml:space="preserve">Ⅲ类  </w:t>
            </w:r>
            <w:r>
              <w:rPr>
                <w:rFonts w:hint="eastAsia"/>
                <w:lang w:eastAsia="zh-CN"/>
              </w:rPr>
              <w:t>□</w:t>
            </w:r>
            <w:r>
              <w:t xml:space="preserve">Ⅳ类  </w:t>
            </w:r>
            <w:r>
              <w:rPr>
                <w:rFonts w:hint="eastAsia"/>
                <w:lang w:eastAsia="zh-CN"/>
              </w:rPr>
              <w:t>☑</w:t>
            </w:r>
            <w:r>
              <w:t>Ⅴ类</w:t>
            </w:r>
          </w:p>
        </w:tc>
      </w:tr>
      <w:tr w14:paraId="33BC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68218779">
            <w:pPr>
              <w:spacing w:line="420" w:lineRule="exact"/>
              <w:jc w:val="center"/>
            </w:pPr>
          </w:p>
        </w:tc>
        <w:tc>
          <w:tcPr>
            <w:tcW w:w="714" w:type="pct"/>
            <w:vMerge w:val="restart"/>
            <w:vAlign w:val="center"/>
          </w:tcPr>
          <w:p w14:paraId="6957163B">
            <w:pPr>
              <w:spacing w:line="420" w:lineRule="exact"/>
              <w:jc w:val="center"/>
            </w:pPr>
            <w:r>
              <w:t>非密封放射性物质</w:t>
            </w:r>
          </w:p>
        </w:tc>
        <w:tc>
          <w:tcPr>
            <w:tcW w:w="638" w:type="pct"/>
            <w:vAlign w:val="center"/>
          </w:tcPr>
          <w:p w14:paraId="4CFCB724">
            <w:pPr>
              <w:spacing w:line="420" w:lineRule="exact"/>
              <w:jc w:val="center"/>
            </w:pPr>
            <w:r>
              <w:rPr>
                <w:rFonts w:hint="eastAsia"/>
                <w:lang w:eastAsia="zh-CN"/>
              </w:rPr>
              <w:t>□</w:t>
            </w:r>
            <w:r>
              <w:t>生产</w:t>
            </w:r>
          </w:p>
        </w:tc>
        <w:tc>
          <w:tcPr>
            <w:tcW w:w="3125" w:type="pct"/>
            <w:gridSpan w:val="5"/>
            <w:vAlign w:val="center"/>
          </w:tcPr>
          <w:p w14:paraId="160AB486">
            <w:pPr>
              <w:spacing w:line="420" w:lineRule="exact"/>
              <w:jc w:val="center"/>
            </w:pPr>
            <w:r>
              <w:rPr>
                <w:rFonts w:hint="eastAsia"/>
                <w:lang w:eastAsia="zh-CN"/>
              </w:rPr>
              <w:t>□</w:t>
            </w:r>
            <w:r>
              <w:t>制备PET用放射性药物</w:t>
            </w:r>
          </w:p>
        </w:tc>
      </w:tr>
      <w:tr w14:paraId="4731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590A3D42">
            <w:pPr>
              <w:spacing w:line="420" w:lineRule="exact"/>
              <w:jc w:val="center"/>
            </w:pPr>
          </w:p>
        </w:tc>
        <w:tc>
          <w:tcPr>
            <w:tcW w:w="714" w:type="pct"/>
            <w:vMerge w:val="continue"/>
            <w:vAlign w:val="center"/>
          </w:tcPr>
          <w:p w14:paraId="78DCE696">
            <w:pPr>
              <w:spacing w:line="420" w:lineRule="exact"/>
              <w:jc w:val="center"/>
            </w:pPr>
          </w:p>
        </w:tc>
        <w:tc>
          <w:tcPr>
            <w:tcW w:w="638" w:type="pct"/>
            <w:vAlign w:val="center"/>
          </w:tcPr>
          <w:p w14:paraId="4D8711FC">
            <w:pPr>
              <w:spacing w:line="420" w:lineRule="exact"/>
              <w:jc w:val="center"/>
            </w:pPr>
            <w:r>
              <w:rPr>
                <w:rFonts w:hint="eastAsia"/>
                <w:lang w:eastAsia="zh-CN"/>
              </w:rPr>
              <w:t>□</w:t>
            </w:r>
            <w:r>
              <w:t>销售</w:t>
            </w:r>
          </w:p>
        </w:tc>
        <w:tc>
          <w:tcPr>
            <w:tcW w:w="3125" w:type="pct"/>
            <w:gridSpan w:val="5"/>
            <w:vAlign w:val="center"/>
          </w:tcPr>
          <w:p w14:paraId="51C9D660">
            <w:pPr>
              <w:spacing w:line="420" w:lineRule="exact"/>
              <w:jc w:val="center"/>
            </w:pPr>
            <w:r>
              <w:t>/</w:t>
            </w:r>
          </w:p>
        </w:tc>
      </w:tr>
      <w:tr w14:paraId="135F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628EBA1C">
            <w:pPr>
              <w:spacing w:line="420" w:lineRule="exact"/>
              <w:jc w:val="center"/>
            </w:pPr>
          </w:p>
        </w:tc>
        <w:tc>
          <w:tcPr>
            <w:tcW w:w="714" w:type="pct"/>
            <w:vMerge w:val="continue"/>
            <w:vAlign w:val="center"/>
          </w:tcPr>
          <w:p w14:paraId="1886A7FB">
            <w:pPr>
              <w:spacing w:line="420" w:lineRule="exact"/>
              <w:jc w:val="center"/>
            </w:pPr>
          </w:p>
        </w:tc>
        <w:tc>
          <w:tcPr>
            <w:tcW w:w="638" w:type="pct"/>
            <w:vAlign w:val="center"/>
          </w:tcPr>
          <w:p w14:paraId="00E6F991">
            <w:pPr>
              <w:spacing w:line="420" w:lineRule="exact"/>
              <w:jc w:val="center"/>
            </w:pPr>
            <w:r>
              <w:rPr>
                <w:rFonts w:hint="eastAsia"/>
                <w:lang w:eastAsia="zh-CN"/>
              </w:rPr>
              <w:t>☑</w:t>
            </w:r>
            <w:r>
              <w:t>使用</w:t>
            </w:r>
          </w:p>
        </w:tc>
        <w:tc>
          <w:tcPr>
            <w:tcW w:w="3125" w:type="pct"/>
            <w:gridSpan w:val="5"/>
            <w:vAlign w:val="center"/>
          </w:tcPr>
          <w:p w14:paraId="3800D7B0">
            <w:pPr>
              <w:spacing w:line="420" w:lineRule="exact"/>
              <w:jc w:val="center"/>
            </w:pPr>
            <w:r>
              <w:rPr>
                <w:rFonts w:hint="eastAsia"/>
                <w:lang w:eastAsia="zh-CN"/>
              </w:rPr>
              <w:t>☑</w:t>
            </w:r>
            <w:r>
              <w:t xml:space="preserve">乙     </w:t>
            </w:r>
            <w:r>
              <w:rPr>
                <w:rFonts w:hint="eastAsia"/>
                <w:lang w:eastAsia="zh-CN"/>
              </w:rPr>
              <w:t>□</w:t>
            </w:r>
            <w:r>
              <w:t>丙</w:t>
            </w:r>
          </w:p>
        </w:tc>
      </w:tr>
      <w:tr w14:paraId="5A75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4B3E73B0">
            <w:pPr>
              <w:spacing w:line="420" w:lineRule="exact"/>
              <w:jc w:val="center"/>
            </w:pPr>
          </w:p>
        </w:tc>
        <w:tc>
          <w:tcPr>
            <w:tcW w:w="714" w:type="pct"/>
            <w:vMerge w:val="restart"/>
            <w:vAlign w:val="center"/>
          </w:tcPr>
          <w:p w14:paraId="35E9008D">
            <w:pPr>
              <w:spacing w:line="420" w:lineRule="exact"/>
              <w:jc w:val="center"/>
            </w:pPr>
            <w:r>
              <w:t>射线装置</w:t>
            </w:r>
          </w:p>
        </w:tc>
        <w:tc>
          <w:tcPr>
            <w:tcW w:w="638" w:type="pct"/>
            <w:vAlign w:val="center"/>
          </w:tcPr>
          <w:p w14:paraId="46C7045A">
            <w:pPr>
              <w:spacing w:line="420" w:lineRule="exact"/>
              <w:jc w:val="center"/>
            </w:pPr>
            <w:r>
              <w:rPr>
                <w:rFonts w:hint="eastAsia"/>
                <w:lang w:eastAsia="zh-CN"/>
              </w:rPr>
              <w:t>□</w:t>
            </w:r>
            <w:r>
              <w:t>生产</w:t>
            </w:r>
          </w:p>
        </w:tc>
        <w:tc>
          <w:tcPr>
            <w:tcW w:w="3125" w:type="pct"/>
            <w:gridSpan w:val="5"/>
            <w:vAlign w:val="center"/>
          </w:tcPr>
          <w:p w14:paraId="5BFED672">
            <w:pPr>
              <w:spacing w:line="420" w:lineRule="exact"/>
              <w:jc w:val="center"/>
            </w:pPr>
            <w:r>
              <w:rPr>
                <w:rFonts w:hint="eastAsia"/>
                <w:lang w:eastAsia="zh-CN"/>
              </w:rPr>
              <w:t>□</w:t>
            </w:r>
            <w:r>
              <w:t xml:space="preserve">Ⅱ类   </w:t>
            </w:r>
            <w:r>
              <w:rPr>
                <w:rFonts w:hint="eastAsia"/>
                <w:lang w:eastAsia="zh-CN"/>
              </w:rPr>
              <w:t>□</w:t>
            </w:r>
            <w:r>
              <w:t>Ⅲ类</w:t>
            </w:r>
          </w:p>
        </w:tc>
      </w:tr>
      <w:tr w14:paraId="719A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735B7C0E">
            <w:pPr>
              <w:spacing w:line="420" w:lineRule="exact"/>
              <w:jc w:val="center"/>
            </w:pPr>
          </w:p>
        </w:tc>
        <w:tc>
          <w:tcPr>
            <w:tcW w:w="714" w:type="pct"/>
            <w:vMerge w:val="continue"/>
            <w:vAlign w:val="center"/>
          </w:tcPr>
          <w:p w14:paraId="17B30885">
            <w:pPr>
              <w:spacing w:line="420" w:lineRule="exact"/>
              <w:jc w:val="center"/>
            </w:pPr>
          </w:p>
        </w:tc>
        <w:tc>
          <w:tcPr>
            <w:tcW w:w="638" w:type="pct"/>
            <w:vAlign w:val="center"/>
          </w:tcPr>
          <w:p w14:paraId="4A5A8B4A">
            <w:pPr>
              <w:spacing w:line="420" w:lineRule="exact"/>
              <w:jc w:val="center"/>
            </w:pPr>
            <w:r>
              <w:rPr>
                <w:rFonts w:hint="eastAsia"/>
                <w:lang w:eastAsia="zh-CN"/>
              </w:rPr>
              <w:t>□</w:t>
            </w:r>
            <w:r>
              <w:t>销售</w:t>
            </w:r>
          </w:p>
        </w:tc>
        <w:tc>
          <w:tcPr>
            <w:tcW w:w="3125" w:type="pct"/>
            <w:gridSpan w:val="5"/>
            <w:vAlign w:val="center"/>
          </w:tcPr>
          <w:p w14:paraId="0E9E7FD6">
            <w:pPr>
              <w:spacing w:line="420" w:lineRule="exact"/>
              <w:jc w:val="center"/>
            </w:pPr>
            <w:r>
              <w:rPr>
                <w:rFonts w:hint="eastAsia"/>
                <w:lang w:eastAsia="zh-CN"/>
              </w:rPr>
              <w:t>□</w:t>
            </w:r>
            <w:r>
              <w:t xml:space="preserve">Ⅱ类   </w:t>
            </w:r>
            <w:r>
              <w:rPr>
                <w:rFonts w:hint="eastAsia"/>
                <w:lang w:eastAsia="zh-CN"/>
              </w:rPr>
              <w:t>□</w:t>
            </w:r>
            <w:r>
              <w:t>Ⅲ类</w:t>
            </w:r>
          </w:p>
        </w:tc>
      </w:tr>
      <w:tr w14:paraId="29A2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5DDFC89E">
            <w:pPr>
              <w:spacing w:line="420" w:lineRule="exact"/>
              <w:jc w:val="center"/>
            </w:pPr>
          </w:p>
        </w:tc>
        <w:tc>
          <w:tcPr>
            <w:tcW w:w="714" w:type="pct"/>
            <w:vMerge w:val="continue"/>
            <w:vAlign w:val="center"/>
          </w:tcPr>
          <w:p w14:paraId="6D204DCE">
            <w:pPr>
              <w:spacing w:line="420" w:lineRule="exact"/>
              <w:jc w:val="center"/>
            </w:pPr>
          </w:p>
        </w:tc>
        <w:tc>
          <w:tcPr>
            <w:tcW w:w="638" w:type="pct"/>
            <w:vAlign w:val="center"/>
          </w:tcPr>
          <w:p w14:paraId="0B55D412">
            <w:pPr>
              <w:spacing w:line="420" w:lineRule="exact"/>
              <w:jc w:val="center"/>
            </w:pPr>
            <w:r>
              <w:rPr>
                <w:rFonts w:hint="eastAsia"/>
                <w:lang w:eastAsia="zh-CN"/>
              </w:rPr>
              <w:t>☑</w:t>
            </w:r>
            <w:r>
              <w:t>使用</w:t>
            </w:r>
          </w:p>
        </w:tc>
        <w:tc>
          <w:tcPr>
            <w:tcW w:w="3125" w:type="pct"/>
            <w:gridSpan w:val="5"/>
            <w:vAlign w:val="center"/>
          </w:tcPr>
          <w:p w14:paraId="76B5704E">
            <w:pPr>
              <w:spacing w:line="420" w:lineRule="exact"/>
              <w:jc w:val="center"/>
            </w:pPr>
            <w:r>
              <w:rPr>
                <w:rFonts w:hint="eastAsia"/>
                <w:lang w:eastAsia="zh-CN"/>
              </w:rPr>
              <w:t>☑</w:t>
            </w:r>
            <w:r>
              <w:t xml:space="preserve">Ⅱ类   </w:t>
            </w:r>
            <w:r>
              <w:rPr>
                <w:rFonts w:hint="eastAsia"/>
                <w:lang w:eastAsia="zh-CN"/>
              </w:rPr>
              <w:t>☑</w:t>
            </w:r>
            <w:r>
              <w:t>Ⅲ类</w:t>
            </w:r>
          </w:p>
        </w:tc>
      </w:tr>
      <w:tr w14:paraId="5808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pct"/>
            <w:vMerge w:val="continue"/>
            <w:vAlign w:val="center"/>
          </w:tcPr>
          <w:p w14:paraId="55A07CFB">
            <w:pPr>
              <w:spacing w:line="420" w:lineRule="exact"/>
              <w:jc w:val="center"/>
            </w:pPr>
          </w:p>
        </w:tc>
        <w:tc>
          <w:tcPr>
            <w:tcW w:w="714" w:type="pct"/>
            <w:vAlign w:val="center"/>
          </w:tcPr>
          <w:p w14:paraId="08E77E75">
            <w:pPr>
              <w:spacing w:line="420" w:lineRule="exact"/>
              <w:jc w:val="center"/>
            </w:pPr>
            <w:r>
              <w:t>其他</w:t>
            </w:r>
          </w:p>
        </w:tc>
        <w:tc>
          <w:tcPr>
            <w:tcW w:w="3763" w:type="pct"/>
            <w:gridSpan w:val="6"/>
            <w:vAlign w:val="center"/>
          </w:tcPr>
          <w:p w14:paraId="33EAF6BE">
            <w:pPr>
              <w:spacing w:line="420" w:lineRule="exact"/>
              <w:jc w:val="center"/>
            </w:pPr>
            <w:r>
              <w:t>/</w:t>
            </w:r>
          </w:p>
        </w:tc>
      </w:tr>
      <w:tr w14:paraId="75FB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tcPr>
          <w:p w14:paraId="5DD25E59">
            <w:pPr>
              <w:rPr>
                <w:rFonts w:eastAsia="黑体"/>
              </w:rPr>
            </w:pPr>
            <w:r>
              <w:rPr>
                <w:rFonts w:eastAsia="黑体"/>
              </w:rPr>
              <w:t>项目概述</w:t>
            </w:r>
          </w:p>
          <w:p w14:paraId="6A7A5F16">
            <w:pPr>
              <w:rPr>
                <w:b/>
              </w:rPr>
            </w:pPr>
            <w:r>
              <w:rPr>
                <w:rFonts w:eastAsia="黑体"/>
              </w:rPr>
              <w:t>一、概况</w:t>
            </w:r>
          </w:p>
          <w:p w14:paraId="739EB843">
            <w:pPr>
              <w:ind w:firstLine="482"/>
              <w:rPr>
                <w:b/>
              </w:rPr>
            </w:pPr>
            <w:r>
              <w:rPr>
                <w:b/>
              </w:rPr>
              <w:t>1、建设单位简介</w:t>
            </w:r>
          </w:p>
          <w:p w14:paraId="27A7083B">
            <w:pPr>
              <w:widowControl/>
              <w:ind w:firstLine="480"/>
              <w:rPr>
                <w:rFonts w:hint="eastAsia"/>
              </w:rPr>
            </w:pPr>
            <w:r>
              <w:rPr>
                <w:rFonts w:hint="eastAsia"/>
              </w:rPr>
              <w:t>四川天府新区人民医院始建于1942年，现为国家三级乙等综合医院。承担了新区基本医疗、危急重症诊疗及艾滋病防控、妇幼保健等公共卫生职能，是新区突发公共卫生事件救治定点单位，也是新区“四位一体”医疗卫生服务体系“枢纽”医院、紧密型城市医疗集团建设的牵头医院。现址占地面积30亩，建筑面积4.7万平方米，编制床位560张（开放床位650张）。内设职能科室24个、临床医技科室35个。为新区产儿科急救中心、伤残鉴定中心、医学远程会诊中心及25个区级质量控制中心挂靠单位。</w:t>
            </w:r>
          </w:p>
          <w:p w14:paraId="447AAE75">
            <w:pPr>
              <w:widowControl/>
              <w:ind w:firstLine="480"/>
              <w:rPr>
                <w:rFonts w:hint="eastAsia"/>
              </w:rPr>
            </w:pPr>
            <w:r>
              <w:rPr>
                <w:rFonts w:hint="eastAsia"/>
                <w:lang w:eastAsia="zh-CN"/>
              </w:rPr>
              <w:t>截至</w:t>
            </w:r>
            <w:r>
              <w:rPr>
                <w:rFonts w:hint="eastAsia"/>
              </w:rPr>
              <w:t>2025年12月29日，在职职工1095人，其中编内341人、聘用754人。博士研究生2名，硕士研究生169名，本科学历743名。正高职称29人，副高职称143人，中级职称546人。</w:t>
            </w:r>
          </w:p>
          <w:p w14:paraId="2B0FEA69">
            <w:pPr>
              <w:widowControl/>
              <w:ind w:firstLine="480"/>
            </w:pPr>
            <w:r>
              <w:rPr>
                <w:rFonts w:hint="eastAsia"/>
              </w:rPr>
              <w:t>现有省级医学重点专科1个，市级医学重点专科8个，立项建设区级临床重点专科3个。</w:t>
            </w:r>
          </w:p>
          <w:p w14:paraId="1CA09297">
            <w:pPr>
              <w:widowControl/>
              <w:ind w:firstLine="480"/>
            </w:pPr>
            <w:r>
              <w:t>医院现持有四川省生态环境厅核发的《辐射安全许可证》（川环辐证[</w:t>
            </w:r>
            <w:r>
              <w:rPr>
                <w:rFonts w:hint="eastAsia"/>
                <w:lang w:val="en-US" w:eastAsia="zh-CN"/>
              </w:rPr>
              <w:t>29700</w:t>
            </w:r>
            <w:r>
              <w:t>]，见附件</w:t>
            </w:r>
            <w:r>
              <w:rPr>
                <w:rFonts w:hint="eastAsia"/>
              </w:rPr>
              <w:t>3</w:t>
            </w:r>
            <w:r>
              <w:t>），许可种类和范围为“使用Ⅱ类、Ⅲ类射线装置”，有效期至20</w:t>
            </w:r>
            <w:r>
              <w:rPr>
                <w:rFonts w:hint="eastAsia"/>
                <w:lang w:val="en-US" w:eastAsia="zh-CN"/>
              </w:rPr>
              <w:t>30</w:t>
            </w:r>
            <w:r>
              <w:t>年11月</w:t>
            </w:r>
            <w:r>
              <w:rPr>
                <w:rFonts w:hint="eastAsia"/>
                <w:lang w:val="en-US" w:eastAsia="zh-CN"/>
              </w:rPr>
              <w:t>03</w:t>
            </w:r>
            <w:r>
              <w:t>日。</w:t>
            </w:r>
          </w:p>
          <w:p w14:paraId="57247987">
            <w:pPr>
              <w:numPr>
                <w:ilvl w:val="0"/>
                <w:numId w:val="2"/>
              </w:numPr>
              <w:ind w:firstLine="482"/>
              <w:rPr>
                <w:b/>
              </w:rPr>
            </w:pPr>
            <w:r>
              <w:rPr>
                <w:b/>
              </w:rPr>
              <w:t>项目由来</w:t>
            </w:r>
          </w:p>
          <w:p w14:paraId="7B43479B">
            <w:pPr>
              <w:widowControl/>
              <w:ind w:firstLine="480"/>
            </w:pPr>
            <w:r>
              <w:rPr>
                <w:rFonts w:hint="eastAsia"/>
              </w:rPr>
              <w:t>随着四川天府新区的快速发展，人民群众对医疗服务的需求也在逐步增高，四川天府新区人民医院现有规模已难以满足服务对象的医疗需求，但医院现址由于业务用房面积的限制，不具备原址扩建的条件，因此必须对医院进行整体迁建，以提升业务规模和服务能力。为此，四川天府新区人民医院拟投资174187.96万元</w:t>
            </w:r>
            <w:r>
              <w:rPr>
                <w:rFonts w:hint="eastAsia"/>
                <w:lang w:eastAsia="zh-CN"/>
              </w:rPr>
              <w:t>在</w:t>
            </w:r>
            <w:r>
              <w:rPr>
                <w:rFonts w:hint="eastAsia"/>
              </w:rPr>
              <w:t>四川天府新区万安街道高饭店村、开元村（天津路东段）</w:t>
            </w:r>
            <w:r>
              <w:rPr>
                <w:rFonts w:hint="eastAsia"/>
                <w:lang w:val="en-US" w:eastAsia="zh-CN"/>
              </w:rPr>
              <w:t>修建</w:t>
            </w:r>
            <w:r>
              <w:rPr>
                <w:rFonts w:hint="eastAsia"/>
              </w:rPr>
              <w:t>四川天府新区人民医院</w:t>
            </w:r>
            <w:r>
              <w:rPr>
                <w:rFonts w:hint="eastAsia"/>
                <w:lang w:val="en-US" w:eastAsia="zh-CN"/>
              </w:rPr>
              <w:t>新院区，待修建完成后将医院整体搬迁至该地址。建成</w:t>
            </w:r>
            <w:r>
              <w:rPr>
                <w:rFonts w:hint="eastAsia"/>
              </w:rPr>
              <w:t>后医院总占地面积约55477.13m²，总建筑面积约172600m²，主要建设门诊医技楼（4F）、住院楼（15F）、感染科大楼（5F），配套建设公辅设施及环保设施。规划床位1000张（牙椅15张），其中感染科大楼设置床位30张；门（急）诊接待量6000人·次/日，其中发热门诊接待量150人·次/日；体检中心接待量：50人·次/日。项目迁建完成后，医院现址交由当地政府统筹安排。</w:t>
            </w:r>
          </w:p>
          <w:p w14:paraId="104E9ABA">
            <w:pPr>
              <w:widowControl/>
              <w:ind w:firstLine="480"/>
              <w:rPr>
                <w:rFonts w:hint="eastAsia"/>
                <w:lang w:eastAsia="zh-CN"/>
              </w:rPr>
            </w:pPr>
            <w:r>
              <w:rPr>
                <w:rFonts w:hint="eastAsia"/>
                <w:lang w:val="en-US" w:eastAsia="zh-CN"/>
              </w:rPr>
              <w:t>同时为实现</w:t>
            </w:r>
            <w:r>
              <w:t>《医用同位素中长期发展规划（2021-2035年）》、《四川省医用同位素及放射性药物产业发展行动计划（2022-2025年）》提出的高质量发展核医疗产业规划和行动</w:t>
            </w:r>
            <w:r>
              <w:rPr>
                <w:rFonts w:hint="eastAsia"/>
                <w:lang w:val="en-US" w:eastAsia="zh-CN"/>
              </w:rPr>
              <w:t>计划；</w:t>
            </w:r>
            <w:r>
              <w:t>满足患者多层次、多方位、高质量和文明便利的就诊需求</w:t>
            </w:r>
            <w:r>
              <w:rPr>
                <w:rFonts w:hint="eastAsia"/>
                <w:lang w:eastAsia="zh-CN"/>
              </w:rPr>
              <w:t>。</w:t>
            </w:r>
            <w:r>
              <w:t>经</w:t>
            </w:r>
            <w:r>
              <w:rPr>
                <w:rFonts w:hint="eastAsia"/>
                <w:lang w:val="en-US" w:eastAsia="zh-CN"/>
              </w:rPr>
              <w:t>充分</w:t>
            </w:r>
            <w:r>
              <w:t>论证</w:t>
            </w:r>
            <w:r>
              <w:rPr>
                <w:rFonts w:hint="eastAsia"/>
                <w:lang w:eastAsia="zh-CN"/>
              </w:rPr>
              <w:t>，</w:t>
            </w:r>
            <w:r>
              <w:rPr>
                <w:rFonts w:hint="eastAsia"/>
                <w:lang w:val="en-US" w:eastAsia="zh-CN"/>
              </w:rPr>
              <w:t>拟在院内门诊医技楼和感染楼规划放射诊疗相关业务功能科室（放射诊断、介入、和</w:t>
            </w:r>
            <w:r>
              <w:t>核医学科</w:t>
            </w:r>
            <w:r>
              <w:rPr>
                <w:rFonts w:hint="eastAsia"/>
                <w:lang w:val="en-US" w:eastAsia="zh-CN"/>
              </w:rPr>
              <w:t>等）</w:t>
            </w:r>
            <w:r>
              <w:rPr>
                <w:rFonts w:hint="eastAsia"/>
                <w:lang w:eastAsia="zh-CN"/>
              </w:rPr>
              <w:t>。</w:t>
            </w:r>
          </w:p>
          <w:p w14:paraId="2BFE308F">
            <w:pPr>
              <w:widowControl/>
              <w:ind w:firstLine="480"/>
              <w:rPr>
                <w:rFonts w:hint="default"/>
                <w:lang w:val="en-US" w:eastAsia="zh-CN"/>
              </w:rPr>
            </w:pPr>
            <w:r>
              <w:rPr>
                <w:rFonts w:hint="eastAsia"/>
                <w:lang w:val="en-US" w:eastAsia="zh-CN"/>
              </w:rPr>
              <w:t>根据设计方案，</w:t>
            </w:r>
            <w:r>
              <w:rPr>
                <w:rFonts w:hint="eastAsia"/>
                <w:lang w:eastAsia="zh-CN"/>
              </w:rPr>
              <w:t>门诊医技楼</w:t>
            </w:r>
            <w:r>
              <w:rPr>
                <w:rFonts w:hint="eastAsia"/>
                <w:lang w:val="en-US" w:eastAsia="zh-CN"/>
              </w:rPr>
              <w:t>设计为一栋</w:t>
            </w:r>
            <w:r>
              <w:t>地上四层，</w:t>
            </w:r>
            <w:r>
              <w:rPr>
                <w:rFonts w:hint="eastAsia"/>
                <w:lang w:eastAsia="zh-CN"/>
              </w:rPr>
              <w:t>地下二层的</w:t>
            </w:r>
            <w:r>
              <w:rPr>
                <w:rFonts w:hint="eastAsia"/>
                <w:lang w:val="en-US" w:eastAsia="zh-CN"/>
              </w:rPr>
              <w:t>现浇框架独立建筑</w:t>
            </w:r>
            <w:r>
              <w:rPr>
                <w:rFonts w:hint="eastAsia"/>
                <w:lang w:eastAsia="zh-CN"/>
              </w:rPr>
              <w:t>。</w:t>
            </w:r>
            <w:r>
              <w:rPr>
                <w:rFonts w:hint="eastAsia"/>
                <w:lang w:val="en-US" w:eastAsia="zh-CN"/>
              </w:rPr>
              <w:t>负一层设置</w:t>
            </w:r>
            <w:r>
              <w:t>核医学科包括</w:t>
            </w:r>
            <w:r>
              <w:rPr>
                <w:rFonts w:hint="eastAsia"/>
                <w:lang w:val="en-US" w:eastAsia="zh-CN"/>
              </w:rPr>
              <w:t>1</w:t>
            </w:r>
            <w:r>
              <w:t>个乙级非密封放射性物质工作场所，涉及使用非密封放射性物质，</w:t>
            </w:r>
            <w:r>
              <w:rPr>
                <w:highlight w:val="none"/>
              </w:rPr>
              <w:t>包括氟-18、</w:t>
            </w:r>
            <w:r>
              <w:rPr>
                <w:rFonts w:hint="eastAsia"/>
                <w:highlight w:val="none"/>
                <w:lang w:val="en-US" w:eastAsia="zh-CN"/>
              </w:rPr>
              <w:t>磷</w:t>
            </w:r>
            <w:r>
              <w:rPr>
                <w:highlight w:val="none"/>
              </w:rPr>
              <w:t>-</w:t>
            </w:r>
            <w:r>
              <w:rPr>
                <w:rFonts w:hint="eastAsia"/>
                <w:highlight w:val="none"/>
                <w:lang w:val="en-US" w:eastAsia="zh-CN"/>
              </w:rPr>
              <w:t>32</w:t>
            </w:r>
            <w:r>
              <w:rPr>
                <w:highlight w:val="none"/>
              </w:rPr>
              <w:t>、镓-68、锝-99m、碘-131、</w:t>
            </w:r>
            <w:r>
              <w:rPr>
                <w:rFonts w:hint="eastAsia"/>
                <w:highlight w:val="none"/>
                <w:lang w:val="en-US" w:eastAsia="zh-CN"/>
              </w:rPr>
              <w:t>锶</w:t>
            </w:r>
            <w:r>
              <w:rPr>
                <w:highlight w:val="none"/>
              </w:rPr>
              <w:t>-</w:t>
            </w:r>
            <w:r>
              <w:rPr>
                <w:rFonts w:hint="eastAsia"/>
                <w:highlight w:val="none"/>
                <w:lang w:val="en-US" w:eastAsia="zh-CN"/>
              </w:rPr>
              <w:t>89</w:t>
            </w:r>
            <w:r>
              <w:rPr>
                <w:highlight w:val="none"/>
              </w:rPr>
              <w:t>；使用</w:t>
            </w:r>
            <w:r>
              <w:rPr>
                <w:rFonts w:hint="eastAsia"/>
                <w:highlight w:val="none"/>
                <w:lang w:val="en-US" w:eastAsia="zh-CN"/>
              </w:rPr>
              <w:t>2</w:t>
            </w:r>
            <w:r>
              <w:rPr>
                <w:highlight w:val="none"/>
              </w:rPr>
              <w:t>台Ⅲ类射线装置（1台PET/CT、</w:t>
            </w:r>
            <w:r>
              <w:rPr>
                <w:rFonts w:hint="eastAsia"/>
                <w:highlight w:val="none"/>
                <w:lang w:val="en-US" w:eastAsia="zh-CN"/>
              </w:rPr>
              <w:t>1</w:t>
            </w:r>
            <w:r>
              <w:rPr>
                <w:highlight w:val="none"/>
              </w:rPr>
              <w:t>台SPECT/CT）；使用</w:t>
            </w:r>
            <w:r>
              <w:rPr>
                <w:rFonts w:hint="eastAsia"/>
                <w:highlight w:val="none"/>
                <w:lang w:val="en-US" w:eastAsia="zh-CN"/>
              </w:rPr>
              <w:t>1</w:t>
            </w:r>
            <w:r>
              <w:rPr>
                <w:highlight w:val="none"/>
              </w:rPr>
              <w:t>枚</w:t>
            </w:r>
            <w:r>
              <w:rPr>
                <w:rFonts w:hint="eastAsia"/>
                <w:highlight w:val="none"/>
                <w:lang w:val="en-US" w:eastAsia="zh-CN"/>
              </w:rPr>
              <w:t>锶</w:t>
            </w:r>
            <w:r>
              <w:rPr>
                <w:highlight w:val="none"/>
              </w:rPr>
              <w:t>-</w:t>
            </w:r>
            <w:r>
              <w:rPr>
                <w:rFonts w:hint="eastAsia"/>
                <w:highlight w:val="none"/>
                <w:lang w:val="en-US" w:eastAsia="zh-CN"/>
              </w:rPr>
              <w:t>90-钇-90</w:t>
            </w:r>
            <w:r>
              <w:rPr>
                <w:rFonts w:hint="eastAsia"/>
                <w:highlight w:val="none"/>
              </w:rPr>
              <w:t xml:space="preserve"> </w:t>
            </w:r>
            <w:r>
              <w:rPr>
                <w:highlight w:val="none"/>
              </w:rPr>
              <w:t>Ⅴ类放射源。</w:t>
            </w:r>
            <w:r>
              <w:rPr>
                <w:rFonts w:hint="eastAsia"/>
                <w:highlight w:val="none"/>
                <w:lang w:val="en-US" w:eastAsia="zh-CN"/>
              </w:rPr>
              <w:t>一层设置</w:t>
            </w:r>
            <w:r>
              <w:rPr>
                <w:rFonts w:hint="eastAsia"/>
                <w:lang w:val="en-US" w:eastAsia="zh-CN"/>
              </w:rPr>
              <w:t>影像科和体检中心，影像科拟设4间CT、3间MRI、4间DR、1间钼靶、1间胃肠、1间骨密度等；体检中心拟设1间CT、1间DR、1间骨密度。二层设置体外碎石，拟设1件体外碎石。三层设置口腔科，拟设1间口腔CT、1间牙片室。四层设置手术部和内镜中心，手术部拟设4间防护手术室、1间DSA+CT复合手术室、3间DSA手术室；内镜中心拟设1间ERCP。</w:t>
            </w:r>
          </w:p>
          <w:p w14:paraId="30E31E0C">
            <w:pPr>
              <w:widowControl/>
              <w:ind w:firstLine="480"/>
              <w:rPr>
                <w:rFonts w:hint="eastAsia"/>
                <w:lang w:val="en-US" w:eastAsia="zh-CN"/>
              </w:rPr>
            </w:pPr>
            <w:r>
              <w:rPr>
                <w:rFonts w:hint="eastAsia"/>
                <w:lang w:val="en-US" w:eastAsia="zh-CN"/>
              </w:rPr>
              <w:t>根据设计方案，感染楼设置为一栋</w:t>
            </w:r>
            <w:r>
              <w:t>地上</w:t>
            </w:r>
            <w:r>
              <w:rPr>
                <w:rFonts w:hint="eastAsia"/>
                <w:lang w:val="en-US" w:eastAsia="zh-CN"/>
              </w:rPr>
              <w:t>五</w:t>
            </w:r>
            <w:r>
              <w:t>层</w:t>
            </w:r>
            <w:r>
              <w:rPr>
                <w:rFonts w:hint="eastAsia"/>
                <w:lang w:eastAsia="zh-CN"/>
              </w:rPr>
              <w:t>的</w:t>
            </w:r>
            <w:r>
              <w:rPr>
                <w:rFonts w:hint="eastAsia"/>
                <w:lang w:val="en-US" w:eastAsia="zh-CN"/>
              </w:rPr>
              <w:t>现浇框架独立建筑</w:t>
            </w:r>
            <w:r>
              <w:rPr>
                <w:rFonts w:hint="eastAsia"/>
                <w:lang w:eastAsia="zh-CN"/>
              </w:rPr>
              <w:t>。</w:t>
            </w:r>
            <w:r>
              <w:rPr>
                <w:rFonts w:hint="eastAsia"/>
                <w:lang w:val="en-US" w:eastAsia="zh-CN"/>
              </w:rPr>
              <w:t>一层设置发热门诊，拟设1间CT。</w:t>
            </w:r>
          </w:p>
          <w:p w14:paraId="307AED04">
            <w:pPr>
              <w:widowControl/>
              <w:ind w:firstLine="480"/>
              <w:rPr>
                <w:rFonts w:hint="default"/>
                <w:highlight w:val="none"/>
                <w:lang w:val="en-US" w:eastAsia="zh-CN"/>
              </w:rPr>
            </w:pPr>
            <w:r>
              <w:rPr>
                <w:rFonts w:hint="eastAsia"/>
                <w:highlight w:val="none"/>
                <w:lang w:val="en-US" w:eastAsia="zh-CN"/>
              </w:rPr>
              <w:t>根据设计方案，放射性衰变池设置在院区西侧绿化带地下，衰变池设计为三格，每格有效容积约为122.5m</w:t>
            </w:r>
            <w:r>
              <w:rPr>
                <w:rFonts w:hint="eastAsia"/>
                <w:highlight w:val="none"/>
                <w:vertAlign w:val="superscript"/>
                <w:lang w:val="en-US" w:eastAsia="zh-CN"/>
              </w:rPr>
              <w:t>3</w:t>
            </w:r>
            <w:r>
              <w:rPr>
                <w:rFonts w:hint="eastAsia"/>
                <w:highlight w:val="none"/>
                <w:lang w:val="en-US" w:eastAsia="zh-CN"/>
              </w:rPr>
              <w:t>，三格总有效容积为</w:t>
            </w:r>
            <w:r>
              <w:rPr>
                <w:rFonts w:hint="eastAsia"/>
                <w:highlight w:val="none"/>
                <w:vertAlign w:val="baseline"/>
                <w:lang w:val="en-US" w:eastAsia="zh-CN"/>
              </w:rPr>
              <w:t>367.5</w:t>
            </w:r>
            <w:r>
              <w:rPr>
                <w:rFonts w:hint="eastAsia"/>
                <w:highlight w:val="none"/>
                <w:lang w:val="en-US" w:eastAsia="zh-CN"/>
              </w:rPr>
              <w:t>m</w:t>
            </w:r>
            <w:r>
              <w:rPr>
                <w:rFonts w:hint="eastAsia"/>
                <w:highlight w:val="none"/>
                <w:vertAlign w:val="superscript"/>
                <w:lang w:val="en-US" w:eastAsia="zh-CN"/>
              </w:rPr>
              <w:t>3</w:t>
            </w:r>
            <w:r>
              <w:rPr>
                <w:rFonts w:hint="eastAsia"/>
                <w:highlight w:val="none"/>
                <w:lang w:val="en-US" w:eastAsia="zh-CN"/>
              </w:rPr>
              <w:t>。衰变池采用三池间歇式贮存衰变法，轮流接纳含有放射性同位素的污水并定期提升排放。衰变池及沉淀池的四周池壁、底面及池盖均拟采用300mm混凝土（抗渗等级为P6）+涂抹20mm防水砂浆。</w:t>
            </w:r>
          </w:p>
          <w:p w14:paraId="2726711A">
            <w:pPr>
              <w:widowControl/>
              <w:ind w:firstLine="480"/>
              <w:rPr>
                <w:rFonts w:hint="eastAsia"/>
                <w:color w:val="auto"/>
                <w:lang w:eastAsia="zh-CN"/>
              </w:rPr>
            </w:pPr>
            <w:r>
              <w:rPr>
                <w:rFonts w:hint="eastAsia"/>
                <w:color w:val="auto"/>
                <w:highlight w:val="none"/>
                <w:lang w:val="en-US" w:eastAsia="zh-CN"/>
              </w:rPr>
              <w:t>上述的门诊医技楼一层影像科（</w:t>
            </w:r>
            <w:r>
              <w:rPr>
                <w:rFonts w:hint="eastAsia"/>
                <w:highlight w:val="none"/>
                <w:lang w:val="en-US" w:eastAsia="zh-CN"/>
              </w:rPr>
              <w:t>4间CT、4间DR、1间钼靶、1间胃肠、1间骨密度等</w:t>
            </w:r>
            <w:r>
              <w:rPr>
                <w:rFonts w:hint="eastAsia"/>
                <w:color w:val="auto"/>
                <w:highlight w:val="none"/>
                <w:lang w:val="en-US" w:eastAsia="zh-CN"/>
              </w:rPr>
              <w:t>）和体检中心（</w:t>
            </w:r>
            <w:r>
              <w:rPr>
                <w:rFonts w:hint="eastAsia"/>
                <w:highlight w:val="none"/>
                <w:lang w:val="en-US" w:eastAsia="zh-CN"/>
              </w:rPr>
              <w:t>1间CT、1间DR、1间骨密度</w:t>
            </w:r>
            <w:r>
              <w:rPr>
                <w:rFonts w:hint="eastAsia"/>
                <w:color w:val="auto"/>
                <w:highlight w:val="none"/>
                <w:lang w:val="en-US" w:eastAsia="zh-CN"/>
              </w:rPr>
              <w:t>）、二层体外碎石（1间体外碎石）、三层口腔科（</w:t>
            </w:r>
            <w:r>
              <w:rPr>
                <w:rFonts w:hint="eastAsia"/>
                <w:highlight w:val="none"/>
                <w:lang w:val="en-US" w:eastAsia="zh-CN"/>
              </w:rPr>
              <w:t>1间口腔CT、1间牙片室</w:t>
            </w:r>
            <w:r>
              <w:rPr>
                <w:rFonts w:hint="eastAsia"/>
                <w:color w:val="auto"/>
                <w:highlight w:val="none"/>
                <w:lang w:val="en-US" w:eastAsia="zh-CN"/>
              </w:rPr>
              <w:t>）、四层手术部（4间防护手术室）和感染楼一层发热门诊（1间CT）所使用的</w:t>
            </w:r>
            <w:r>
              <w:rPr>
                <w:color w:val="auto"/>
                <w:highlight w:val="none"/>
              </w:rPr>
              <w:t>Ⅲ类</w:t>
            </w:r>
            <w:r>
              <w:rPr>
                <w:color w:val="auto"/>
              </w:rPr>
              <w:t>射线装置</w:t>
            </w:r>
            <w:r>
              <w:rPr>
                <w:rFonts w:hint="eastAsia"/>
                <w:color w:val="auto"/>
                <w:lang w:val="en-US" w:eastAsia="zh-CN"/>
              </w:rPr>
              <w:t>，</w:t>
            </w:r>
            <w:r>
              <w:rPr>
                <w:rFonts w:hint="eastAsia"/>
                <w:color w:val="auto"/>
                <w:highlight w:val="none"/>
                <w:lang w:val="en-US" w:eastAsia="zh-CN"/>
              </w:rPr>
              <w:t>门诊医技楼负一层核医学科</w:t>
            </w:r>
            <w:r>
              <w:rPr>
                <w:highlight w:val="none"/>
              </w:rPr>
              <w:t>使用</w:t>
            </w:r>
            <w:r>
              <w:rPr>
                <w:rFonts w:hint="eastAsia"/>
                <w:highlight w:val="none"/>
                <w:lang w:val="en-US" w:eastAsia="zh-CN"/>
              </w:rPr>
              <w:t>1</w:t>
            </w:r>
            <w:r>
              <w:rPr>
                <w:highlight w:val="none"/>
              </w:rPr>
              <w:t>枚</w:t>
            </w:r>
            <w:r>
              <w:rPr>
                <w:rFonts w:hint="eastAsia"/>
                <w:highlight w:val="none"/>
                <w:lang w:val="en-US" w:eastAsia="zh-CN"/>
              </w:rPr>
              <w:t>锶</w:t>
            </w:r>
            <w:r>
              <w:rPr>
                <w:highlight w:val="none"/>
              </w:rPr>
              <w:t>-</w:t>
            </w:r>
            <w:r>
              <w:rPr>
                <w:rFonts w:hint="eastAsia"/>
                <w:highlight w:val="none"/>
                <w:lang w:val="en-US" w:eastAsia="zh-CN"/>
              </w:rPr>
              <w:t>90-钇-90</w:t>
            </w:r>
            <w:r>
              <w:rPr>
                <w:rFonts w:hint="eastAsia"/>
                <w:highlight w:val="none"/>
              </w:rPr>
              <w:t xml:space="preserve"> </w:t>
            </w:r>
            <w:r>
              <w:rPr>
                <w:highlight w:val="none"/>
              </w:rPr>
              <w:t>Ⅴ类放射源。</w:t>
            </w:r>
            <w:r>
              <w:rPr>
                <w:bCs/>
                <w:color w:val="auto"/>
                <w:highlight w:val="none"/>
              </w:rPr>
              <w:t>建设单</w:t>
            </w:r>
            <w:r>
              <w:rPr>
                <w:bCs/>
                <w:color w:val="auto"/>
              </w:rPr>
              <w:t>位</w:t>
            </w:r>
            <w:r>
              <w:rPr>
                <w:rFonts w:hint="eastAsia"/>
                <w:bCs/>
                <w:color w:val="auto"/>
                <w:lang w:val="en-US" w:eastAsia="zh-CN"/>
              </w:rPr>
              <w:t>另行委托</w:t>
            </w:r>
            <w:r>
              <w:t>四川省自然资源实验测试研究中心（四川省核应急技术支持中心）</w:t>
            </w:r>
            <w:r>
              <w:rPr>
                <w:color w:val="auto"/>
              </w:rPr>
              <w:t>编制环境影响登记表</w:t>
            </w:r>
            <w:r>
              <w:rPr>
                <w:rFonts w:hint="eastAsia"/>
                <w:color w:val="auto"/>
                <w:lang w:eastAsia="zh-CN"/>
              </w:rPr>
              <w:t>。</w:t>
            </w:r>
            <w:r>
              <w:rPr>
                <w:rFonts w:hint="eastAsia"/>
                <w:color w:val="auto"/>
                <w:lang w:val="en-US" w:eastAsia="zh-CN"/>
              </w:rPr>
              <w:t>其中</w:t>
            </w:r>
            <w:r>
              <w:rPr>
                <w:rFonts w:hint="eastAsia"/>
                <w:color w:val="auto"/>
                <w:highlight w:val="none"/>
                <w:lang w:val="en-US" w:eastAsia="zh-CN"/>
              </w:rPr>
              <w:t>门诊医技楼负一层核医学科</w:t>
            </w:r>
            <w:r>
              <w:rPr>
                <w:highlight w:val="none"/>
              </w:rPr>
              <w:t>使用</w:t>
            </w:r>
            <w:r>
              <w:rPr>
                <w:rFonts w:hint="eastAsia"/>
                <w:highlight w:val="none"/>
                <w:lang w:val="en-US" w:eastAsia="zh-CN"/>
              </w:rPr>
              <w:t>1</w:t>
            </w:r>
            <w:r>
              <w:rPr>
                <w:highlight w:val="none"/>
              </w:rPr>
              <w:t>枚</w:t>
            </w:r>
            <w:r>
              <w:rPr>
                <w:rFonts w:hint="eastAsia"/>
                <w:highlight w:val="none"/>
                <w:lang w:val="en-US" w:eastAsia="zh-CN"/>
              </w:rPr>
              <w:t>锶</w:t>
            </w:r>
            <w:r>
              <w:rPr>
                <w:highlight w:val="none"/>
              </w:rPr>
              <w:t>-</w:t>
            </w:r>
            <w:r>
              <w:rPr>
                <w:rFonts w:hint="eastAsia"/>
                <w:highlight w:val="none"/>
                <w:lang w:val="en-US" w:eastAsia="zh-CN"/>
              </w:rPr>
              <w:t>90-钇-90</w:t>
            </w:r>
            <w:r>
              <w:rPr>
                <w:rFonts w:hint="eastAsia"/>
                <w:highlight w:val="none"/>
              </w:rPr>
              <w:t xml:space="preserve"> </w:t>
            </w:r>
            <w:r>
              <w:rPr>
                <w:highlight w:val="none"/>
              </w:rPr>
              <w:t>Ⅴ类放射源</w:t>
            </w:r>
            <w:r>
              <w:rPr>
                <w:rFonts w:hint="eastAsia"/>
                <w:highlight w:val="none"/>
                <w:lang w:eastAsia="zh-CN"/>
              </w:rPr>
              <w:t>的</w:t>
            </w:r>
            <w:r>
              <w:rPr>
                <w:rFonts w:hint="eastAsia"/>
                <w:color w:val="auto"/>
                <w:lang w:eastAsia="zh-CN"/>
              </w:rPr>
              <w:t>环境影响登记表已经完</w:t>
            </w:r>
            <w:bookmarkStart w:id="70" w:name="_GoBack"/>
            <w:r>
              <w:rPr>
                <w:rFonts w:hint="eastAsia"/>
                <w:color w:val="auto"/>
                <w:highlight w:val="none"/>
                <w:lang w:eastAsia="zh-CN"/>
              </w:rPr>
              <w:t>成备案，备案号：</w:t>
            </w:r>
            <w:r>
              <w:rPr>
                <w:rFonts w:hint="eastAsia"/>
                <w:color w:val="auto"/>
                <w:highlight w:val="none"/>
                <w:lang w:val="en-US" w:eastAsia="zh-CN"/>
              </w:rPr>
              <w:t>20265101000200000045</w:t>
            </w:r>
            <w:r>
              <w:rPr>
                <w:rFonts w:hint="eastAsia"/>
                <w:color w:val="auto"/>
                <w:highlight w:val="none"/>
                <w:lang w:eastAsia="zh-CN"/>
              </w:rPr>
              <w:t>。</w:t>
            </w:r>
            <w:r>
              <w:rPr>
                <w:color w:val="auto"/>
                <w:highlight w:val="none"/>
              </w:rPr>
              <w:t>本次不再</w:t>
            </w:r>
            <w:bookmarkEnd w:id="70"/>
            <w:r>
              <w:rPr>
                <w:color w:val="auto"/>
              </w:rPr>
              <w:t>进行评价</w:t>
            </w:r>
            <w:r>
              <w:rPr>
                <w:rFonts w:hint="eastAsia"/>
                <w:color w:val="auto"/>
                <w:lang w:eastAsia="zh-CN"/>
              </w:rPr>
              <w:t>。</w:t>
            </w:r>
          </w:p>
          <w:p w14:paraId="3DD1666A">
            <w:pPr>
              <w:widowControl/>
              <w:ind w:firstLine="480"/>
              <w:rPr>
                <w:rFonts w:hint="default" w:eastAsia="宋体"/>
                <w:color w:val="auto"/>
                <w:highlight w:val="yellow"/>
                <w:lang w:val="en-US" w:eastAsia="zh-CN"/>
              </w:rPr>
            </w:pPr>
            <w:r>
              <w:rPr>
                <w:rFonts w:hint="eastAsia"/>
                <w:color w:val="auto"/>
                <w:lang w:val="en-US" w:eastAsia="zh-CN"/>
              </w:rPr>
              <w:t>故本次评价的主要范围为门诊医技楼负一层的核医学科工作场所及其配套的射线装置；四层手术部的</w:t>
            </w:r>
            <w:r>
              <w:rPr>
                <w:rFonts w:hint="eastAsia"/>
                <w:lang w:val="en-US" w:eastAsia="zh-CN"/>
              </w:rPr>
              <w:t>1间DSA+CT复合手术室、3间DSA手术室，内镜中心的1间ERCP室。</w:t>
            </w:r>
          </w:p>
          <w:p w14:paraId="034A84ED">
            <w:pPr>
              <w:widowControl/>
              <w:ind w:firstLine="480"/>
              <w:rPr>
                <w:bCs/>
              </w:rPr>
            </w:pPr>
            <w:r>
              <w:rPr>
                <w:bCs/>
              </w:rPr>
              <w:t>为</w:t>
            </w:r>
            <w:r>
              <w:t>加强非密封放射性物质、射线装置和放射源的辐射安全管理，防止放射性污染和意外事故的发生，确保使用过程不对职业人员、公众和环境产生不良影响，根据《中华人民共和国环境保护法》、《中华人民共和国环境影响评价法》、《中华人民共和国放射性污染防治法》和《放射性同位素与射线装置防护条例》等相关法律法规要求，</w:t>
            </w:r>
            <w:r>
              <w:rPr>
                <w:bCs/>
              </w:rPr>
              <w:t>建设方须对该项目进行环境影响评价。</w:t>
            </w:r>
          </w:p>
          <w:p w14:paraId="5CDA34DD">
            <w:pPr>
              <w:ind w:firstLine="480"/>
            </w:pPr>
            <w:r>
              <w:t>根据《建设项目环境影响评价分类管理名录》（2021年版），</w:t>
            </w:r>
            <w:r>
              <w:rPr>
                <w:bCs/>
              </w:rPr>
              <w:t>本项目为</w:t>
            </w:r>
            <w:r>
              <w:t>“乙级非密封放射性物质工作场所、使用Ⅱ类和Ⅲ类射线装</w:t>
            </w:r>
            <w:r>
              <w:rPr>
                <w:highlight w:val="none"/>
              </w:rPr>
              <w:t>置、使用Ⅴ类放射源”</w:t>
            </w:r>
            <w:r>
              <w:rPr>
                <w:bCs/>
              </w:rPr>
              <w:t>的核技术利用项目，应编制环境影响报告表</w:t>
            </w:r>
            <w:r>
              <w:t>。为此，</w:t>
            </w:r>
            <w:r>
              <w:rPr>
                <w:rFonts w:hint="eastAsia"/>
                <w:lang w:eastAsia="zh-CN"/>
              </w:rPr>
              <w:t>四川天府新区人民医院</w:t>
            </w:r>
            <w:r>
              <w:t>委托四川省自然资源实验测试研究中心（四川省核应急技术支持中心）对该项目开展环境影响评价工作（见附件</w:t>
            </w:r>
            <w:r>
              <w:rPr>
                <w:rFonts w:hint="eastAsia"/>
              </w:rPr>
              <w:t>2</w:t>
            </w:r>
            <w:r>
              <w:t>）。四川省自然资源实验测试研究中心（四川省核应急技术支持中心）接受委托后，通过现场勘察、收集资料等工作，结合本项目的特点，按照国家有关技术规范要求，编制完成《</w:t>
            </w:r>
            <w:r>
              <w:rPr>
                <w:rFonts w:hint="eastAsia"/>
                <w:bCs/>
                <w:lang w:eastAsia="zh-CN"/>
              </w:rPr>
              <w:t>四川天府新区人民医院新院区核技术利用项目</w:t>
            </w:r>
            <w:r>
              <w:rPr>
                <w:rFonts w:hint="eastAsia"/>
                <w:lang w:val="en-US" w:eastAsia="zh-CN"/>
              </w:rPr>
              <w:t>核技术利用项目</w:t>
            </w:r>
            <w:r>
              <w:t>环境影响报告表》。</w:t>
            </w:r>
          </w:p>
          <w:p w14:paraId="58D72A0A">
            <w:pPr>
              <w:autoSpaceDE w:val="0"/>
              <w:autoSpaceDN w:val="0"/>
              <w:adjustRightInd w:val="0"/>
              <w:rPr>
                <w:rFonts w:eastAsia="黑体"/>
              </w:rPr>
            </w:pPr>
            <w:r>
              <w:rPr>
                <w:rFonts w:eastAsia="黑体"/>
              </w:rPr>
              <w:t>二、项目概况</w:t>
            </w:r>
          </w:p>
          <w:p w14:paraId="51749481">
            <w:pPr>
              <w:ind w:firstLine="482"/>
              <w:rPr>
                <w:b/>
              </w:rPr>
            </w:pPr>
            <w:r>
              <w:rPr>
                <w:b/>
              </w:rPr>
              <w:t>（一）项目名称、性质、建设地点</w:t>
            </w:r>
          </w:p>
          <w:p w14:paraId="007205AA">
            <w:pPr>
              <w:ind w:firstLine="480"/>
            </w:pPr>
            <w:r>
              <w:t>项目名称：</w:t>
            </w:r>
            <w:r>
              <w:rPr>
                <w:rFonts w:hint="eastAsia"/>
                <w:bCs/>
                <w:lang w:eastAsia="zh-CN"/>
              </w:rPr>
              <w:t>四川天府新区人民医院新院区核技术利用项目</w:t>
            </w:r>
          </w:p>
          <w:p w14:paraId="314FF458">
            <w:pPr>
              <w:ind w:firstLine="480"/>
              <w:rPr>
                <w:rFonts w:hint="eastAsia" w:eastAsia="宋体"/>
                <w:lang w:eastAsia="zh-CN"/>
              </w:rPr>
            </w:pPr>
            <w:r>
              <w:t>建设单位：</w:t>
            </w:r>
            <w:r>
              <w:rPr>
                <w:rFonts w:hint="eastAsia"/>
                <w:bCs/>
                <w:lang w:eastAsia="zh-CN"/>
              </w:rPr>
              <w:t>四川天府新区人民医院</w:t>
            </w:r>
          </w:p>
          <w:p w14:paraId="635DA68A">
            <w:pPr>
              <w:ind w:firstLine="480"/>
            </w:pPr>
            <w:r>
              <w:t>建设性质：</w:t>
            </w:r>
            <w:r>
              <w:rPr>
                <w:rFonts w:hint="eastAsia"/>
                <w:lang w:val="en-US" w:eastAsia="zh-CN"/>
              </w:rPr>
              <w:t>新</w:t>
            </w:r>
            <w:r>
              <w:t>建</w:t>
            </w:r>
          </w:p>
          <w:p w14:paraId="1ACAE7EB">
            <w:pPr>
              <w:ind w:firstLine="480"/>
            </w:pPr>
            <w:r>
              <w:t>建设地点：</w:t>
            </w:r>
            <w:r>
              <w:rPr>
                <w:rFonts w:hint="eastAsia"/>
              </w:rPr>
              <w:t>四川天府新区万安街道高饭店村、开元村（天津路东段）</w:t>
            </w:r>
            <w:r>
              <w:rPr>
                <w:rFonts w:hint="eastAsia"/>
                <w:bCs/>
                <w:spacing w:val="-6"/>
                <w:lang w:eastAsia="zh-CN"/>
              </w:rPr>
              <w:t>四川天府新区人民医院</w:t>
            </w:r>
            <w:r>
              <w:rPr>
                <w:bCs/>
                <w:spacing w:val="-6"/>
              </w:rPr>
              <w:t>内</w:t>
            </w:r>
          </w:p>
          <w:p w14:paraId="752FF431">
            <w:pPr>
              <w:ind w:firstLine="482"/>
              <w:rPr>
                <w:b/>
              </w:rPr>
            </w:pPr>
            <w:r>
              <w:rPr>
                <w:b/>
              </w:rPr>
              <w:t>（二）建设内容及规模</w:t>
            </w:r>
          </w:p>
          <w:p w14:paraId="4BB7E320">
            <w:pPr>
              <w:ind w:firstLine="480"/>
              <w:rPr>
                <w:rFonts w:hint="eastAsia" w:eastAsia="宋体"/>
                <w:bCs/>
                <w:lang w:eastAsia="zh-CN"/>
              </w:rPr>
            </w:pPr>
            <w:r>
              <w:t>医院拟在</w:t>
            </w:r>
            <w:r>
              <w:rPr>
                <w:rFonts w:hint="eastAsia"/>
              </w:rPr>
              <w:t>四川天府新区万安街道高饭店村、开元村（天津路东段）</w:t>
            </w:r>
            <w:r>
              <w:rPr>
                <w:rFonts w:hint="eastAsia"/>
                <w:bCs/>
                <w:spacing w:val="-6"/>
                <w:lang w:eastAsia="zh-CN"/>
              </w:rPr>
              <w:t>四川天府新区人民医院</w:t>
            </w:r>
            <w:r>
              <w:rPr>
                <w:bCs/>
                <w:spacing w:val="-6"/>
              </w:rPr>
              <w:t>内</w:t>
            </w:r>
            <w:r>
              <w:rPr>
                <w:rFonts w:hint="eastAsia"/>
                <w:lang w:val="en-US" w:eastAsia="zh-CN"/>
              </w:rPr>
              <w:t>新</w:t>
            </w:r>
            <w:r>
              <w:t>建</w:t>
            </w:r>
            <w:r>
              <w:rPr>
                <w:rFonts w:hint="eastAsia"/>
                <w:lang w:val="en-US" w:eastAsia="zh-CN"/>
              </w:rPr>
              <w:t>门诊医技楼</w:t>
            </w:r>
            <w:r>
              <w:t>。</w:t>
            </w:r>
            <w:r>
              <w:rPr>
                <w:rFonts w:hint="eastAsia"/>
                <w:lang w:eastAsia="zh-CN"/>
              </w:rPr>
              <w:t>门诊医技楼</w:t>
            </w:r>
            <w:r>
              <w:t>地上四层，</w:t>
            </w:r>
            <w:r>
              <w:rPr>
                <w:rFonts w:hint="eastAsia"/>
                <w:lang w:eastAsia="zh-CN"/>
              </w:rPr>
              <w:t>地下二层</w:t>
            </w:r>
            <w:r>
              <w:t>，</w:t>
            </w:r>
            <w:r>
              <w:rPr>
                <w:spacing w:val="-2"/>
              </w:rPr>
              <w:t>高1</w:t>
            </w:r>
            <w:r>
              <w:rPr>
                <w:rFonts w:hint="eastAsia"/>
                <w:spacing w:val="-2"/>
                <w:lang w:val="en-US" w:eastAsia="zh-CN"/>
              </w:rPr>
              <w:t>9.2</w:t>
            </w:r>
            <w:r>
              <w:rPr>
                <w:spacing w:val="-2"/>
              </w:rPr>
              <w:t>m，</w:t>
            </w:r>
            <w:r>
              <w:rPr>
                <w:bCs/>
              </w:rPr>
              <w:t>总建筑面积约</w:t>
            </w:r>
            <w:r>
              <w:rPr>
                <w:rFonts w:hint="eastAsia"/>
                <w:bCs/>
                <w:lang w:val="en-US" w:eastAsia="zh-CN"/>
              </w:rPr>
              <w:t>61800</w:t>
            </w:r>
            <w:r>
              <w:rPr>
                <w:bCs/>
              </w:rPr>
              <w:t>m</w:t>
            </w:r>
            <w:r>
              <w:rPr>
                <w:bCs/>
                <w:vertAlign w:val="superscript"/>
              </w:rPr>
              <w:t>2</w:t>
            </w:r>
            <w:r>
              <w:rPr>
                <w:bCs/>
              </w:rPr>
              <w:t>，其中负一层</w:t>
            </w:r>
            <w:r>
              <w:rPr>
                <w:rFonts w:hint="eastAsia"/>
                <w:bCs/>
                <w:lang w:val="en-US" w:eastAsia="zh-CN"/>
              </w:rPr>
              <w:t>西侧中部</w:t>
            </w:r>
            <w:r>
              <w:rPr>
                <w:bCs/>
              </w:rPr>
              <w:t>布置</w:t>
            </w:r>
            <w:r>
              <w:rPr>
                <w:rFonts w:hint="eastAsia"/>
                <w:bCs/>
                <w:lang w:val="en-US" w:eastAsia="zh-CN"/>
              </w:rPr>
              <w:t>核医学科诊疗工作场所</w:t>
            </w:r>
            <w:r>
              <w:rPr>
                <w:bCs/>
              </w:rPr>
              <w:t>及辅助用房，</w:t>
            </w:r>
            <w:r>
              <w:rPr>
                <w:rFonts w:hint="eastAsia"/>
                <w:bCs/>
                <w:lang w:val="en-US" w:eastAsia="zh-CN"/>
              </w:rPr>
              <w:t>包括1</w:t>
            </w:r>
            <w:r>
              <w:t>个乙级非密封放射性物质工作场所</w:t>
            </w:r>
            <w:r>
              <w:rPr>
                <w:rFonts w:hint="eastAsia"/>
                <w:lang w:eastAsia="zh-CN"/>
              </w:rPr>
              <w:t>，</w:t>
            </w:r>
            <w:r>
              <w:rPr>
                <w:rFonts w:hint="eastAsia"/>
                <w:lang w:val="en-US" w:eastAsia="zh-CN"/>
              </w:rPr>
              <w:t>配置2</w:t>
            </w:r>
            <w:r>
              <w:t>台Ⅲ类射线装置（1台PET/CT、</w:t>
            </w:r>
            <w:r>
              <w:rPr>
                <w:rFonts w:hint="eastAsia"/>
                <w:lang w:val="en-US" w:eastAsia="zh-CN"/>
              </w:rPr>
              <w:t>1</w:t>
            </w:r>
            <w:r>
              <w:t>台SPECT/CT）</w:t>
            </w:r>
            <w:r>
              <w:rPr>
                <w:rFonts w:hint="eastAsia"/>
                <w:bCs/>
                <w:lang w:eastAsia="zh-CN"/>
              </w:rPr>
              <w:t>；</w:t>
            </w:r>
            <w:r>
              <w:rPr>
                <w:rFonts w:hint="eastAsia"/>
                <w:lang w:val="en-US" w:eastAsia="zh-CN"/>
              </w:rPr>
              <w:t>四层布置手术部和内镜中心，手术部拟设1间DSA+CT复合手术室、3间DSA手术室；内镜中心拟设1间ERCP室。</w:t>
            </w:r>
          </w:p>
          <w:p w14:paraId="68912F0B">
            <w:pPr>
              <w:ind w:firstLine="482"/>
              <w:rPr>
                <w:b/>
                <w:highlight w:val="none"/>
              </w:rPr>
            </w:pPr>
            <w:r>
              <w:rPr>
                <w:b/>
                <w:highlight w:val="none"/>
              </w:rPr>
              <w:t>1、衰变池区</w:t>
            </w:r>
          </w:p>
          <w:p w14:paraId="24C6B2D5">
            <w:pPr>
              <w:ind w:firstLine="480" w:firstLineChars="200"/>
              <w:rPr>
                <w:bCs/>
                <w:highlight w:val="yellow"/>
              </w:rPr>
            </w:pPr>
            <w:r>
              <w:rPr>
                <w:bCs/>
                <w:highlight w:val="none"/>
              </w:rPr>
              <w:t>衰变池区域位于</w:t>
            </w:r>
            <w:r>
              <w:rPr>
                <w:rFonts w:hint="eastAsia"/>
                <w:bCs/>
                <w:highlight w:val="none"/>
                <w:lang w:val="en-US" w:eastAsia="zh-CN"/>
              </w:rPr>
              <w:t>院区西侧绿化带地下</w:t>
            </w:r>
            <w:r>
              <w:rPr>
                <w:bCs/>
                <w:highlight w:val="none"/>
              </w:rPr>
              <w:t>，建筑面积</w:t>
            </w:r>
            <w:r>
              <w:rPr>
                <w:rFonts w:hint="eastAsia"/>
                <w:bCs/>
                <w:highlight w:val="none"/>
                <w:lang w:val="en-US" w:eastAsia="zh-CN"/>
              </w:rPr>
              <w:t>179.52</w:t>
            </w:r>
            <w:r>
              <w:rPr>
                <w:bCs/>
                <w:highlight w:val="none"/>
              </w:rPr>
              <w:t>m</w:t>
            </w:r>
            <w:r>
              <w:rPr>
                <w:bCs/>
                <w:highlight w:val="none"/>
                <w:vertAlign w:val="superscript"/>
              </w:rPr>
              <w:t>2</w:t>
            </w:r>
            <w:r>
              <w:rPr>
                <w:bCs/>
                <w:highlight w:val="none"/>
              </w:rPr>
              <w:t>，用于整个核医学科放射性废水的收集、衰变和排放</w:t>
            </w:r>
            <w:r>
              <w:rPr>
                <w:rFonts w:hint="eastAsia"/>
                <w:bCs/>
                <w:highlight w:val="none"/>
                <w:lang w:eastAsia="zh-CN"/>
              </w:rPr>
              <w:t>。</w:t>
            </w:r>
            <w:r>
              <w:rPr>
                <w:rFonts w:hint="eastAsia"/>
                <w:highlight w:val="none"/>
                <w:lang w:val="en-US" w:eastAsia="zh-CN"/>
              </w:rPr>
              <w:t>衰变池设计为三格，每格有效容积约为</w:t>
            </w:r>
            <w:r>
              <w:rPr>
                <w:rFonts w:hint="eastAsia"/>
                <w:bCs/>
                <w:sz w:val="24"/>
                <w:szCs w:val="24"/>
                <w:highlight w:val="none"/>
              </w:rPr>
              <w:t>1</w:t>
            </w:r>
            <w:r>
              <w:rPr>
                <w:rFonts w:hint="eastAsia"/>
                <w:bCs/>
                <w:sz w:val="24"/>
                <w:szCs w:val="24"/>
                <w:highlight w:val="none"/>
                <w:lang w:val="en-US" w:eastAsia="zh-CN"/>
              </w:rPr>
              <w:t>22.5</w:t>
            </w:r>
            <w:r>
              <w:rPr>
                <w:rFonts w:hint="eastAsia"/>
                <w:bCs/>
                <w:sz w:val="24"/>
                <w:szCs w:val="24"/>
                <w:highlight w:val="none"/>
              </w:rPr>
              <w:t>m</w:t>
            </w:r>
            <w:r>
              <w:rPr>
                <w:rFonts w:hint="eastAsia"/>
                <w:bCs/>
                <w:sz w:val="24"/>
                <w:szCs w:val="24"/>
                <w:highlight w:val="none"/>
                <w:vertAlign w:val="superscript"/>
              </w:rPr>
              <w:t>3</w:t>
            </w:r>
            <w:r>
              <w:rPr>
                <w:rFonts w:hint="eastAsia"/>
                <w:bCs/>
                <w:sz w:val="24"/>
                <w:szCs w:val="24"/>
                <w:highlight w:val="none"/>
              </w:rPr>
              <w:t>，三格总有效容积为3</w:t>
            </w:r>
            <w:r>
              <w:rPr>
                <w:rFonts w:hint="eastAsia"/>
                <w:bCs/>
                <w:sz w:val="24"/>
                <w:szCs w:val="24"/>
                <w:highlight w:val="none"/>
                <w:lang w:val="en-US" w:eastAsia="zh-CN"/>
              </w:rPr>
              <w:t>67.5</w:t>
            </w:r>
            <w:r>
              <w:rPr>
                <w:rFonts w:hint="eastAsia"/>
                <w:bCs/>
                <w:sz w:val="24"/>
                <w:szCs w:val="24"/>
                <w:highlight w:val="none"/>
              </w:rPr>
              <w:t>m</w:t>
            </w:r>
            <w:r>
              <w:rPr>
                <w:rFonts w:hint="eastAsia"/>
                <w:bCs/>
                <w:sz w:val="24"/>
                <w:szCs w:val="24"/>
                <w:highlight w:val="none"/>
                <w:vertAlign w:val="superscript"/>
              </w:rPr>
              <w:t>3</w:t>
            </w:r>
            <w:r>
              <w:rPr>
                <w:rFonts w:hint="eastAsia"/>
                <w:highlight w:val="none"/>
                <w:lang w:val="en-US" w:eastAsia="zh-CN"/>
              </w:rPr>
              <w:t>。衰变池采用三池间歇式贮存衰变法，轮流接纳含有放射性同位素的污水并定期提升排放。衰变池及沉淀池的四周池壁、底面及池盖均拟采用300mm混凝土（抗渗等级为P6）+涂抹20mm防水砂浆。</w:t>
            </w:r>
          </w:p>
          <w:p w14:paraId="636764EB">
            <w:pPr>
              <w:ind w:firstLine="482"/>
              <w:rPr>
                <w:b/>
              </w:rPr>
            </w:pPr>
            <w:r>
              <w:rPr>
                <w:rFonts w:hint="eastAsia"/>
                <w:b/>
                <w:lang w:val="en-US" w:eastAsia="zh-CN"/>
              </w:rPr>
              <w:t>2</w:t>
            </w:r>
            <w:r>
              <w:rPr>
                <w:b/>
              </w:rPr>
              <w:t>、负一层（</w:t>
            </w:r>
            <w:r>
              <w:rPr>
                <w:rFonts w:hint="eastAsia"/>
                <w:b/>
                <w:lang w:val="en-US" w:eastAsia="zh-CN"/>
              </w:rPr>
              <w:t>核医学科</w:t>
            </w:r>
            <w:r>
              <w:rPr>
                <w:b/>
              </w:rPr>
              <w:t>）</w:t>
            </w:r>
          </w:p>
          <w:p w14:paraId="109764D7">
            <w:pPr>
              <w:ind w:firstLine="480"/>
              <w:rPr>
                <w:bCs/>
              </w:rPr>
            </w:pPr>
            <w:r>
              <w:rPr>
                <w:rFonts w:hint="eastAsia"/>
                <w:bCs/>
                <w:lang w:val="en-US" w:eastAsia="zh-CN"/>
              </w:rPr>
              <w:t>核医学科位于门诊医技楼地下一层西侧中部，</w:t>
            </w:r>
            <w:r>
              <w:rPr>
                <w:bCs/>
              </w:rPr>
              <w:t>建筑面积约</w:t>
            </w:r>
            <w:r>
              <w:rPr>
                <w:rFonts w:hint="eastAsia"/>
                <w:bCs/>
                <w:lang w:val="en-US" w:eastAsia="zh-CN"/>
              </w:rPr>
              <w:t>960</w:t>
            </w:r>
            <w:r>
              <w:rPr>
                <w:bCs/>
              </w:rPr>
              <w:t>m</w:t>
            </w:r>
            <w:r>
              <w:rPr>
                <w:bCs/>
                <w:vertAlign w:val="superscript"/>
              </w:rPr>
              <w:t>2</w:t>
            </w:r>
            <w:r>
              <w:rPr>
                <w:bCs/>
              </w:rPr>
              <w:t>，用于</w:t>
            </w:r>
            <w:r>
              <w:rPr>
                <w:rFonts w:hint="eastAsia"/>
                <w:bCs/>
                <w:lang w:val="en-US" w:eastAsia="zh-CN"/>
              </w:rPr>
              <w:t>患者</w:t>
            </w:r>
            <w:r>
              <w:rPr>
                <w:bCs/>
              </w:rPr>
              <w:t>影像诊断</w:t>
            </w:r>
            <w:r>
              <w:rPr>
                <w:rFonts w:hint="eastAsia"/>
                <w:bCs/>
                <w:lang w:val="en-US" w:eastAsia="zh-CN"/>
              </w:rPr>
              <w:t>和治疗</w:t>
            </w:r>
            <w:r>
              <w:rPr>
                <w:bCs/>
              </w:rPr>
              <w:t>，布置的</w:t>
            </w:r>
            <w:r>
              <w:rPr>
                <w:rFonts w:hint="eastAsia"/>
                <w:bCs/>
                <w:lang w:val="en-US" w:eastAsia="zh-CN"/>
              </w:rPr>
              <w:t>主要</w:t>
            </w:r>
            <w:r>
              <w:rPr>
                <w:bCs/>
              </w:rPr>
              <w:t>功能房间包括：</w:t>
            </w:r>
            <w:r>
              <w:rPr>
                <w:rFonts w:hint="eastAsia"/>
                <w:bCs/>
                <w:lang w:val="en-US" w:eastAsia="zh-CN"/>
              </w:rPr>
              <w:t>甲功室、</w:t>
            </w:r>
            <w:r>
              <w:rPr>
                <w:bCs/>
              </w:rPr>
              <w:t>分装室</w:t>
            </w:r>
            <w:r>
              <w:rPr>
                <w:rFonts w:hint="eastAsia"/>
                <w:bCs/>
                <w:lang w:eastAsia="zh-CN"/>
              </w:rPr>
              <w:t>（</w:t>
            </w:r>
            <w:r>
              <w:rPr>
                <w:bCs/>
              </w:rPr>
              <w:t>1#、2#</w:t>
            </w:r>
            <w:r>
              <w:rPr>
                <w:rFonts w:hint="eastAsia"/>
                <w:bCs/>
                <w:lang w:eastAsia="zh-CN"/>
              </w:rPr>
              <w:t>）</w:t>
            </w:r>
            <w:r>
              <w:rPr>
                <w:bCs/>
              </w:rPr>
              <w:t>、</w:t>
            </w:r>
            <w:r>
              <w:rPr>
                <w:rFonts w:hint="eastAsia"/>
                <w:bCs/>
                <w:lang w:val="en-US" w:eastAsia="zh-CN"/>
              </w:rPr>
              <w:t>ECT</w:t>
            </w:r>
            <w:r>
              <w:rPr>
                <w:bCs/>
              </w:rPr>
              <w:t>注射室</w:t>
            </w:r>
            <w:r>
              <w:rPr>
                <w:rFonts w:hint="eastAsia"/>
                <w:bCs/>
                <w:lang w:eastAsia="zh-CN"/>
              </w:rPr>
              <w:t>、</w:t>
            </w:r>
            <w:r>
              <w:rPr>
                <w:rFonts w:hint="eastAsia"/>
                <w:bCs/>
                <w:lang w:val="en-US" w:eastAsia="zh-CN"/>
              </w:rPr>
              <w:t>PET注射室</w:t>
            </w:r>
            <w:r>
              <w:rPr>
                <w:bCs/>
              </w:rPr>
              <w:t>、储源室</w:t>
            </w:r>
            <w:r>
              <w:rPr>
                <w:rFonts w:hint="eastAsia"/>
                <w:bCs/>
                <w:lang w:eastAsia="zh-CN"/>
              </w:rPr>
              <w:t>（</w:t>
            </w:r>
            <w:r>
              <w:rPr>
                <w:bCs/>
              </w:rPr>
              <w:t>1#、2#</w:t>
            </w:r>
            <w:r>
              <w:rPr>
                <w:rFonts w:hint="eastAsia"/>
                <w:bCs/>
                <w:lang w:eastAsia="zh-CN"/>
              </w:rPr>
              <w:t>）</w:t>
            </w:r>
            <w:r>
              <w:rPr>
                <w:bCs/>
              </w:rPr>
              <w:t>、</w:t>
            </w:r>
            <w:r>
              <w:rPr>
                <w:rFonts w:hint="eastAsia"/>
                <w:bCs/>
                <w:lang w:val="en-US" w:eastAsia="zh-CN"/>
              </w:rPr>
              <w:t>敷贴室（1#、2#）、</w:t>
            </w:r>
            <w:r>
              <w:rPr>
                <w:bCs/>
              </w:rPr>
              <w:t>放废暂存间、PET/CT机房、</w:t>
            </w:r>
            <w:r>
              <w:rPr>
                <w:rFonts w:hint="eastAsia"/>
                <w:bCs/>
                <w:lang w:val="en-US" w:eastAsia="zh-CN"/>
              </w:rPr>
              <w:t>SPECT/CT</w:t>
            </w:r>
            <w:r>
              <w:rPr>
                <w:bCs/>
              </w:rPr>
              <w:t>机房、控制室、</w:t>
            </w:r>
            <w:r>
              <w:rPr>
                <w:rFonts w:hint="eastAsia"/>
                <w:bCs/>
                <w:lang w:val="en-US" w:eastAsia="zh-CN"/>
              </w:rPr>
              <w:t>ECT</w:t>
            </w:r>
            <w:r>
              <w:rPr>
                <w:bCs/>
              </w:rPr>
              <w:t>注射后等候室</w:t>
            </w:r>
            <w:r>
              <w:rPr>
                <w:rFonts w:hint="eastAsia"/>
                <w:bCs/>
                <w:lang w:eastAsia="zh-CN"/>
              </w:rPr>
              <w:t>、</w:t>
            </w:r>
            <w:r>
              <w:rPr>
                <w:rFonts w:hint="eastAsia"/>
                <w:bCs/>
                <w:lang w:val="en-US" w:eastAsia="zh-CN"/>
              </w:rPr>
              <w:t>PET注射后等候室</w:t>
            </w:r>
            <w:r>
              <w:rPr>
                <w:bCs/>
              </w:rPr>
              <w:t>、</w:t>
            </w:r>
            <w:r>
              <w:rPr>
                <w:rFonts w:hint="eastAsia"/>
                <w:bCs/>
                <w:lang w:val="en-US" w:eastAsia="zh-CN"/>
              </w:rPr>
              <w:t>ECT</w:t>
            </w:r>
            <w:r>
              <w:rPr>
                <w:bCs/>
              </w:rPr>
              <w:t>留观室</w:t>
            </w:r>
            <w:r>
              <w:rPr>
                <w:rFonts w:hint="eastAsia"/>
                <w:bCs/>
                <w:lang w:eastAsia="zh-CN"/>
              </w:rPr>
              <w:t>、</w:t>
            </w:r>
            <w:r>
              <w:rPr>
                <w:rFonts w:hint="eastAsia"/>
                <w:bCs/>
                <w:lang w:val="en-US" w:eastAsia="zh-CN"/>
              </w:rPr>
              <w:t>PET留观室、抢救室、I-131服药室、Sr-89注射室、日间留观室</w:t>
            </w:r>
            <w:r>
              <w:rPr>
                <w:bCs/>
              </w:rPr>
              <w:t>、</w:t>
            </w:r>
            <w:r>
              <w:rPr>
                <w:rFonts w:hint="eastAsia"/>
                <w:bCs/>
                <w:lang w:val="en-US" w:eastAsia="zh-CN"/>
              </w:rPr>
              <w:t>洁具</w:t>
            </w:r>
            <w:r>
              <w:rPr>
                <w:bCs/>
              </w:rPr>
              <w:t>间、卫生通过间</w:t>
            </w:r>
            <w:r>
              <w:rPr>
                <w:rFonts w:hint="eastAsia"/>
                <w:bCs/>
                <w:lang w:eastAsia="zh-CN"/>
              </w:rPr>
              <w:t>（</w:t>
            </w:r>
            <w:r>
              <w:rPr>
                <w:rFonts w:hint="eastAsia"/>
                <w:bCs/>
                <w:lang w:val="en-US" w:eastAsia="zh-CN"/>
              </w:rPr>
              <w:t>1#、2#</w:t>
            </w:r>
            <w:r>
              <w:rPr>
                <w:rFonts w:hint="eastAsia"/>
                <w:bCs/>
                <w:lang w:eastAsia="zh-CN"/>
              </w:rPr>
              <w:t>）</w:t>
            </w:r>
            <w:r>
              <w:rPr>
                <w:bCs/>
              </w:rPr>
              <w:t>等。同时配套</w:t>
            </w:r>
            <w:r>
              <w:rPr>
                <w:rFonts w:hint="eastAsia"/>
                <w:bCs/>
                <w:lang w:val="en-US" w:eastAsia="zh-CN"/>
              </w:rPr>
              <w:t>病史采集</w:t>
            </w:r>
            <w:r>
              <w:rPr>
                <w:bCs/>
              </w:rPr>
              <w:t>室、</w:t>
            </w:r>
            <w:r>
              <w:rPr>
                <w:rFonts w:hint="eastAsia"/>
                <w:bCs/>
                <w:lang w:val="en-US" w:eastAsia="zh-CN"/>
              </w:rPr>
              <w:t>留置针</w:t>
            </w:r>
            <w:r>
              <w:rPr>
                <w:bCs/>
              </w:rPr>
              <w:t>室、</w:t>
            </w:r>
            <w:r>
              <w:rPr>
                <w:rFonts w:hint="eastAsia"/>
                <w:bCs/>
                <w:lang w:val="en-US" w:eastAsia="zh-CN"/>
              </w:rPr>
              <w:t>值班室、</w:t>
            </w:r>
            <w:r>
              <w:rPr>
                <w:bCs/>
              </w:rPr>
              <w:t>等候大厅等非辐射功能用房。</w:t>
            </w:r>
          </w:p>
          <w:p w14:paraId="1B043AF0">
            <w:pPr>
              <w:ind w:firstLine="480"/>
              <w:rPr>
                <w:bCs/>
                <w:highlight w:val="none"/>
              </w:rPr>
            </w:pPr>
            <w:r>
              <w:rPr>
                <w:bCs/>
              </w:rPr>
              <w:t>负一层</w:t>
            </w:r>
            <w:r>
              <w:t>涉及使用非密封放射性物</w:t>
            </w:r>
            <w:r>
              <w:rPr>
                <w:highlight w:val="none"/>
              </w:rPr>
              <w:t>质</w:t>
            </w:r>
            <w:r>
              <w:rPr>
                <w:bCs/>
                <w:highlight w:val="none"/>
              </w:rPr>
              <w:t>氟-18、镓-68、</w:t>
            </w:r>
            <w:r>
              <w:rPr>
                <w:rFonts w:hint="eastAsia"/>
                <w:bCs/>
                <w:highlight w:val="none"/>
                <w:lang w:val="en-US" w:eastAsia="zh-CN"/>
              </w:rPr>
              <w:t>锶</w:t>
            </w:r>
            <w:r>
              <w:rPr>
                <w:bCs/>
                <w:highlight w:val="none"/>
              </w:rPr>
              <w:t>-89</w:t>
            </w:r>
            <w:r>
              <w:rPr>
                <w:rFonts w:hint="eastAsia"/>
                <w:bCs/>
                <w:highlight w:val="none"/>
                <w:lang w:eastAsia="zh-CN"/>
              </w:rPr>
              <w:t>、</w:t>
            </w:r>
            <w:r>
              <w:rPr>
                <w:bCs/>
                <w:highlight w:val="none"/>
              </w:rPr>
              <w:t>锝-99m</w:t>
            </w:r>
            <w:r>
              <w:rPr>
                <w:rFonts w:hint="eastAsia"/>
                <w:bCs/>
                <w:highlight w:val="none"/>
                <w:lang w:eastAsia="zh-CN"/>
              </w:rPr>
              <w:t>、</w:t>
            </w:r>
            <w:r>
              <w:rPr>
                <w:bCs/>
                <w:highlight w:val="none"/>
              </w:rPr>
              <w:t>碘-1</w:t>
            </w:r>
            <w:r>
              <w:rPr>
                <w:rFonts w:hint="eastAsia"/>
                <w:bCs/>
                <w:highlight w:val="none"/>
                <w:lang w:val="en-US" w:eastAsia="zh-CN"/>
              </w:rPr>
              <w:t>31和磷-32</w:t>
            </w:r>
            <w:r>
              <w:rPr>
                <w:bCs/>
                <w:highlight w:val="none"/>
              </w:rPr>
              <w:t>；</w:t>
            </w:r>
            <w:r>
              <w:rPr>
                <w:highlight w:val="none"/>
              </w:rPr>
              <w:t>使用2台Ⅲ类射线装置。</w:t>
            </w:r>
          </w:p>
          <w:p w14:paraId="0C55D0D3">
            <w:pPr>
              <w:ind w:firstLine="482"/>
            </w:pPr>
            <w:r>
              <w:rPr>
                <w:b/>
                <w:bCs/>
                <w:highlight w:val="none"/>
              </w:rPr>
              <w:t>①非密封放射性物质</w:t>
            </w:r>
            <w:r>
              <w:rPr>
                <w:bCs/>
                <w:highlight w:val="none"/>
              </w:rPr>
              <w:t>：</w:t>
            </w:r>
            <w:r>
              <w:rPr>
                <w:highlight w:val="none"/>
              </w:rPr>
              <w:t>拟使用</w:t>
            </w:r>
            <w:r>
              <w:rPr>
                <w:rFonts w:hint="eastAsia"/>
                <w:highlight w:val="none"/>
                <w:lang w:val="en-US" w:eastAsia="zh-CN"/>
              </w:rPr>
              <w:t>外购的</w:t>
            </w:r>
            <w:r>
              <w:rPr>
                <w:highlight w:val="none"/>
              </w:rPr>
              <w:t>氟-18（日最大操作量为</w:t>
            </w:r>
            <w:r>
              <w:rPr>
                <w:rFonts w:hint="eastAsia"/>
                <w:highlight w:val="none"/>
                <w:lang w:val="en-US" w:eastAsia="zh-CN"/>
              </w:rPr>
              <w:t>1.11</w:t>
            </w:r>
            <w:r>
              <w:rPr>
                <w:highlight w:val="none"/>
              </w:rPr>
              <w:t>×10</w:t>
            </w:r>
            <w:r>
              <w:rPr>
                <w:highlight w:val="none"/>
                <w:vertAlign w:val="superscript"/>
              </w:rPr>
              <w:t>10</w:t>
            </w:r>
            <w:r>
              <w:rPr>
                <w:highlight w:val="none"/>
              </w:rPr>
              <w:t>Bq、日等效最大操作量为</w:t>
            </w:r>
            <w:r>
              <w:rPr>
                <w:rFonts w:hint="eastAsia"/>
                <w:highlight w:val="none"/>
                <w:lang w:val="en-US" w:eastAsia="zh-CN"/>
              </w:rPr>
              <w:t>1.11</w:t>
            </w:r>
            <w:r>
              <w:rPr>
                <w:highlight w:val="none"/>
              </w:rPr>
              <w:t>×10</w:t>
            </w:r>
            <w:r>
              <w:rPr>
                <w:rFonts w:hint="eastAsia"/>
                <w:highlight w:val="none"/>
                <w:vertAlign w:val="superscript"/>
                <w:lang w:val="en-US" w:eastAsia="zh-CN"/>
              </w:rPr>
              <w:t>7</w:t>
            </w:r>
            <w:r>
              <w:rPr>
                <w:highlight w:val="none"/>
              </w:rPr>
              <w:t>Bq、年最大操作量为</w:t>
            </w:r>
            <w:r>
              <w:rPr>
                <w:rFonts w:hint="eastAsia"/>
                <w:highlight w:val="none"/>
                <w:lang w:val="en-US" w:eastAsia="zh-CN"/>
              </w:rPr>
              <w:t>2.78</w:t>
            </w:r>
            <w:r>
              <w:rPr>
                <w:highlight w:val="none"/>
              </w:rPr>
              <w:t>×10</w:t>
            </w:r>
            <w:r>
              <w:rPr>
                <w:highlight w:val="none"/>
                <w:vertAlign w:val="superscript"/>
              </w:rPr>
              <w:t>12</w:t>
            </w:r>
            <w:r>
              <w:rPr>
                <w:highlight w:val="none"/>
              </w:rPr>
              <w:t>Bq）</w:t>
            </w:r>
            <w:r>
              <w:rPr>
                <w:rFonts w:hint="eastAsia"/>
                <w:highlight w:val="none"/>
                <w:lang w:val="en-US" w:eastAsia="zh-CN"/>
              </w:rPr>
              <w:t>和</w:t>
            </w:r>
            <w:r>
              <w:rPr>
                <w:highlight w:val="none"/>
              </w:rPr>
              <w:t>镓-68（日最大操作量为1.85×10</w:t>
            </w:r>
            <w:r>
              <w:rPr>
                <w:highlight w:val="none"/>
                <w:vertAlign w:val="superscript"/>
              </w:rPr>
              <w:t>9</w:t>
            </w:r>
            <w:r>
              <w:rPr>
                <w:highlight w:val="none"/>
              </w:rPr>
              <w:t>Bq、日等效最大操作量为1.85×10</w:t>
            </w:r>
            <w:r>
              <w:rPr>
                <w:highlight w:val="none"/>
                <w:vertAlign w:val="superscript"/>
              </w:rPr>
              <w:t>7</w:t>
            </w:r>
            <w:r>
              <w:rPr>
                <w:highlight w:val="none"/>
              </w:rPr>
              <w:t>Bq、年最大操作为量1.85×10</w:t>
            </w:r>
            <w:r>
              <w:rPr>
                <w:highlight w:val="none"/>
                <w:vertAlign w:val="superscript"/>
              </w:rPr>
              <w:t>11</w:t>
            </w:r>
            <w:r>
              <w:rPr>
                <w:highlight w:val="none"/>
              </w:rPr>
              <w:t>Bq）用于PET/CT显像诊断</w:t>
            </w:r>
            <w:r>
              <w:rPr>
                <w:rFonts w:hint="eastAsia"/>
                <w:highlight w:val="none"/>
                <w:lang w:eastAsia="zh-CN"/>
              </w:rPr>
              <w:t>；</w:t>
            </w:r>
            <w:r>
              <w:rPr>
                <w:highlight w:val="none"/>
              </w:rPr>
              <w:t>拟使用</w:t>
            </w:r>
            <w:r>
              <w:rPr>
                <w:rFonts w:hint="eastAsia"/>
                <w:highlight w:val="none"/>
                <w:lang w:val="en-US" w:eastAsia="zh-CN"/>
              </w:rPr>
              <w:t>外购的</w:t>
            </w:r>
            <w:r>
              <w:rPr>
                <w:bCs/>
                <w:highlight w:val="none"/>
              </w:rPr>
              <w:t>锝-99m（</w:t>
            </w:r>
            <w:r>
              <w:rPr>
                <w:highlight w:val="none"/>
              </w:rPr>
              <w:t>日最大操作量为</w:t>
            </w:r>
            <w:r>
              <w:rPr>
                <w:rFonts w:hint="eastAsia"/>
                <w:highlight w:val="none"/>
                <w:lang w:val="en-US" w:eastAsia="zh-CN"/>
              </w:rPr>
              <w:t>2.22</w:t>
            </w:r>
            <w:r>
              <w:rPr>
                <w:highlight w:val="none"/>
              </w:rPr>
              <w:t>×10</w:t>
            </w:r>
            <w:r>
              <w:rPr>
                <w:highlight w:val="none"/>
                <w:vertAlign w:val="superscript"/>
              </w:rPr>
              <w:t>10</w:t>
            </w:r>
            <w:r>
              <w:rPr>
                <w:highlight w:val="none"/>
              </w:rPr>
              <w:t>Bq，日等效最大操作量为</w:t>
            </w:r>
            <w:r>
              <w:rPr>
                <w:rFonts w:hint="eastAsia"/>
                <w:highlight w:val="none"/>
                <w:lang w:val="en-US" w:eastAsia="zh-CN"/>
              </w:rPr>
              <w:t>2.22</w:t>
            </w:r>
            <w:r>
              <w:rPr>
                <w:highlight w:val="none"/>
              </w:rPr>
              <w:t>×10</w:t>
            </w:r>
            <w:r>
              <w:rPr>
                <w:highlight w:val="none"/>
                <w:vertAlign w:val="superscript"/>
              </w:rPr>
              <w:t>7</w:t>
            </w:r>
            <w:r>
              <w:rPr>
                <w:highlight w:val="none"/>
              </w:rPr>
              <w:t>Bq，年最大操作量为</w:t>
            </w:r>
            <w:r>
              <w:rPr>
                <w:rFonts w:hint="eastAsia"/>
                <w:highlight w:val="none"/>
                <w:lang w:val="en-US" w:eastAsia="zh-CN"/>
              </w:rPr>
              <w:t>5.55</w:t>
            </w:r>
            <w:r>
              <w:rPr>
                <w:highlight w:val="none"/>
              </w:rPr>
              <w:t>×10</w:t>
            </w:r>
            <w:r>
              <w:rPr>
                <w:highlight w:val="none"/>
                <w:vertAlign w:val="superscript"/>
              </w:rPr>
              <w:t>1</w:t>
            </w:r>
            <w:r>
              <w:rPr>
                <w:rFonts w:hint="eastAsia"/>
                <w:highlight w:val="none"/>
                <w:vertAlign w:val="superscript"/>
                <w:lang w:val="en-US" w:eastAsia="zh-CN"/>
              </w:rPr>
              <w:t>2</w:t>
            </w:r>
            <w:r>
              <w:rPr>
                <w:highlight w:val="none"/>
              </w:rPr>
              <w:t>Bq</w:t>
            </w:r>
            <w:r>
              <w:rPr>
                <w:bCs/>
                <w:highlight w:val="none"/>
              </w:rPr>
              <w:t>）</w:t>
            </w:r>
            <w:r>
              <w:rPr>
                <w:rFonts w:hint="eastAsia"/>
                <w:bCs/>
                <w:highlight w:val="none"/>
                <w:lang w:val="en-US" w:eastAsia="zh-CN"/>
              </w:rPr>
              <w:t>用于SPECT/CT显像诊断</w:t>
            </w:r>
            <w:r>
              <w:rPr>
                <w:rFonts w:hint="eastAsia"/>
                <w:highlight w:val="none"/>
                <w:lang w:eastAsia="zh-CN"/>
              </w:rPr>
              <w:t>；</w:t>
            </w:r>
            <w:r>
              <w:rPr>
                <w:highlight w:val="none"/>
              </w:rPr>
              <w:t>拟使用</w:t>
            </w:r>
            <w:r>
              <w:rPr>
                <w:rFonts w:hint="eastAsia"/>
                <w:highlight w:val="none"/>
                <w:lang w:val="en-US" w:eastAsia="zh-CN"/>
              </w:rPr>
              <w:t>外购的</w:t>
            </w:r>
            <w:r>
              <w:rPr>
                <w:bCs/>
                <w:highlight w:val="none"/>
              </w:rPr>
              <w:t>碘-131</w:t>
            </w:r>
            <w:r>
              <w:rPr>
                <w:rFonts w:hint="eastAsia"/>
                <w:highlight w:val="none"/>
                <w:lang w:eastAsia="zh-CN"/>
              </w:rPr>
              <w:t>（</w:t>
            </w:r>
            <w:r>
              <w:rPr>
                <w:highlight w:val="none"/>
              </w:rPr>
              <w:t>日最大操作量为</w:t>
            </w:r>
            <w:r>
              <w:rPr>
                <w:rFonts w:hint="eastAsia"/>
                <w:highlight w:val="none"/>
                <w:lang w:val="en-US" w:eastAsia="zh-CN"/>
              </w:rPr>
              <w:t>3.70</w:t>
            </w:r>
            <w:r>
              <w:rPr>
                <w:highlight w:val="none"/>
              </w:rPr>
              <w:t>×10</w:t>
            </w:r>
            <w:r>
              <w:rPr>
                <w:rFonts w:hint="eastAsia"/>
                <w:highlight w:val="none"/>
                <w:vertAlign w:val="superscript"/>
                <w:lang w:val="en-US" w:eastAsia="zh-CN"/>
              </w:rPr>
              <w:t>9</w:t>
            </w:r>
            <w:r>
              <w:rPr>
                <w:highlight w:val="none"/>
              </w:rPr>
              <w:t>Bq，日等效最大操作量为</w:t>
            </w:r>
            <w:r>
              <w:rPr>
                <w:rFonts w:hint="eastAsia"/>
                <w:highlight w:val="none"/>
                <w:lang w:val="en-US" w:eastAsia="zh-CN"/>
              </w:rPr>
              <w:t>3.70</w:t>
            </w:r>
            <w:r>
              <w:rPr>
                <w:highlight w:val="none"/>
              </w:rPr>
              <w:t>×10</w:t>
            </w:r>
            <w:r>
              <w:rPr>
                <w:rFonts w:hint="eastAsia"/>
                <w:highlight w:val="none"/>
                <w:vertAlign w:val="superscript"/>
                <w:lang w:val="en-US" w:eastAsia="zh-CN"/>
              </w:rPr>
              <w:t>8</w:t>
            </w:r>
            <w:r>
              <w:rPr>
                <w:highlight w:val="none"/>
              </w:rPr>
              <w:t>Bq，年最大操作量为</w:t>
            </w:r>
            <w:r>
              <w:rPr>
                <w:rFonts w:hint="eastAsia"/>
                <w:highlight w:val="none"/>
                <w:lang w:val="en-US" w:eastAsia="zh-CN"/>
              </w:rPr>
              <w:t>9.25</w:t>
            </w:r>
            <w:r>
              <w:rPr>
                <w:highlight w:val="none"/>
              </w:rPr>
              <w:t>×10</w:t>
            </w:r>
            <w:r>
              <w:rPr>
                <w:highlight w:val="none"/>
                <w:vertAlign w:val="superscript"/>
              </w:rPr>
              <w:t>1</w:t>
            </w:r>
            <w:r>
              <w:rPr>
                <w:rFonts w:hint="eastAsia"/>
                <w:highlight w:val="none"/>
                <w:vertAlign w:val="superscript"/>
                <w:lang w:val="en-US" w:eastAsia="zh-CN"/>
              </w:rPr>
              <w:t>1</w:t>
            </w:r>
            <w:r>
              <w:rPr>
                <w:highlight w:val="none"/>
              </w:rPr>
              <w:t>Bq</w:t>
            </w:r>
            <w:r>
              <w:rPr>
                <w:rFonts w:hint="eastAsia"/>
                <w:highlight w:val="none"/>
                <w:lang w:eastAsia="zh-CN"/>
              </w:rPr>
              <w:t>）</w:t>
            </w:r>
            <w:r>
              <w:rPr>
                <w:highlight w:val="none"/>
              </w:rPr>
              <w:t>用于甲</w:t>
            </w:r>
            <w:r>
              <w:rPr>
                <w:rFonts w:hint="eastAsia"/>
                <w:highlight w:val="none"/>
                <w:lang w:val="en-US" w:eastAsia="zh-CN"/>
              </w:rPr>
              <w:t>亢</w:t>
            </w:r>
            <w:r>
              <w:rPr>
                <w:highlight w:val="none"/>
              </w:rPr>
              <w:t>治疗</w:t>
            </w:r>
            <w:r>
              <w:rPr>
                <w:rFonts w:hint="eastAsia"/>
                <w:highlight w:val="none"/>
                <w:lang w:eastAsia="zh-CN"/>
              </w:rPr>
              <w:t>；</w:t>
            </w:r>
            <w:r>
              <w:rPr>
                <w:highlight w:val="none"/>
              </w:rPr>
              <w:t>拟使用</w:t>
            </w:r>
            <w:r>
              <w:rPr>
                <w:rFonts w:hint="eastAsia"/>
                <w:highlight w:val="none"/>
                <w:lang w:val="en-US" w:eastAsia="zh-CN"/>
              </w:rPr>
              <w:t>外购的</w:t>
            </w:r>
            <w:r>
              <w:rPr>
                <w:bCs/>
                <w:highlight w:val="none"/>
              </w:rPr>
              <w:t>碘-131</w:t>
            </w:r>
            <w:r>
              <w:rPr>
                <w:rFonts w:hint="eastAsia"/>
                <w:highlight w:val="none"/>
                <w:lang w:eastAsia="zh-CN"/>
              </w:rPr>
              <w:t>（</w:t>
            </w:r>
            <w:r>
              <w:rPr>
                <w:highlight w:val="none"/>
              </w:rPr>
              <w:t>日最大操作量为</w:t>
            </w:r>
            <w:r>
              <w:rPr>
                <w:rFonts w:hint="eastAsia"/>
                <w:highlight w:val="none"/>
                <w:lang w:val="en-US" w:eastAsia="zh-CN"/>
              </w:rPr>
              <w:t>2.78</w:t>
            </w:r>
            <w:r>
              <w:rPr>
                <w:highlight w:val="none"/>
              </w:rPr>
              <w:t>×10</w:t>
            </w:r>
            <w:r>
              <w:rPr>
                <w:rFonts w:hint="eastAsia"/>
                <w:highlight w:val="none"/>
                <w:vertAlign w:val="superscript"/>
                <w:lang w:val="en-US" w:eastAsia="zh-CN"/>
              </w:rPr>
              <w:t>6</w:t>
            </w:r>
            <w:r>
              <w:rPr>
                <w:highlight w:val="none"/>
              </w:rPr>
              <w:t>Bq，日等效最大操作量为</w:t>
            </w:r>
            <w:r>
              <w:rPr>
                <w:rFonts w:hint="eastAsia"/>
                <w:highlight w:val="none"/>
                <w:lang w:val="en-US" w:eastAsia="zh-CN"/>
              </w:rPr>
              <w:t>2.78</w:t>
            </w:r>
            <w:r>
              <w:rPr>
                <w:highlight w:val="none"/>
              </w:rPr>
              <w:t>×10</w:t>
            </w:r>
            <w:r>
              <w:rPr>
                <w:rFonts w:hint="eastAsia"/>
                <w:highlight w:val="none"/>
                <w:vertAlign w:val="superscript"/>
                <w:lang w:val="en-US" w:eastAsia="zh-CN"/>
              </w:rPr>
              <w:t>5</w:t>
            </w:r>
            <w:r>
              <w:rPr>
                <w:highlight w:val="none"/>
              </w:rPr>
              <w:t>Bq，年最大操作量为</w:t>
            </w:r>
            <w:r>
              <w:rPr>
                <w:rFonts w:hint="eastAsia"/>
                <w:highlight w:val="none"/>
                <w:lang w:val="en-US" w:eastAsia="zh-CN"/>
              </w:rPr>
              <w:t>6.94</w:t>
            </w:r>
            <w:r>
              <w:rPr>
                <w:highlight w:val="none"/>
              </w:rPr>
              <w:t>×10</w:t>
            </w:r>
            <w:r>
              <w:rPr>
                <w:rFonts w:hint="eastAsia"/>
                <w:highlight w:val="none"/>
                <w:vertAlign w:val="superscript"/>
                <w:lang w:val="en-US" w:eastAsia="zh-CN"/>
              </w:rPr>
              <w:t>8</w:t>
            </w:r>
            <w:r>
              <w:rPr>
                <w:highlight w:val="none"/>
              </w:rPr>
              <w:t>Bq</w:t>
            </w:r>
            <w:r>
              <w:rPr>
                <w:rFonts w:hint="eastAsia"/>
                <w:highlight w:val="none"/>
                <w:lang w:eastAsia="zh-CN"/>
              </w:rPr>
              <w:t>）</w:t>
            </w:r>
            <w:r>
              <w:rPr>
                <w:highlight w:val="none"/>
              </w:rPr>
              <w:t>用于</w:t>
            </w:r>
            <w:r>
              <w:rPr>
                <w:rFonts w:hint="eastAsia"/>
                <w:highlight w:val="none"/>
                <w:lang w:val="en-US" w:eastAsia="zh-CN"/>
              </w:rPr>
              <w:t>甲状腺吸碘率测定</w:t>
            </w:r>
            <w:r>
              <w:rPr>
                <w:rFonts w:hint="eastAsia"/>
                <w:highlight w:val="none"/>
                <w:lang w:eastAsia="zh-CN"/>
              </w:rPr>
              <w:t>；</w:t>
            </w:r>
            <w:r>
              <w:rPr>
                <w:rFonts w:hint="eastAsia"/>
                <w:highlight w:val="none"/>
                <w:lang w:val="en-US" w:eastAsia="zh-CN"/>
              </w:rPr>
              <w:t>拟</w:t>
            </w:r>
            <w:r>
              <w:rPr>
                <w:highlight w:val="none"/>
              </w:rPr>
              <w:t>使用</w:t>
            </w:r>
            <w:r>
              <w:rPr>
                <w:rFonts w:hint="eastAsia"/>
                <w:highlight w:val="none"/>
                <w:lang w:val="en-US" w:eastAsia="zh-CN"/>
              </w:rPr>
              <w:t>外购的</w:t>
            </w:r>
            <w:r>
              <w:rPr>
                <w:rFonts w:hint="eastAsia"/>
                <w:bCs/>
                <w:highlight w:val="none"/>
                <w:lang w:val="en-US" w:eastAsia="zh-CN"/>
              </w:rPr>
              <w:t>锶</w:t>
            </w:r>
            <w:r>
              <w:rPr>
                <w:bCs/>
                <w:highlight w:val="none"/>
              </w:rPr>
              <w:t>-89</w:t>
            </w:r>
            <w:r>
              <w:rPr>
                <w:rFonts w:hint="eastAsia"/>
                <w:highlight w:val="none"/>
                <w:lang w:eastAsia="zh-CN"/>
              </w:rPr>
              <w:t>（</w:t>
            </w:r>
            <w:r>
              <w:rPr>
                <w:highlight w:val="none"/>
              </w:rPr>
              <w:t>日最大操作量为</w:t>
            </w:r>
            <w:r>
              <w:rPr>
                <w:rFonts w:hint="eastAsia"/>
                <w:highlight w:val="none"/>
                <w:lang w:val="en-US" w:eastAsia="zh-CN"/>
              </w:rPr>
              <w:t>7.40</w:t>
            </w:r>
            <w:r>
              <w:rPr>
                <w:highlight w:val="none"/>
              </w:rPr>
              <w:t>×10</w:t>
            </w:r>
            <w:r>
              <w:rPr>
                <w:rFonts w:hint="eastAsia"/>
                <w:highlight w:val="none"/>
                <w:vertAlign w:val="superscript"/>
                <w:lang w:val="en-US" w:eastAsia="zh-CN"/>
              </w:rPr>
              <w:t>8</w:t>
            </w:r>
            <w:r>
              <w:rPr>
                <w:highlight w:val="none"/>
              </w:rPr>
              <w:t>Bq，日等效最大操作量为</w:t>
            </w:r>
            <w:r>
              <w:rPr>
                <w:rFonts w:hint="eastAsia"/>
                <w:highlight w:val="none"/>
                <w:lang w:val="en-US" w:eastAsia="zh-CN"/>
              </w:rPr>
              <w:t>7.40</w:t>
            </w:r>
            <w:r>
              <w:rPr>
                <w:highlight w:val="none"/>
              </w:rPr>
              <w:t>×10</w:t>
            </w:r>
            <w:r>
              <w:rPr>
                <w:rFonts w:hint="eastAsia"/>
                <w:highlight w:val="none"/>
                <w:vertAlign w:val="superscript"/>
                <w:lang w:val="en-US" w:eastAsia="zh-CN"/>
              </w:rPr>
              <w:t>7</w:t>
            </w:r>
            <w:r>
              <w:rPr>
                <w:highlight w:val="none"/>
              </w:rPr>
              <w:t>Bq，年最大操作量为</w:t>
            </w:r>
            <w:r>
              <w:rPr>
                <w:rFonts w:hint="eastAsia"/>
                <w:highlight w:val="none"/>
                <w:lang w:val="en-US" w:eastAsia="zh-CN"/>
              </w:rPr>
              <w:t>1.85</w:t>
            </w:r>
            <w:r>
              <w:rPr>
                <w:highlight w:val="none"/>
              </w:rPr>
              <w:t>×10</w:t>
            </w:r>
            <w:r>
              <w:rPr>
                <w:highlight w:val="none"/>
                <w:vertAlign w:val="superscript"/>
              </w:rPr>
              <w:t>1</w:t>
            </w:r>
            <w:r>
              <w:rPr>
                <w:rFonts w:hint="eastAsia"/>
                <w:highlight w:val="none"/>
                <w:vertAlign w:val="superscript"/>
                <w:lang w:val="en-US" w:eastAsia="zh-CN"/>
              </w:rPr>
              <w:t>1</w:t>
            </w:r>
            <w:r>
              <w:rPr>
                <w:highlight w:val="none"/>
              </w:rPr>
              <w:t>Bq</w:t>
            </w:r>
            <w:r>
              <w:rPr>
                <w:rFonts w:hint="eastAsia"/>
                <w:highlight w:val="none"/>
                <w:lang w:eastAsia="zh-CN"/>
              </w:rPr>
              <w:t>）</w:t>
            </w:r>
            <w:r>
              <w:rPr>
                <w:highlight w:val="none"/>
              </w:rPr>
              <w:t>用于</w:t>
            </w:r>
            <w:r>
              <w:rPr>
                <w:rFonts w:hint="eastAsia"/>
                <w:highlight w:val="none"/>
                <w:lang w:val="en-US" w:eastAsia="zh-CN"/>
              </w:rPr>
              <w:t>骨转移癌</w:t>
            </w:r>
            <w:r>
              <w:rPr>
                <w:highlight w:val="none"/>
              </w:rPr>
              <w:t>治疗</w:t>
            </w:r>
            <w:r>
              <w:rPr>
                <w:rFonts w:hint="eastAsia"/>
                <w:highlight w:val="none"/>
                <w:lang w:eastAsia="zh-CN"/>
              </w:rPr>
              <w:t>；</w:t>
            </w:r>
            <w:r>
              <w:rPr>
                <w:rFonts w:hint="eastAsia"/>
                <w:highlight w:val="none"/>
                <w:lang w:val="en-US" w:eastAsia="zh-CN"/>
              </w:rPr>
              <w:t>拟</w:t>
            </w:r>
            <w:r>
              <w:rPr>
                <w:highlight w:val="none"/>
              </w:rPr>
              <w:t>使用</w:t>
            </w:r>
            <w:r>
              <w:rPr>
                <w:rFonts w:hint="eastAsia"/>
                <w:highlight w:val="none"/>
                <w:lang w:val="en-US" w:eastAsia="zh-CN"/>
              </w:rPr>
              <w:t>外购的</w:t>
            </w:r>
            <w:r>
              <w:rPr>
                <w:rFonts w:hint="eastAsia"/>
                <w:bCs/>
                <w:highlight w:val="none"/>
                <w:lang w:val="en-US" w:eastAsia="zh-CN"/>
              </w:rPr>
              <w:t>磷-32</w:t>
            </w:r>
            <w:r>
              <w:rPr>
                <w:rFonts w:hint="eastAsia"/>
                <w:highlight w:val="none"/>
                <w:lang w:eastAsia="zh-CN"/>
              </w:rPr>
              <w:t>（</w:t>
            </w:r>
            <w:r>
              <w:rPr>
                <w:highlight w:val="none"/>
              </w:rPr>
              <w:t>日最大操作量为</w:t>
            </w:r>
            <w:r>
              <w:rPr>
                <w:rFonts w:hint="eastAsia"/>
                <w:highlight w:val="none"/>
                <w:lang w:val="en-US" w:eastAsia="zh-CN"/>
              </w:rPr>
              <w:t>1.11</w:t>
            </w:r>
            <w:r>
              <w:rPr>
                <w:highlight w:val="none"/>
              </w:rPr>
              <w:t>×10</w:t>
            </w:r>
            <w:r>
              <w:rPr>
                <w:rFonts w:hint="eastAsia"/>
                <w:highlight w:val="none"/>
                <w:vertAlign w:val="superscript"/>
                <w:lang w:val="en-US" w:eastAsia="zh-CN"/>
              </w:rPr>
              <w:t>7</w:t>
            </w:r>
            <w:r>
              <w:rPr>
                <w:highlight w:val="none"/>
              </w:rPr>
              <w:t>Bq，日等效最大操作量为</w:t>
            </w:r>
            <w:r>
              <w:rPr>
                <w:rFonts w:hint="eastAsia"/>
                <w:highlight w:val="none"/>
                <w:lang w:val="en-US" w:eastAsia="zh-CN"/>
              </w:rPr>
              <w:t>1.11</w:t>
            </w:r>
            <w:r>
              <w:rPr>
                <w:highlight w:val="none"/>
              </w:rPr>
              <w:t>×10</w:t>
            </w:r>
            <w:r>
              <w:rPr>
                <w:rFonts w:hint="eastAsia"/>
                <w:highlight w:val="none"/>
                <w:vertAlign w:val="superscript"/>
                <w:lang w:val="en-US" w:eastAsia="zh-CN"/>
              </w:rPr>
              <w:t>5</w:t>
            </w:r>
            <w:r>
              <w:rPr>
                <w:highlight w:val="none"/>
              </w:rPr>
              <w:t>Bq，年最大操作量为</w:t>
            </w:r>
            <w:r>
              <w:rPr>
                <w:rFonts w:hint="eastAsia"/>
                <w:highlight w:val="none"/>
                <w:lang w:val="en-US" w:eastAsia="zh-CN"/>
              </w:rPr>
              <w:t>2.78</w:t>
            </w:r>
            <w:r>
              <w:rPr>
                <w:highlight w:val="none"/>
              </w:rPr>
              <w:t>×10</w:t>
            </w:r>
            <w:r>
              <w:rPr>
                <w:rFonts w:hint="eastAsia"/>
                <w:highlight w:val="none"/>
                <w:vertAlign w:val="superscript"/>
                <w:lang w:val="en-US" w:eastAsia="zh-CN"/>
              </w:rPr>
              <w:t>9</w:t>
            </w:r>
            <w:r>
              <w:rPr>
                <w:highlight w:val="none"/>
              </w:rPr>
              <w:t>Bq</w:t>
            </w:r>
            <w:r>
              <w:rPr>
                <w:rFonts w:hint="eastAsia"/>
                <w:highlight w:val="none"/>
                <w:lang w:eastAsia="zh-CN"/>
              </w:rPr>
              <w:t>）</w:t>
            </w:r>
            <w:r>
              <w:rPr>
                <w:highlight w:val="none"/>
              </w:rPr>
              <w:t>用于</w:t>
            </w:r>
            <w:r>
              <w:rPr>
                <w:rFonts w:hint="eastAsia"/>
                <w:highlight w:val="none"/>
                <w:lang w:val="en-US" w:eastAsia="zh-CN"/>
              </w:rPr>
              <w:t>敷贴</w:t>
            </w:r>
            <w:r>
              <w:rPr>
                <w:highlight w:val="none"/>
              </w:rPr>
              <w:t>治疗</w:t>
            </w:r>
            <w:r>
              <w:rPr>
                <w:rFonts w:hint="eastAsia"/>
                <w:highlight w:val="none"/>
                <w:lang w:eastAsia="zh-CN"/>
              </w:rPr>
              <w:t>。</w:t>
            </w:r>
            <w:r>
              <w:rPr>
                <w:highlight w:val="none"/>
              </w:rPr>
              <w:t>合计日等效最大操作量为</w:t>
            </w:r>
            <w:r>
              <w:rPr>
                <w:rFonts w:hint="eastAsia"/>
                <w:highlight w:val="none"/>
                <w:lang w:val="en-US" w:eastAsia="zh-CN" w:bidi="ar"/>
              </w:rPr>
              <w:t>4.97</w:t>
            </w:r>
            <w:r>
              <w:rPr>
                <w:highlight w:val="none"/>
              </w:rPr>
              <w:t>×10</w:t>
            </w:r>
            <w:r>
              <w:rPr>
                <w:highlight w:val="none"/>
                <w:vertAlign w:val="superscript"/>
              </w:rPr>
              <w:t>8</w:t>
            </w:r>
            <w:r>
              <w:rPr>
                <w:highlight w:val="none"/>
              </w:rPr>
              <w:t>Bq，</w:t>
            </w:r>
            <w:r>
              <w:t>属于乙级非密封放射性物质工作场所。</w:t>
            </w:r>
          </w:p>
          <w:p w14:paraId="5338D4A4">
            <w:pPr>
              <w:ind w:firstLine="482"/>
              <w:rPr>
                <w:bCs/>
              </w:rPr>
            </w:pPr>
            <w:r>
              <w:rPr>
                <w:b/>
                <w:bCs/>
              </w:rPr>
              <w:t>②射线装置：</w:t>
            </w:r>
            <w:r>
              <w:rPr>
                <w:bCs/>
              </w:rPr>
              <w:t>PET/CT机房内新增1台PET/CT（型号未定），</w:t>
            </w:r>
            <w:r>
              <w:t>额定管电压140kV、额定管电流</w:t>
            </w:r>
            <w:r>
              <w:rPr>
                <w:rFonts w:hint="eastAsia"/>
                <w:lang w:val="en-US" w:eastAsia="zh-CN"/>
              </w:rPr>
              <w:t>9</w:t>
            </w:r>
            <w:r>
              <w:t>00mA</w:t>
            </w:r>
            <w:r>
              <w:rPr>
                <w:rFonts w:hint="eastAsia"/>
                <w:lang w:eastAsia="zh-CN"/>
              </w:rPr>
              <w:t>，</w:t>
            </w:r>
            <w:r>
              <w:t>用于显像诊断</w:t>
            </w:r>
            <w:r>
              <w:rPr>
                <w:rFonts w:hint="eastAsia"/>
                <w:lang w:eastAsia="zh-CN"/>
              </w:rPr>
              <w:t>；</w:t>
            </w:r>
            <w:r>
              <w:rPr>
                <w:rFonts w:hint="eastAsia"/>
                <w:lang w:val="en-US" w:eastAsia="zh-CN"/>
              </w:rPr>
              <w:t>SPECT/CT机房内新增1台</w:t>
            </w:r>
            <w:r>
              <w:rPr>
                <w:bCs/>
              </w:rPr>
              <w:t>1台</w:t>
            </w:r>
            <w:r>
              <w:rPr>
                <w:rFonts w:hint="eastAsia"/>
                <w:bCs/>
                <w:lang w:val="en-US" w:eastAsia="zh-CN"/>
              </w:rPr>
              <w:t>S</w:t>
            </w:r>
            <w:r>
              <w:rPr>
                <w:bCs/>
              </w:rPr>
              <w:t>PE</w:t>
            </w:r>
            <w:r>
              <w:rPr>
                <w:rFonts w:hint="eastAsia"/>
                <w:bCs/>
                <w:lang w:val="en-US" w:eastAsia="zh-CN"/>
              </w:rPr>
              <w:t>C</w:t>
            </w:r>
            <w:r>
              <w:rPr>
                <w:bCs/>
              </w:rPr>
              <w:t>T/CT（型号未定），</w:t>
            </w:r>
            <w:r>
              <w:t>额定管电压140kV、额定管电流</w:t>
            </w:r>
            <w:r>
              <w:rPr>
                <w:rFonts w:hint="eastAsia"/>
                <w:lang w:val="en-US" w:eastAsia="zh-CN"/>
              </w:rPr>
              <w:t>9</w:t>
            </w:r>
            <w:r>
              <w:t>00mA</w:t>
            </w:r>
            <w:r>
              <w:rPr>
                <w:rFonts w:hint="eastAsia"/>
                <w:lang w:eastAsia="zh-CN"/>
              </w:rPr>
              <w:t>，</w:t>
            </w:r>
            <w:r>
              <w:t>用于显像诊断</w:t>
            </w:r>
            <w:r>
              <w:rPr>
                <w:rFonts w:hint="eastAsia"/>
                <w:lang w:eastAsia="zh-CN"/>
              </w:rPr>
              <w:t>。</w:t>
            </w:r>
            <w:r>
              <w:rPr>
                <w:rFonts w:hint="eastAsia"/>
                <w:lang w:val="en-US" w:eastAsia="zh-CN"/>
              </w:rPr>
              <w:t>均</w:t>
            </w:r>
            <w:r>
              <w:t>属于Ⅲ类射线装置。</w:t>
            </w:r>
          </w:p>
          <w:p w14:paraId="7E8D0176">
            <w:pPr>
              <w:ind w:firstLine="480"/>
            </w:pPr>
            <w:r>
              <w:rPr>
                <w:bCs/>
              </w:rPr>
              <w:t>负一层</w:t>
            </w:r>
            <w:r>
              <w:t>病人就诊量及非密封放射性物质使用情况见表1-</w:t>
            </w:r>
            <w:r>
              <w:rPr>
                <w:rFonts w:hint="eastAsia"/>
                <w:lang w:val="en-US" w:eastAsia="zh-CN"/>
              </w:rPr>
              <w:t>1</w:t>
            </w:r>
            <w:r>
              <w:t>。</w:t>
            </w:r>
          </w:p>
          <w:p w14:paraId="027E09C0">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1</w:t>
            </w:r>
            <w:r>
              <w:rPr>
                <w:rFonts w:eastAsia="黑体"/>
                <w:bCs/>
                <w:sz w:val="21"/>
                <w:szCs w:val="21"/>
              </w:rPr>
              <w:t xml:space="preserve">  负一层就诊病人量及非密封放射性物质用量情况表</w:t>
            </w:r>
          </w:p>
          <w:tbl>
            <w:tblPr>
              <w:tblStyle w:val="57"/>
              <w:tblW w:w="499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28" w:type="dxa"/>
                <w:left w:w="28" w:type="dxa"/>
                <w:bottom w:w="28" w:type="dxa"/>
                <w:right w:w="28" w:type="dxa"/>
              </w:tblCellMar>
            </w:tblPr>
            <w:tblGrid>
              <w:gridCol w:w="466"/>
              <w:gridCol w:w="834"/>
              <w:gridCol w:w="1005"/>
              <w:gridCol w:w="1318"/>
              <w:gridCol w:w="992"/>
              <w:gridCol w:w="1065"/>
              <w:gridCol w:w="1110"/>
              <w:gridCol w:w="1050"/>
              <w:gridCol w:w="655"/>
            </w:tblGrid>
            <w:tr w14:paraId="46A2A6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595" w:hRule="atLeast"/>
                <w:jc w:val="center"/>
              </w:trPr>
              <w:tc>
                <w:tcPr>
                  <w:tcW w:w="274" w:type="pct"/>
                  <w:vAlign w:val="center"/>
                </w:tcPr>
                <w:p w14:paraId="3848C439">
                  <w:pPr>
                    <w:spacing w:line="360" w:lineRule="exact"/>
                    <w:jc w:val="center"/>
                    <w:rPr>
                      <w:b/>
                      <w:bCs/>
                      <w:spacing w:val="-6"/>
                      <w:sz w:val="21"/>
                      <w:szCs w:val="21"/>
                    </w:rPr>
                  </w:pPr>
                  <w:r>
                    <w:rPr>
                      <w:b/>
                      <w:bCs/>
                      <w:spacing w:val="-6"/>
                      <w:sz w:val="21"/>
                      <w:szCs w:val="21"/>
                    </w:rPr>
                    <w:t>序号</w:t>
                  </w:r>
                </w:p>
              </w:tc>
              <w:tc>
                <w:tcPr>
                  <w:tcW w:w="490" w:type="pct"/>
                  <w:shd w:val="clear" w:color="auto" w:fill="auto"/>
                  <w:vAlign w:val="center"/>
                </w:tcPr>
                <w:p w14:paraId="5A9C7E66">
                  <w:pPr>
                    <w:spacing w:line="240" w:lineRule="auto"/>
                    <w:jc w:val="center"/>
                    <w:rPr>
                      <w:rFonts w:hint="default" w:ascii="Times New Roman" w:hAnsi="Times New Roman" w:eastAsia="宋体" w:cs="Times New Roman"/>
                      <w:b/>
                      <w:bCs/>
                      <w:spacing w:val="-6"/>
                      <w:sz w:val="21"/>
                      <w:szCs w:val="21"/>
                      <w:lang w:val="en-US" w:eastAsia="zh-CN" w:bidi="ar-SA"/>
                    </w:rPr>
                  </w:pPr>
                  <w:r>
                    <w:rPr>
                      <w:rFonts w:hint="default" w:ascii="Times New Roman" w:hAnsi="Times New Roman" w:eastAsia="宋体" w:cs="Times New Roman"/>
                      <w:b/>
                      <w:bCs/>
                      <w:spacing w:val="-6"/>
                      <w:sz w:val="21"/>
                      <w:szCs w:val="21"/>
                    </w:rPr>
                    <w:t>核素</w:t>
                  </w:r>
                </w:p>
              </w:tc>
              <w:tc>
                <w:tcPr>
                  <w:tcW w:w="591" w:type="pct"/>
                  <w:shd w:val="clear" w:color="auto" w:fill="auto"/>
                  <w:vAlign w:val="center"/>
                </w:tcPr>
                <w:p w14:paraId="40A9E8AB">
                  <w:pPr>
                    <w:spacing w:line="240" w:lineRule="auto"/>
                    <w:jc w:val="center"/>
                    <w:rPr>
                      <w:rFonts w:hint="default" w:ascii="Times New Roman" w:hAnsi="Times New Roman" w:eastAsia="宋体" w:cs="Times New Roman"/>
                      <w:b/>
                      <w:bCs/>
                      <w:spacing w:val="-6"/>
                      <w:sz w:val="21"/>
                      <w:szCs w:val="21"/>
                      <w:lang w:val="en-US" w:eastAsia="zh-CN" w:bidi="ar-SA"/>
                    </w:rPr>
                  </w:pPr>
                  <w:r>
                    <w:rPr>
                      <w:rFonts w:hint="default" w:ascii="Times New Roman" w:hAnsi="Times New Roman" w:eastAsia="宋体" w:cs="Times New Roman"/>
                      <w:b/>
                      <w:bCs/>
                      <w:spacing w:val="-6"/>
                      <w:sz w:val="21"/>
                      <w:szCs w:val="21"/>
                    </w:rPr>
                    <w:t>用途</w:t>
                  </w:r>
                </w:p>
              </w:tc>
              <w:tc>
                <w:tcPr>
                  <w:tcW w:w="775" w:type="pct"/>
                  <w:shd w:val="clear" w:color="auto" w:fill="auto"/>
                  <w:vAlign w:val="center"/>
                </w:tcPr>
                <w:p w14:paraId="514FCB40">
                  <w:pPr>
                    <w:spacing w:line="240" w:lineRule="auto"/>
                    <w:jc w:val="center"/>
                    <w:rPr>
                      <w:rFonts w:hint="default" w:ascii="Times New Roman" w:hAnsi="Times New Roman" w:eastAsia="宋体" w:cs="Times New Roman"/>
                      <w:b/>
                      <w:bCs/>
                      <w:spacing w:val="-6"/>
                      <w:sz w:val="21"/>
                      <w:szCs w:val="21"/>
                      <w:lang w:val="en-US" w:eastAsia="zh-CN" w:bidi="ar-SA"/>
                    </w:rPr>
                  </w:pPr>
                  <w:r>
                    <w:rPr>
                      <w:rFonts w:hint="default" w:ascii="Times New Roman" w:hAnsi="Times New Roman" w:eastAsia="宋体" w:cs="Times New Roman"/>
                      <w:b/>
                      <w:bCs/>
                      <w:spacing w:val="-6"/>
                      <w:sz w:val="21"/>
                      <w:szCs w:val="21"/>
                    </w:rPr>
                    <w:t>单个病人最大用量（</w:t>
                  </w:r>
                  <w:r>
                    <w:rPr>
                      <w:rFonts w:hint="default" w:ascii="Times New Roman" w:hAnsi="Times New Roman" w:eastAsia="宋体" w:cs="Times New Roman"/>
                      <w:b/>
                      <w:bCs/>
                      <w:spacing w:val="-6"/>
                      <w:sz w:val="21"/>
                      <w:szCs w:val="21"/>
                      <w:lang w:val="en-US" w:eastAsia="zh-CN"/>
                    </w:rPr>
                    <w:t>Bq</w:t>
                  </w:r>
                  <w:r>
                    <w:rPr>
                      <w:rFonts w:hint="default" w:ascii="Times New Roman" w:hAnsi="Times New Roman" w:eastAsia="宋体" w:cs="Times New Roman"/>
                      <w:b/>
                      <w:bCs/>
                      <w:spacing w:val="-6"/>
                      <w:sz w:val="21"/>
                      <w:szCs w:val="21"/>
                    </w:rPr>
                    <w:t>/人•次）</w:t>
                  </w:r>
                </w:p>
              </w:tc>
              <w:tc>
                <w:tcPr>
                  <w:tcW w:w="583" w:type="pct"/>
                  <w:shd w:val="clear" w:color="auto" w:fill="auto"/>
                  <w:vAlign w:val="center"/>
                </w:tcPr>
                <w:p w14:paraId="7D353C00">
                  <w:pPr>
                    <w:spacing w:line="240" w:lineRule="auto"/>
                    <w:jc w:val="center"/>
                    <w:rPr>
                      <w:rFonts w:hint="default" w:ascii="Times New Roman" w:hAnsi="Times New Roman" w:eastAsia="宋体" w:cs="Times New Roman"/>
                      <w:b/>
                      <w:bCs/>
                      <w:spacing w:val="-6"/>
                      <w:sz w:val="21"/>
                      <w:szCs w:val="21"/>
                      <w:lang w:val="en-US" w:eastAsia="zh-CN" w:bidi="ar-SA"/>
                    </w:rPr>
                  </w:pPr>
                  <w:r>
                    <w:rPr>
                      <w:rFonts w:hint="default" w:ascii="Times New Roman" w:hAnsi="Times New Roman" w:eastAsia="宋体" w:cs="Times New Roman"/>
                      <w:b/>
                      <w:bCs/>
                      <w:spacing w:val="-6"/>
                      <w:sz w:val="21"/>
                      <w:szCs w:val="21"/>
                    </w:rPr>
                    <w:t>日最大病人量（人）</w:t>
                  </w:r>
                </w:p>
              </w:tc>
              <w:tc>
                <w:tcPr>
                  <w:tcW w:w="626" w:type="pct"/>
                  <w:shd w:val="clear" w:color="auto" w:fill="auto"/>
                  <w:vAlign w:val="center"/>
                </w:tcPr>
                <w:p w14:paraId="7E4BBF76">
                  <w:pPr>
                    <w:spacing w:line="240" w:lineRule="auto"/>
                    <w:jc w:val="center"/>
                    <w:rPr>
                      <w:rFonts w:hint="default" w:ascii="Times New Roman" w:hAnsi="Times New Roman" w:eastAsia="宋体" w:cs="Times New Roman"/>
                      <w:b/>
                      <w:bCs/>
                      <w:spacing w:val="-6"/>
                      <w:sz w:val="21"/>
                      <w:szCs w:val="21"/>
                      <w:lang w:val="en-US" w:eastAsia="zh-CN" w:bidi="ar-SA"/>
                    </w:rPr>
                  </w:pPr>
                  <w:r>
                    <w:rPr>
                      <w:rFonts w:hint="default" w:ascii="Times New Roman" w:hAnsi="Times New Roman" w:eastAsia="宋体" w:cs="Times New Roman"/>
                      <w:b/>
                      <w:bCs/>
                      <w:spacing w:val="-6"/>
                      <w:sz w:val="21"/>
                      <w:szCs w:val="21"/>
                    </w:rPr>
                    <w:t>年最大病人量（人）</w:t>
                  </w:r>
                </w:p>
              </w:tc>
              <w:tc>
                <w:tcPr>
                  <w:tcW w:w="653" w:type="pct"/>
                  <w:shd w:val="clear" w:color="auto" w:fill="auto"/>
                  <w:vAlign w:val="center"/>
                </w:tcPr>
                <w:p w14:paraId="3AFD0EA0">
                  <w:pPr>
                    <w:spacing w:line="240" w:lineRule="auto"/>
                    <w:jc w:val="center"/>
                    <w:rPr>
                      <w:rFonts w:hint="default" w:ascii="Times New Roman" w:hAnsi="Times New Roman" w:eastAsia="宋体" w:cs="Times New Roman"/>
                      <w:b/>
                      <w:bCs/>
                      <w:spacing w:val="-6"/>
                      <w:sz w:val="21"/>
                      <w:szCs w:val="21"/>
                      <w:lang w:val="en-US" w:eastAsia="zh-CN" w:bidi="ar-SA"/>
                    </w:rPr>
                  </w:pPr>
                  <w:r>
                    <w:rPr>
                      <w:rFonts w:hint="default" w:ascii="Times New Roman" w:hAnsi="Times New Roman" w:eastAsia="宋体" w:cs="Times New Roman"/>
                      <w:b/>
                      <w:bCs/>
                      <w:spacing w:val="-6"/>
                      <w:sz w:val="21"/>
                      <w:szCs w:val="21"/>
                    </w:rPr>
                    <w:t>日最大操作量（Bq）</w:t>
                  </w:r>
                </w:p>
              </w:tc>
              <w:tc>
                <w:tcPr>
                  <w:tcW w:w="618" w:type="pct"/>
                  <w:shd w:val="clear" w:color="auto" w:fill="auto"/>
                  <w:vAlign w:val="center"/>
                </w:tcPr>
                <w:p w14:paraId="1926D43D">
                  <w:pPr>
                    <w:spacing w:line="240" w:lineRule="auto"/>
                    <w:jc w:val="center"/>
                    <w:rPr>
                      <w:rFonts w:hint="default" w:ascii="Times New Roman" w:hAnsi="Times New Roman" w:eastAsia="宋体" w:cs="Times New Roman"/>
                      <w:b/>
                      <w:bCs/>
                      <w:spacing w:val="-6"/>
                      <w:sz w:val="21"/>
                      <w:szCs w:val="21"/>
                      <w:lang w:val="en-US" w:eastAsia="zh-CN" w:bidi="ar-SA"/>
                    </w:rPr>
                  </w:pPr>
                  <w:r>
                    <w:rPr>
                      <w:rFonts w:hint="default" w:ascii="Times New Roman" w:hAnsi="Times New Roman" w:eastAsia="宋体" w:cs="Times New Roman"/>
                      <w:b/>
                      <w:bCs/>
                      <w:spacing w:val="-6"/>
                      <w:sz w:val="21"/>
                      <w:szCs w:val="21"/>
                    </w:rPr>
                    <w:t>年最大用量（Bq）</w:t>
                  </w:r>
                </w:p>
              </w:tc>
              <w:tc>
                <w:tcPr>
                  <w:tcW w:w="385" w:type="pct"/>
                  <w:vAlign w:val="center"/>
                </w:tcPr>
                <w:p w14:paraId="01A8DFE9">
                  <w:pPr>
                    <w:spacing w:line="360" w:lineRule="exact"/>
                    <w:jc w:val="center"/>
                    <w:rPr>
                      <w:b/>
                      <w:bCs/>
                      <w:spacing w:val="-6"/>
                      <w:sz w:val="21"/>
                      <w:szCs w:val="21"/>
                    </w:rPr>
                  </w:pPr>
                  <w:r>
                    <w:rPr>
                      <w:b/>
                      <w:bCs/>
                      <w:spacing w:val="-6"/>
                      <w:sz w:val="21"/>
                      <w:szCs w:val="21"/>
                    </w:rPr>
                    <w:t>备注</w:t>
                  </w:r>
                </w:p>
              </w:tc>
            </w:tr>
            <w:tr w14:paraId="1DA62D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23" w:hRule="atLeast"/>
                <w:jc w:val="center"/>
              </w:trPr>
              <w:tc>
                <w:tcPr>
                  <w:tcW w:w="274" w:type="pct"/>
                  <w:vAlign w:val="center"/>
                </w:tcPr>
                <w:p w14:paraId="68DAEA9F">
                  <w:pPr>
                    <w:spacing w:line="360" w:lineRule="exact"/>
                    <w:jc w:val="center"/>
                    <w:rPr>
                      <w:spacing w:val="-6"/>
                      <w:sz w:val="21"/>
                      <w:szCs w:val="21"/>
                    </w:rPr>
                  </w:pPr>
                  <w:r>
                    <w:rPr>
                      <w:spacing w:val="-6"/>
                      <w:sz w:val="21"/>
                      <w:szCs w:val="21"/>
                    </w:rPr>
                    <w:t>1</w:t>
                  </w:r>
                </w:p>
              </w:tc>
              <w:tc>
                <w:tcPr>
                  <w:tcW w:w="490" w:type="pct"/>
                  <w:shd w:val="clear" w:color="auto" w:fill="auto"/>
                  <w:vAlign w:val="center"/>
                </w:tcPr>
                <w:p w14:paraId="3167C4CF">
                  <w:pPr>
                    <w:spacing w:line="240" w:lineRule="auto"/>
                    <w:jc w:val="center"/>
                    <w:rPr>
                      <w:rFonts w:hint="default" w:ascii="Times New Roman" w:hAnsi="Times New Roman" w:eastAsia="宋体" w:cs="Times New Roman"/>
                      <w:spacing w:val="-6"/>
                      <w:sz w:val="21"/>
                      <w:szCs w:val="21"/>
                      <w:vertAlign w:val="superscript"/>
                      <w:lang w:val="en-US" w:eastAsia="zh-CN" w:bidi="ar-SA"/>
                    </w:rPr>
                  </w:pPr>
                  <w:r>
                    <w:rPr>
                      <w:rFonts w:hint="default" w:ascii="Times New Roman" w:hAnsi="Times New Roman" w:eastAsia="宋体" w:cs="Times New Roman"/>
                      <w:spacing w:val="-6"/>
                      <w:sz w:val="21"/>
                      <w:szCs w:val="21"/>
                      <w:vertAlign w:val="superscript"/>
                    </w:rPr>
                    <w:t>18</w:t>
                  </w:r>
                  <w:r>
                    <w:rPr>
                      <w:rFonts w:hint="default" w:ascii="Times New Roman" w:hAnsi="Times New Roman" w:eastAsia="宋体" w:cs="Times New Roman"/>
                      <w:spacing w:val="-6"/>
                      <w:sz w:val="21"/>
                      <w:szCs w:val="21"/>
                    </w:rPr>
                    <w:t>F</w:t>
                  </w:r>
                </w:p>
              </w:tc>
              <w:tc>
                <w:tcPr>
                  <w:tcW w:w="591" w:type="pct"/>
                  <w:shd w:val="clear" w:color="auto" w:fill="auto"/>
                  <w:vAlign w:val="center"/>
                </w:tcPr>
                <w:p w14:paraId="74F5F404">
                  <w:pPr>
                    <w:spacing w:line="240" w:lineRule="auto"/>
                    <w:jc w:val="center"/>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spacing w:val="-6"/>
                      <w:sz w:val="21"/>
                      <w:szCs w:val="21"/>
                    </w:rPr>
                    <w:t>显像诊断</w:t>
                  </w:r>
                </w:p>
              </w:tc>
              <w:tc>
                <w:tcPr>
                  <w:tcW w:w="775" w:type="pct"/>
                  <w:shd w:val="clear" w:color="auto" w:fill="auto"/>
                  <w:vAlign w:val="center"/>
                </w:tcPr>
                <w:p w14:paraId="1A9F2DD9">
                  <w:pPr>
                    <w:widowControl/>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bCs/>
                      <w:color w:val="000000"/>
                      <w:sz w:val="21"/>
                      <w:szCs w:val="21"/>
                    </w:rPr>
                    <w:t>3.7</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8</w:t>
                  </w:r>
                </w:p>
              </w:tc>
              <w:tc>
                <w:tcPr>
                  <w:tcW w:w="583" w:type="pct"/>
                  <w:shd w:val="clear" w:color="auto" w:fill="auto"/>
                  <w:vAlign w:val="center"/>
                </w:tcPr>
                <w:p w14:paraId="67AEA2FD">
                  <w:pPr>
                    <w:spacing w:line="300" w:lineRule="atLeast"/>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color w:val="auto"/>
                      <w:sz w:val="21"/>
                      <w:szCs w:val="21"/>
                    </w:rPr>
                    <w:t>30</w:t>
                  </w:r>
                </w:p>
              </w:tc>
              <w:tc>
                <w:tcPr>
                  <w:tcW w:w="626" w:type="pct"/>
                  <w:shd w:val="clear" w:color="auto" w:fill="auto"/>
                  <w:vAlign w:val="center"/>
                </w:tcPr>
                <w:p w14:paraId="31AFB6DA">
                  <w:pPr>
                    <w:widowControl/>
                    <w:spacing w:line="300" w:lineRule="atLeast"/>
                    <w:jc w:val="center"/>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b w:val="0"/>
                      <w:color w:val="auto"/>
                      <w:sz w:val="21"/>
                      <w:szCs w:val="21"/>
                    </w:rPr>
                    <w:t>7500</w:t>
                  </w:r>
                </w:p>
              </w:tc>
              <w:tc>
                <w:tcPr>
                  <w:tcW w:w="653" w:type="pct"/>
                  <w:shd w:val="clear" w:color="auto" w:fill="auto"/>
                  <w:vAlign w:val="bottom"/>
                </w:tcPr>
                <w:p w14:paraId="3D069519">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1.11E+10</w:t>
                  </w:r>
                </w:p>
              </w:tc>
              <w:tc>
                <w:tcPr>
                  <w:tcW w:w="618" w:type="pct"/>
                  <w:shd w:val="clear" w:color="auto" w:fill="auto"/>
                  <w:vAlign w:val="bottom"/>
                </w:tcPr>
                <w:p w14:paraId="4092B9FF">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2.78E+12</w:t>
                  </w:r>
                </w:p>
              </w:tc>
              <w:tc>
                <w:tcPr>
                  <w:tcW w:w="385" w:type="pct"/>
                  <w:vMerge w:val="restart"/>
                  <w:vAlign w:val="center"/>
                </w:tcPr>
                <w:p w14:paraId="57F64447">
                  <w:pPr>
                    <w:widowControl/>
                    <w:spacing w:line="360" w:lineRule="exact"/>
                    <w:jc w:val="center"/>
                    <w:rPr>
                      <w:rFonts w:hint="eastAsia" w:eastAsia="宋体"/>
                      <w:spacing w:val="-6"/>
                      <w:sz w:val="21"/>
                      <w:szCs w:val="21"/>
                      <w:lang w:eastAsia="zh-CN" w:bidi="ar"/>
                    </w:rPr>
                  </w:pPr>
                  <w:r>
                    <w:rPr>
                      <w:rFonts w:hint="eastAsia"/>
                      <w:spacing w:val="-6"/>
                      <w:sz w:val="21"/>
                      <w:szCs w:val="21"/>
                      <w:lang w:val="en-US" w:eastAsia="zh-CN" w:bidi="ar"/>
                    </w:rPr>
                    <w:t>外购</w:t>
                  </w:r>
                </w:p>
              </w:tc>
            </w:tr>
            <w:tr w14:paraId="4D435D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47" w:hRule="atLeast"/>
                <w:jc w:val="center"/>
              </w:trPr>
              <w:tc>
                <w:tcPr>
                  <w:tcW w:w="274" w:type="pct"/>
                  <w:vAlign w:val="center"/>
                </w:tcPr>
                <w:p w14:paraId="0B1B8D6A">
                  <w:pPr>
                    <w:spacing w:line="360" w:lineRule="exact"/>
                    <w:jc w:val="center"/>
                    <w:rPr>
                      <w:spacing w:val="-6"/>
                      <w:sz w:val="21"/>
                      <w:szCs w:val="21"/>
                    </w:rPr>
                  </w:pPr>
                  <w:r>
                    <w:rPr>
                      <w:spacing w:val="-6"/>
                      <w:sz w:val="21"/>
                      <w:szCs w:val="21"/>
                    </w:rPr>
                    <w:t>2</w:t>
                  </w:r>
                </w:p>
              </w:tc>
              <w:tc>
                <w:tcPr>
                  <w:tcW w:w="490" w:type="pct"/>
                  <w:shd w:val="clear" w:color="auto" w:fill="auto"/>
                  <w:vAlign w:val="center"/>
                </w:tcPr>
                <w:p w14:paraId="3B0CE3BD">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vertAlign w:val="superscript"/>
                    </w:rPr>
                    <w:t>68</w:t>
                  </w:r>
                  <w:r>
                    <w:rPr>
                      <w:rFonts w:hint="default" w:ascii="Times New Roman" w:hAnsi="Times New Roman" w:eastAsia="宋体" w:cs="Times New Roman"/>
                      <w:spacing w:val="-6"/>
                      <w:sz w:val="21"/>
                      <w:szCs w:val="21"/>
                    </w:rPr>
                    <w:t>Ga</w:t>
                  </w:r>
                </w:p>
              </w:tc>
              <w:tc>
                <w:tcPr>
                  <w:tcW w:w="591" w:type="pct"/>
                  <w:shd w:val="clear" w:color="auto" w:fill="auto"/>
                  <w:vAlign w:val="center"/>
                </w:tcPr>
                <w:p w14:paraId="7889A764">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rPr>
                    <w:t>显像诊断</w:t>
                  </w:r>
                </w:p>
              </w:tc>
              <w:tc>
                <w:tcPr>
                  <w:tcW w:w="775" w:type="pct"/>
                  <w:shd w:val="clear" w:color="auto" w:fill="auto"/>
                  <w:vAlign w:val="center"/>
                </w:tcPr>
                <w:p w14:paraId="53E7B072">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lang w:val="en-US" w:eastAsia="zh-CN" w:bidi="ar-SA"/>
                    </w:rPr>
                    <w:t>1.85E+08</w:t>
                  </w:r>
                </w:p>
              </w:tc>
              <w:tc>
                <w:tcPr>
                  <w:tcW w:w="583" w:type="pct"/>
                  <w:shd w:val="clear" w:color="auto" w:fill="auto"/>
                  <w:vAlign w:val="center"/>
                </w:tcPr>
                <w:p w14:paraId="7A68EED6">
                  <w:pPr>
                    <w:widowControl/>
                    <w:spacing w:line="360" w:lineRule="exact"/>
                    <w:jc w:val="center"/>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spacing w:val="-6"/>
                      <w:sz w:val="21"/>
                      <w:szCs w:val="21"/>
                      <w:lang w:bidi="ar"/>
                    </w:rPr>
                    <w:t>10</w:t>
                  </w:r>
                </w:p>
              </w:tc>
              <w:tc>
                <w:tcPr>
                  <w:tcW w:w="626" w:type="pct"/>
                  <w:shd w:val="clear" w:color="auto" w:fill="auto"/>
                  <w:vAlign w:val="center"/>
                </w:tcPr>
                <w:p w14:paraId="269F7763">
                  <w:pPr>
                    <w:widowControl/>
                    <w:spacing w:line="360" w:lineRule="exact"/>
                    <w:jc w:val="center"/>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spacing w:val="-6"/>
                      <w:sz w:val="21"/>
                      <w:szCs w:val="21"/>
                      <w:lang w:bidi="ar"/>
                    </w:rPr>
                    <w:t>1000</w:t>
                  </w:r>
                </w:p>
              </w:tc>
              <w:tc>
                <w:tcPr>
                  <w:tcW w:w="653" w:type="pct"/>
                  <w:shd w:val="clear" w:color="auto" w:fill="auto"/>
                  <w:vAlign w:val="bottom"/>
                </w:tcPr>
                <w:p w14:paraId="4EB3DD51">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1.85E+09</w:t>
                  </w:r>
                </w:p>
              </w:tc>
              <w:tc>
                <w:tcPr>
                  <w:tcW w:w="618" w:type="pct"/>
                  <w:shd w:val="clear" w:color="auto" w:fill="auto"/>
                  <w:vAlign w:val="bottom"/>
                </w:tcPr>
                <w:p w14:paraId="653E49C9">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1.85E+11</w:t>
                  </w:r>
                </w:p>
              </w:tc>
              <w:tc>
                <w:tcPr>
                  <w:tcW w:w="385" w:type="pct"/>
                  <w:vMerge w:val="continue"/>
                  <w:vAlign w:val="center"/>
                </w:tcPr>
                <w:p w14:paraId="21A18A4C">
                  <w:pPr>
                    <w:widowControl/>
                    <w:spacing w:line="360" w:lineRule="exact"/>
                    <w:jc w:val="center"/>
                    <w:rPr>
                      <w:spacing w:val="-6"/>
                      <w:sz w:val="21"/>
                      <w:szCs w:val="21"/>
                      <w:lang w:bidi="ar"/>
                    </w:rPr>
                  </w:pPr>
                </w:p>
              </w:tc>
            </w:tr>
            <w:tr w14:paraId="2990AA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01" w:hRule="atLeast"/>
                <w:jc w:val="center"/>
              </w:trPr>
              <w:tc>
                <w:tcPr>
                  <w:tcW w:w="274" w:type="pct"/>
                  <w:vAlign w:val="center"/>
                </w:tcPr>
                <w:p w14:paraId="2C587476">
                  <w:pPr>
                    <w:spacing w:line="360" w:lineRule="exact"/>
                    <w:jc w:val="center"/>
                    <w:rPr>
                      <w:spacing w:val="-6"/>
                      <w:sz w:val="21"/>
                      <w:szCs w:val="21"/>
                    </w:rPr>
                  </w:pPr>
                  <w:r>
                    <w:rPr>
                      <w:spacing w:val="-6"/>
                      <w:sz w:val="21"/>
                      <w:szCs w:val="21"/>
                    </w:rPr>
                    <w:t>3</w:t>
                  </w:r>
                </w:p>
              </w:tc>
              <w:tc>
                <w:tcPr>
                  <w:tcW w:w="490" w:type="pct"/>
                  <w:shd w:val="clear" w:color="auto" w:fill="auto"/>
                  <w:vAlign w:val="center"/>
                </w:tcPr>
                <w:p w14:paraId="5878928E">
                  <w:pPr>
                    <w:spacing w:line="240" w:lineRule="auto"/>
                    <w:jc w:val="center"/>
                    <w:rPr>
                      <w:rFonts w:hint="default" w:ascii="Times New Roman" w:hAnsi="Times New Roman" w:eastAsia="宋体" w:cs="Times New Roman"/>
                      <w:spacing w:val="-6"/>
                      <w:sz w:val="21"/>
                      <w:szCs w:val="21"/>
                      <w:vertAlign w:val="superscript"/>
                      <w:lang w:val="en-US" w:eastAsia="zh-CN" w:bidi="ar-SA"/>
                    </w:rPr>
                  </w:pPr>
                  <w:r>
                    <w:rPr>
                      <w:rFonts w:hint="default" w:ascii="Times New Roman" w:hAnsi="Times New Roman" w:eastAsia="宋体" w:cs="Times New Roman"/>
                      <w:bCs/>
                      <w:spacing w:val="-6"/>
                      <w:sz w:val="21"/>
                      <w:szCs w:val="21"/>
                      <w:vertAlign w:val="superscript"/>
                      <w:lang w:bidi="ar"/>
                    </w:rPr>
                    <w:t>99m</w:t>
                  </w:r>
                  <w:r>
                    <w:rPr>
                      <w:rFonts w:hint="default" w:ascii="Times New Roman" w:hAnsi="Times New Roman" w:eastAsia="宋体" w:cs="Times New Roman"/>
                      <w:bCs/>
                      <w:spacing w:val="-6"/>
                      <w:sz w:val="21"/>
                      <w:szCs w:val="21"/>
                      <w:lang w:bidi="ar"/>
                    </w:rPr>
                    <w:t>Tc</w:t>
                  </w:r>
                </w:p>
              </w:tc>
              <w:tc>
                <w:tcPr>
                  <w:tcW w:w="591" w:type="pct"/>
                  <w:shd w:val="clear" w:color="auto" w:fill="auto"/>
                  <w:vAlign w:val="center"/>
                </w:tcPr>
                <w:p w14:paraId="249B3A90">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lang w:bidi="ar"/>
                    </w:rPr>
                    <w:t>显像诊断</w:t>
                  </w:r>
                </w:p>
              </w:tc>
              <w:tc>
                <w:tcPr>
                  <w:tcW w:w="775" w:type="pct"/>
                  <w:shd w:val="clear" w:color="auto" w:fill="auto"/>
                  <w:vAlign w:val="center"/>
                </w:tcPr>
                <w:p w14:paraId="72226C25">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bCs/>
                      <w:color w:val="000000"/>
                      <w:sz w:val="21"/>
                      <w:szCs w:val="21"/>
                      <w:lang w:val="en-US" w:eastAsia="zh-CN"/>
                    </w:rPr>
                    <w:t>7.40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8</w:t>
                  </w:r>
                </w:p>
              </w:tc>
              <w:tc>
                <w:tcPr>
                  <w:tcW w:w="583" w:type="pct"/>
                  <w:shd w:val="clear" w:color="auto" w:fill="auto"/>
                  <w:vAlign w:val="center"/>
                </w:tcPr>
                <w:p w14:paraId="2D9BAC5F">
                  <w:pPr>
                    <w:spacing w:line="300" w:lineRule="atLeast"/>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color w:val="auto"/>
                      <w:sz w:val="21"/>
                      <w:szCs w:val="21"/>
                    </w:rPr>
                    <w:t>30</w:t>
                  </w:r>
                </w:p>
              </w:tc>
              <w:tc>
                <w:tcPr>
                  <w:tcW w:w="626" w:type="pct"/>
                  <w:shd w:val="clear" w:color="auto" w:fill="auto"/>
                  <w:vAlign w:val="center"/>
                </w:tcPr>
                <w:p w14:paraId="483085C3">
                  <w:pPr>
                    <w:widowControl/>
                    <w:spacing w:line="300" w:lineRule="atLeast"/>
                    <w:jc w:val="center"/>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b w:val="0"/>
                      <w:color w:val="auto"/>
                      <w:sz w:val="21"/>
                      <w:szCs w:val="21"/>
                    </w:rPr>
                    <w:t>7500</w:t>
                  </w:r>
                </w:p>
              </w:tc>
              <w:tc>
                <w:tcPr>
                  <w:tcW w:w="653" w:type="pct"/>
                  <w:shd w:val="clear" w:color="auto" w:fill="auto"/>
                  <w:vAlign w:val="bottom"/>
                </w:tcPr>
                <w:p w14:paraId="08886E19">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2.22E+10</w:t>
                  </w:r>
                </w:p>
              </w:tc>
              <w:tc>
                <w:tcPr>
                  <w:tcW w:w="618" w:type="pct"/>
                  <w:shd w:val="clear" w:color="auto" w:fill="auto"/>
                  <w:vAlign w:val="bottom"/>
                </w:tcPr>
                <w:p w14:paraId="74F469E7">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5.55E+12</w:t>
                  </w:r>
                </w:p>
              </w:tc>
              <w:tc>
                <w:tcPr>
                  <w:tcW w:w="385" w:type="pct"/>
                  <w:vMerge w:val="continue"/>
                  <w:vAlign w:val="center"/>
                </w:tcPr>
                <w:p w14:paraId="5F8FC54B">
                  <w:pPr>
                    <w:widowControl/>
                    <w:spacing w:line="360" w:lineRule="exact"/>
                    <w:jc w:val="center"/>
                    <w:rPr>
                      <w:spacing w:val="-6"/>
                      <w:sz w:val="21"/>
                      <w:szCs w:val="21"/>
                      <w:lang w:bidi="ar"/>
                    </w:rPr>
                  </w:pPr>
                </w:p>
              </w:tc>
            </w:tr>
            <w:tr w14:paraId="0932DA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194" w:hRule="atLeast"/>
                <w:jc w:val="center"/>
              </w:trPr>
              <w:tc>
                <w:tcPr>
                  <w:tcW w:w="274" w:type="pct"/>
                  <w:vAlign w:val="center"/>
                </w:tcPr>
                <w:p w14:paraId="2DDDA20B">
                  <w:pPr>
                    <w:spacing w:line="360" w:lineRule="exact"/>
                    <w:jc w:val="center"/>
                    <w:rPr>
                      <w:spacing w:val="-6"/>
                      <w:sz w:val="21"/>
                      <w:szCs w:val="21"/>
                    </w:rPr>
                  </w:pPr>
                  <w:r>
                    <w:rPr>
                      <w:spacing w:val="-6"/>
                      <w:sz w:val="21"/>
                      <w:szCs w:val="21"/>
                    </w:rPr>
                    <w:t>4</w:t>
                  </w:r>
                </w:p>
              </w:tc>
              <w:tc>
                <w:tcPr>
                  <w:tcW w:w="490" w:type="pct"/>
                  <w:shd w:val="clear" w:color="auto" w:fill="auto"/>
                  <w:vAlign w:val="center"/>
                </w:tcPr>
                <w:p w14:paraId="2A9E5916">
                  <w:pPr>
                    <w:spacing w:line="240" w:lineRule="auto"/>
                    <w:jc w:val="center"/>
                    <w:rPr>
                      <w:rFonts w:hint="default" w:ascii="Times New Roman" w:hAnsi="Times New Roman" w:eastAsia="宋体" w:cs="Times New Roman"/>
                      <w:spacing w:val="-6"/>
                      <w:sz w:val="21"/>
                      <w:szCs w:val="21"/>
                      <w:vertAlign w:val="superscript"/>
                      <w:lang w:val="en-US" w:eastAsia="zh-CN" w:bidi="ar-SA"/>
                    </w:rPr>
                  </w:pPr>
                  <w:r>
                    <w:rPr>
                      <w:rFonts w:hint="default" w:ascii="Times New Roman" w:hAnsi="Times New Roman" w:eastAsia="宋体" w:cs="Times New Roman"/>
                      <w:spacing w:val="-6"/>
                      <w:sz w:val="21"/>
                      <w:szCs w:val="21"/>
                      <w:vertAlign w:val="superscript"/>
                    </w:rPr>
                    <w:t>131</w:t>
                  </w:r>
                  <w:r>
                    <w:rPr>
                      <w:rFonts w:hint="default" w:ascii="Times New Roman" w:hAnsi="Times New Roman" w:eastAsia="宋体" w:cs="Times New Roman"/>
                      <w:spacing w:val="-6"/>
                      <w:sz w:val="21"/>
                      <w:szCs w:val="21"/>
                    </w:rPr>
                    <w:t>I</w:t>
                  </w:r>
                </w:p>
              </w:tc>
              <w:tc>
                <w:tcPr>
                  <w:tcW w:w="591" w:type="pct"/>
                  <w:shd w:val="clear" w:color="auto" w:fill="auto"/>
                  <w:vAlign w:val="center"/>
                </w:tcPr>
                <w:p w14:paraId="17CC79B6">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rPr>
                    <w:t>甲</w:t>
                  </w:r>
                  <w:r>
                    <w:rPr>
                      <w:rFonts w:hint="default" w:ascii="Times New Roman" w:hAnsi="Times New Roman" w:eastAsia="宋体" w:cs="Times New Roman"/>
                      <w:spacing w:val="-6"/>
                      <w:sz w:val="21"/>
                      <w:szCs w:val="21"/>
                      <w:lang w:val="en-US" w:eastAsia="zh-CN"/>
                    </w:rPr>
                    <w:t>亢</w:t>
                  </w:r>
                  <w:r>
                    <w:rPr>
                      <w:rFonts w:hint="default" w:ascii="Times New Roman" w:hAnsi="Times New Roman" w:eastAsia="宋体" w:cs="Times New Roman"/>
                      <w:spacing w:val="-6"/>
                      <w:sz w:val="21"/>
                      <w:szCs w:val="21"/>
                    </w:rPr>
                    <w:t>治疗</w:t>
                  </w:r>
                </w:p>
              </w:tc>
              <w:tc>
                <w:tcPr>
                  <w:tcW w:w="775" w:type="pct"/>
                  <w:shd w:val="clear" w:color="auto" w:fill="auto"/>
                  <w:vAlign w:val="center"/>
                </w:tcPr>
                <w:p w14:paraId="1A65F0FE">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bCs/>
                      <w:color w:val="000000"/>
                      <w:sz w:val="21"/>
                      <w:szCs w:val="21"/>
                      <w:lang w:val="en-US" w:eastAsia="zh-CN"/>
                    </w:rPr>
                    <w:t>7.40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8</w:t>
                  </w:r>
                </w:p>
              </w:tc>
              <w:tc>
                <w:tcPr>
                  <w:tcW w:w="583" w:type="pct"/>
                  <w:shd w:val="clear" w:color="auto" w:fill="auto"/>
                  <w:vAlign w:val="center"/>
                </w:tcPr>
                <w:p w14:paraId="53DB0AC0">
                  <w:pPr>
                    <w:tabs>
                      <w:tab w:val="left" w:pos="512"/>
                    </w:tabs>
                    <w:spacing w:line="240" w:lineRule="auto"/>
                    <w:jc w:val="center"/>
                    <w:rPr>
                      <w:rFonts w:hint="default" w:ascii="Times New Roman" w:hAnsi="Times New Roman" w:eastAsia="宋体" w:cs="Times New Roman"/>
                      <w:spacing w:val="-6"/>
                      <w:sz w:val="21"/>
                      <w:szCs w:val="21"/>
                      <w:lang w:val="en-US" w:eastAsia="zh-CN" w:bidi="ar-SA"/>
                    </w:rPr>
                  </w:pPr>
                  <w:r>
                    <w:rPr>
                      <w:rFonts w:hint="eastAsia" w:ascii="Times New Roman" w:hAnsi="Times New Roman" w:eastAsia="宋体" w:cs="Times New Roman"/>
                      <w:spacing w:val="-6"/>
                      <w:sz w:val="21"/>
                      <w:szCs w:val="21"/>
                      <w:lang w:val="en-US" w:eastAsia="zh-CN"/>
                    </w:rPr>
                    <w:t>5</w:t>
                  </w:r>
                </w:p>
              </w:tc>
              <w:tc>
                <w:tcPr>
                  <w:tcW w:w="626" w:type="pct"/>
                  <w:shd w:val="clear" w:color="auto" w:fill="auto"/>
                  <w:vAlign w:val="center"/>
                </w:tcPr>
                <w:p w14:paraId="153856B9">
                  <w:pPr>
                    <w:widowControl/>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strike w:val="0"/>
                      <w:color w:val="auto"/>
                      <w:sz w:val="21"/>
                      <w:szCs w:val="21"/>
                      <w:highlight w:val="none"/>
                      <w:lang w:val="en-US" w:eastAsia="zh-CN"/>
                    </w:rPr>
                    <w:t>1250</w:t>
                  </w:r>
                </w:p>
              </w:tc>
              <w:tc>
                <w:tcPr>
                  <w:tcW w:w="653" w:type="pct"/>
                  <w:shd w:val="clear" w:color="auto" w:fill="auto"/>
                  <w:vAlign w:val="bottom"/>
                </w:tcPr>
                <w:p w14:paraId="2D63AB0F">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3.70E+09</w:t>
                  </w:r>
                </w:p>
              </w:tc>
              <w:tc>
                <w:tcPr>
                  <w:tcW w:w="618" w:type="pct"/>
                  <w:shd w:val="clear" w:color="auto" w:fill="auto"/>
                  <w:vAlign w:val="bottom"/>
                </w:tcPr>
                <w:p w14:paraId="63A62C99">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9.25E+11</w:t>
                  </w:r>
                </w:p>
              </w:tc>
              <w:tc>
                <w:tcPr>
                  <w:tcW w:w="385" w:type="pct"/>
                  <w:vMerge w:val="continue"/>
                  <w:vAlign w:val="center"/>
                </w:tcPr>
                <w:p w14:paraId="7909D4BA">
                  <w:pPr>
                    <w:widowControl/>
                    <w:spacing w:line="360" w:lineRule="exact"/>
                    <w:jc w:val="center"/>
                    <w:rPr>
                      <w:spacing w:val="-6"/>
                      <w:sz w:val="21"/>
                      <w:szCs w:val="21"/>
                      <w:lang w:bidi="ar"/>
                    </w:rPr>
                  </w:pPr>
                </w:p>
              </w:tc>
            </w:tr>
            <w:tr w14:paraId="7A09FF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194" w:hRule="atLeast"/>
                <w:jc w:val="center"/>
              </w:trPr>
              <w:tc>
                <w:tcPr>
                  <w:tcW w:w="274" w:type="pct"/>
                  <w:shd w:val="clear" w:color="auto" w:fill="auto"/>
                  <w:vAlign w:val="center"/>
                </w:tcPr>
                <w:p w14:paraId="3E1632C4">
                  <w:pPr>
                    <w:spacing w:line="360" w:lineRule="exact"/>
                    <w:jc w:val="center"/>
                    <w:rPr>
                      <w:rFonts w:hint="eastAsia" w:ascii="Times New Roman" w:hAnsi="Times New Roman" w:eastAsia="宋体" w:cs="Times New Roman"/>
                      <w:spacing w:val="-6"/>
                      <w:sz w:val="21"/>
                      <w:szCs w:val="21"/>
                      <w:lang w:val="en-US" w:eastAsia="zh-CN" w:bidi="ar-SA"/>
                    </w:rPr>
                  </w:pPr>
                  <w:r>
                    <w:rPr>
                      <w:rFonts w:hint="eastAsia"/>
                      <w:spacing w:val="-6"/>
                      <w:sz w:val="21"/>
                      <w:szCs w:val="21"/>
                      <w:lang w:val="en-US" w:eastAsia="zh-CN"/>
                    </w:rPr>
                    <w:t>5</w:t>
                  </w:r>
                </w:p>
              </w:tc>
              <w:tc>
                <w:tcPr>
                  <w:tcW w:w="490" w:type="pct"/>
                  <w:shd w:val="clear" w:color="auto" w:fill="auto"/>
                  <w:vAlign w:val="center"/>
                </w:tcPr>
                <w:p w14:paraId="7971AC4F">
                  <w:pPr>
                    <w:spacing w:line="240" w:lineRule="auto"/>
                    <w:jc w:val="center"/>
                    <w:rPr>
                      <w:rFonts w:hint="default" w:ascii="Times New Roman" w:hAnsi="Times New Roman" w:eastAsia="宋体" w:cs="Times New Roman"/>
                      <w:spacing w:val="-6"/>
                      <w:sz w:val="21"/>
                      <w:szCs w:val="21"/>
                      <w:vertAlign w:val="superscript"/>
                      <w:lang w:val="en-US" w:eastAsia="zh-CN" w:bidi="ar-SA"/>
                    </w:rPr>
                  </w:pPr>
                  <w:r>
                    <w:rPr>
                      <w:rFonts w:hint="default" w:ascii="Times New Roman" w:hAnsi="Times New Roman" w:eastAsia="宋体" w:cs="Times New Roman"/>
                      <w:spacing w:val="-6"/>
                      <w:sz w:val="21"/>
                      <w:szCs w:val="21"/>
                      <w:vertAlign w:val="superscript"/>
                    </w:rPr>
                    <w:t>131</w:t>
                  </w:r>
                  <w:r>
                    <w:rPr>
                      <w:rFonts w:hint="default" w:ascii="Times New Roman" w:hAnsi="Times New Roman" w:eastAsia="宋体" w:cs="Times New Roman"/>
                      <w:spacing w:val="-6"/>
                      <w:sz w:val="21"/>
                      <w:szCs w:val="21"/>
                    </w:rPr>
                    <w:t>I</w:t>
                  </w:r>
                </w:p>
              </w:tc>
              <w:tc>
                <w:tcPr>
                  <w:tcW w:w="591" w:type="pct"/>
                  <w:shd w:val="clear" w:color="auto" w:fill="auto"/>
                  <w:vAlign w:val="center"/>
                </w:tcPr>
                <w:p w14:paraId="50896C5A">
                  <w:pPr>
                    <w:spacing w:line="240" w:lineRule="auto"/>
                    <w:jc w:val="center"/>
                    <w:rPr>
                      <w:rFonts w:hint="eastAsia" w:ascii="Times New Roman" w:hAnsi="Times New Roman" w:eastAsia="宋体" w:cs="Times New Roman"/>
                      <w:spacing w:val="-6"/>
                      <w:sz w:val="21"/>
                      <w:szCs w:val="21"/>
                      <w:highlight w:val="none"/>
                      <w:lang w:val="en-US" w:eastAsia="zh-CN" w:bidi="ar-SA"/>
                    </w:rPr>
                  </w:pPr>
                  <w:r>
                    <w:rPr>
                      <w:rFonts w:hint="eastAsia" w:cs="Times New Roman"/>
                      <w:spacing w:val="-6"/>
                      <w:sz w:val="21"/>
                      <w:szCs w:val="21"/>
                      <w:highlight w:val="none"/>
                      <w:lang w:val="en-US" w:eastAsia="zh-CN"/>
                    </w:rPr>
                    <w:t>甲吸检测</w:t>
                  </w:r>
                </w:p>
              </w:tc>
              <w:tc>
                <w:tcPr>
                  <w:tcW w:w="775" w:type="pct"/>
                  <w:shd w:val="clear" w:color="auto" w:fill="auto"/>
                  <w:vAlign w:val="center"/>
                </w:tcPr>
                <w:p w14:paraId="02352F0B">
                  <w:pPr>
                    <w:spacing w:line="240" w:lineRule="auto"/>
                    <w:jc w:val="center"/>
                    <w:rPr>
                      <w:rFonts w:hint="eastAsia" w:ascii="Times New Roman" w:hAnsi="Times New Roman" w:eastAsia="宋体" w:cs="Times New Roman"/>
                      <w:spacing w:val="-6"/>
                      <w:sz w:val="21"/>
                      <w:szCs w:val="21"/>
                      <w:highlight w:val="none"/>
                      <w:lang w:val="en-US" w:eastAsia="zh-CN" w:bidi="ar-SA"/>
                    </w:rPr>
                  </w:pPr>
                  <w:r>
                    <w:rPr>
                      <w:rFonts w:hint="eastAsia" w:cs="Times New Roman"/>
                      <w:b w:val="0"/>
                      <w:bCs/>
                      <w:color w:val="000000"/>
                      <w:sz w:val="21"/>
                      <w:szCs w:val="21"/>
                      <w:highlight w:val="none"/>
                      <w:lang w:val="en-US" w:eastAsia="zh-CN"/>
                    </w:rPr>
                    <w:t>5.55</w:t>
                  </w:r>
                  <w:r>
                    <w:rPr>
                      <w:rFonts w:hint="default" w:ascii="Times New Roman" w:hAnsi="Times New Roman" w:eastAsia="宋体" w:cs="Times New Roman"/>
                      <w:b w:val="0"/>
                      <w:bCs/>
                      <w:color w:val="000000"/>
                      <w:sz w:val="21"/>
                      <w:szCs w:val="21"/>
                      <w:highlight w:val="none"/>
                    </w:rPr>
                    <w:t>E+</w:t>
                  </w:r>
                  <w:r>
                    <w:rPr>
                      <w:rFonts w:hint="default" w:ascii="Times New Roman" w:hAnsi="Times New Roman" w:eastAsia="宋体" w:cs="Times New Roman"/>
                      <w:b w:val="0"/>
                      <w:bCs/>
                      <w:color w:val="000000"/>
                      <w:sz w:val="21"/>
                      <w:szCs w:val="21"/>
                      <w:highlight w:val="none"/>
                      <w:lang w:val="en-US" w:eastAsia="zh-CN"/>
                    </w:rPr>
                    <w:t>0</w:t>
                  </w:r>
                  <w:r>
                    <w:rPr>
                      <w:rFonts w:hint="eastAsia" w:cs="Times New Roman"/>
                      <w:b w:val="0"/>
                      <w:bCs/>
                      <w:color w:val="000000"/>
                      <w:sz w:val="21"/>
                      <w:szCs w:val="21"/>
                      <w:highlight w:val="none"/>
                      <w:lang w:val="en-US" w:eastAsia="zh-CN"/>
                    </w:rPr>
                    <w:t>5</w:t>
                  </w:r>
                </w:p>
              </w:tc>
              <w:tc>
                <w:tcPr>
                  <w:tcW w:w="583" w:type="pct"/>
                  <w:shd w:val="clear" w:color="auto" w:fill="auto"/>
                  <w:vAlign w:val="center"/>
                </w:tcPr>
                <w:p w14:paraId="6C347BBB">
                  <w:pPr>
                    <w:tabs>
                      <w:tab w:val="left" w:pos="512"/>
                    </w:tabs>
                    <w:spacing w:line="240" w:lineRule="auto"/>
                    <w:jc w:val="center"/>
                    <w:rPr>
                      <w:rFonts w:hint="eastAsia" w:ascii="Times New Roman" w:hAnsi="Times New Roman" w:eastAsia="宋体" w:cs="Times New Roman"/>
                      <w:spacing w:val="-6"/>
                      <w:sz w:val="21"/>
                      <w:szCs w:val="21"/>
                      <w:lang w:val="en-US" w:eastAsia="zh-CN" w:bidi="ar-SA"/>
                    </w:rPr>
                  </w:pPr>
                  <w:r>
                    <w:rPr>
                      <w:rFonts w:hint="eastAsia" w:ascii="Times New Roman" w:hAnsi="Times New Roman" w:eastAsia="宋体" w:cs="Times New Roman"/>
                      <w:spacing w:val="-6"/>
                      <w:sz w:val="21"/>
                      <w:szCs w:val="21"/>
                      <w:lang w:val="en-US" w:eastAsia="zh-CN"/>
                    </w:rPr>
                    <w:t>5</w:t>
                  </w:r>
                </w:p>
              </w:tc>
              <w:tc>
                <w:tcPr>
                  <w:tcW w:w="626" w:type="pct"/>
                  <w:shd w:val="clear" w:color="auto" w:fill="auto"/>
                  <w:vAlign w:val="center"/>
                </w:tcPr>
                <w:p w14:paraId="15907CC6">
                  <w:pPr>
                    <w:widowControl/>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strike w:val="0"/>
                      <w:color w:val="auto"/>
                      <w:sz w:val="21"/>
                      <w:szCs w:val="21"/>
                      <w:highlight w:val="none"/>
                      <w:lang w:val="en-US" w:eastAsia="zh-CN"/>
                    </w:rPr>
                    <w:t>1250</w:t>
                  </w:r>
                </w:p>
              </w:tc>
              <w:tc>
                <w:tcPr>
                  <w:tcW w:w="653" w:type="pct"/>
                  <w:shd w:val="clear" w:color="auto" w:fill="auto"/>
                  <w:vAlign w:val="center"/>
                </w:tcPr>
                <w:p w14:paraId="24E1622B">
                  <w:pPr>
                    <w:keepNext w:val="0"/>
                    <w:keepLines w:val="0"/>
                    <w:widowControl/>
                    <w:suppressLineNumbers w:val="0"/>
                    <w:jc w:val="center"/>
                    <w:textAlignment w:val="center"/>
                    <w:rPr>
                      <w:rFonts w:hint="default" w:ascii="Times New Roman" w:hAnsi="Times New Roman" w:eastAsia="宋体" w:cs="Times New Roman"/>
                      <w:spacing w:val="-6"/>
                      <w:sz w:val="21"/>
                      <w:szCs w:val="21"/>
                      <w:highlight w:val="yellow"/>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2.78E+06</w:t>
                  </w:r>
                </w:p>
              </w:tc>
              <w:tc>
                <w:tcPr>
                  <w:tcW w:w="618" w:type="pct"/>
                  <w:shd w:val="clear" w:color="auto" w:fill="auto"/>
                  <w:vAlign w:val="center"/>
                </w:tcPr>
                <w:p w14:paraId="708AF0D2">
                  <w:pPr>
                    <w:keepNext w:val="0"/>
                    <w:keepLines w:val="0"/>
                    <w:widowControl/>
                    <w:suppressLineNumbers w:val="0"/>
                    <w:jc w:val="center"/>
                    <w:textAlignment w:val="center"/>
                    <w:rPr>
                      <w:rFonts w:hint="default" w:ascii="Times New Roman" w:hAnsi="Times New Roman" w:eastAsia="宋体" w:cs="Times New Roman"/>
                      <w:spacing w:val="-6"/>
                      <w:sz w:val="21"/>
                      <w:szCs w:val="21"/>
                      <w:highlight w:val="yellow"/>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6.94E+08</w:t>
                  </w:r>
                </w:p>
              </w:tc>
              <w:tc>
                <w:tcPr>
                  <w:tcW w:w="385" w:type="pct"/>
                  <w:vMerge w:val="continue"/>
                  <w:vAlign w:val="center"/>
                </w:tcPr>
                <w:p w14:paraId="6B02DE83">
                  <w:pPr>
                    <w:widowControl/>
                    <w:spacing w:line="360" w:lineRule="exact"/>
                    <w:jc w:val="center"/>
                    <w:rPr>
                      <w:spacing w:val="-6"/>
                      <w:sz w:val="21"/>
                      <w:szCs w:val="21"/>
                      <w:lang w:bidi="ar"/>
                    </w:rPr>
                  </w:pPr>
                </w:p>
              </w:tc>
            </w:tr>
            <w:tr w14:paraId="6F2502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39" w:hRule="atLeast"/>
                <w:jc w:val="center"/>
              </w:trPr>
              <w:tc>
                <w:tcPr>
                  <w:tcW w:w="274" w:type="pct"/>
                  <w:shd w:val="clear" w:color="auto" w:fill="auto"/>
                  <w:vAlign w:val="center"/>
                </w:tcPr>
                <w:p w14:paraId="7EE3457C">
                  <w:pPr>
                    <w:spacing w:line="360" w:lineRule="exact"/>
                    <w:jc w:val="center"/>
                    <w:rPr>
                      <w:rFonts w:hint="eastAsia" w:ascii="Times New Roman" w:hAnsi="Times New Roman" w:eastAsia="宋体" w:cs="Times New Roman"/>
                      <w:spacing w:val="-6"/>
                      <w:sz w:val="21"/>
                      <w:szCs w:val="21"/>
                      <w:lang w:val="en-US" w:eastAsia="zh-CN" w:bidi="ar-SA"/>
                    </w:rPr>
                  </w:pPr>
                  <w:r>
                    <w:rPr>
                      <w:rFonts w:hint="eastAsia"/>
                      <w:spacing w:val="-6"/>
                      <w:sz w:val="21"/>
                      <w:szCs w:val="21"/>
                      <w:lang w:val="en-US" w:eastAsia="zh-CN"/>
                    </w:rPr>
                    <w:t>6</w:t>
                  </w:r>
                </w:p>
              </w:tc>
              <w:tc>
                <w:tcPr>
                  <w:tcW w:w="490" w:type="pct"/>
                  <w:shd w:val="clear" w:color="auto" w:fill="auto"/>
                  <w:vAlign w:val="center"/>
                </w:tcPr>
                <w:p w14:paraId="6FEDAB6B">
                  <w:pPr>
                    <w:spacing w:line="240" w:lineRule="auto"/>
                    <w:jc w:val="center"/>
                    <w:rPr>
                      <w:rFonts w:hint="default" w:ascii="Times New Roman" w:hAnsi="Times New Roman" w:eastAsia="宋体" w:cs="Times New Roman"/>
                      <w:spacing w:val="-6"/>
                      <w:sz w:val="21"/>
                      <w:szCs w:val="21"/>
                      <w:vertAlign w:val="superscript"/>
                      <w:lang w:val="en-US" w:eastAsia="zh-CN" w:bidi="ar-SA"/>
                    </w:rPr>
                  </w:pPr>
                  <w:r>
                    <w:rPr>
                      <w:rFonts w:hint="default" w:ascii="Times New Roman" w:hAnsi="Times New Roman" w:eastAsia="宋体" w:cs="Times New Roman"/>
                      <w:spacing w:val="-6"/>
                      <w:sz w:val="21"/>
                      <w:szCs w:val="21"/>
                      <w:vertAlign w:val="superscript"/>
                      <w:lang w:val="en-US" w:eastAsia="zh-CN" w:bidi="ar-SA"/>
                    </w:rPr>
                    <w:t>89</w:t>
                  </w:r>
                  <w:r>
                    <w:rPr>
                      <w:rFonts w:hint="default" w:ascii="Times New Roman" w:hAnsi="Times New Roman" w:eastAsia="宋体" w:cs="Times New Roman"/>
                      <w:spacing w:val="-6"/>
                      <w:sz w:val="21"/>
                      <w:szCs w:val="21"/>
                      <w:vertAlign w:val="baseline"/>
                      <w:lang w:val="en-US" w:eastAsia="zh-CN" w:bidi="ar-SA"/>
                    </w:rPr>
                    <w:t>Sr</w:t>
                  </w:r>
                </w:p>
              </w:tc>
              <w:tc>
                <w:tcPr>
                  <w:tcW w:w="591" w:type="pct"/>
                  <w:shd w:val="clear" w:color="auto" w:fill="auto"/>
                  <w:vAlign w:val="center"/>
                </w:tcPr>
                <w:p w14:paraId="0BD60E00">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lang w:val="en-US" w:eastAsia="zh-CN" w:bidi="ar-SA"/>
                    </w:rPr>
                    <w:t>骨转移癌治疗</w:t>
                  </w:r>
                </w:p>
              </w:tc>
              <w:tc>
                <w:tcPr>
                  <w:tcW w:w="775" w:type="pct"/>
                  <w:shd w:val="clear" w:color="auto" w:fill="auto"/>
                  <w:vAlign w:val="center"/>
                </w:tcPr>
                <w:p w14:paraId="2DE3DFA8">
                  <w:pPr>
                    <w:spacing w:line="300" w:lineRule="atLeast"/>
                    <w:jc w:val="center"/>
                    <w:rPr>
                      <w:rFonts w:hint="default" w:ascii="Times New Roman" w:hAnsi="Times New Roman" w:eastAsia="宋体" w:cs="Times New Roman"/>
                      <w:b w:val="0"/>
                      <w:bCs/>
                      <w:strike/>
                      <w:color w:val="FF0000"/>
                      <w:spacing w:val="-4"/>
                      <w:kern w:val="2"/>
                      <w:sz w:val="21"/>
                      <w:szCs w:val="21"/>
                      <w:lang w:val="en-US" w:eastAsia="zh-CN" w:bidi="ar-SA"/>
                    </w:rPr>
                  </w:pPr>
                  <w:r>
                    <w:rPr>
                      <w:rFonts w:hint="default" w:ascii="Times New Roman" w:hAnsi="Times New Roman" w:eastAsia="宋体" w:cs="Times New Roman"/>
                      <w:b w:val="0"/>
                      <w:bCs/>
                      <w:color w:val="000000"/>
                      <w:sz w:val="21"/>
                      <w:szCs w:val="21"/>
                      <w:highlight w:val="none"/>
                    </w:rPr>
                    <w:t>1.48E+</w:t>
                  </w:r>
                  <w:r>
                    <w:rPr>
                      <w:rFonts w:hint="eastAsia" w:ascii="Times New Roman" w:hAnsi="Times New Roman" w:eastAsia="宋体" w:cs="Times New Roman"/>
                      <w:b w:val="0"/>
                      <w:bCs/>
                      <w:color w:val="000000"/>
                      <w:sz w:val="21"/>
                      <w:szCs w:val="21"/>
                      <w:highlight w:val="none"/>
                      <w:lang w:val="en-US" w:eastAsia="zh-CN"/>
                    </w:rPr>
                    <w:t>0</w:t>
                  </w:r>
                  <w:r>
                    <w:rPr>
                      <w:rFonts w:hint="default" w:ascii="Times New Roman" w:hAnsi="Times New Roman" w:eastAsia="宋体" w:cs="Times New Roman"/>
                      <w:b w:val="0"/>
                      <w:bCs/>
                      <w:color w:val="000000"/>
                      <w:sz w:val="21"/>
                      <w:szCs w:val="21"/>
                      <w:highlight w:val="none"/>
                    </w:rPr>
                    <w:t>8</w:t>
                  </w:r>
                </w:p>
              </w:tc>
              <w:tc>
                <w:tcPr>
                  <w:tcW w:w="583" w:type="pct"/>
                  <w:shd w:val="clear" w:color="auto" w:fill="auto"/>
                  <w:vAlign w:val="center"/>
                </w:tcPr>
                <w:p w14:paraId="1A07F8B7">
                  <w:pPr>
                    <w:spacing w:line="300" w:lineRule="atLeast"/>
                    <w:jc w:val="center"/>
                    <w:rPr>
                      <w:rFonts w:hint="default" w:ascii="Times New Roman" w:hAnsi="Times New Roman" w:eastAsia="宋体" w:cs="Times New Roman"/>
                      <w:b w:val="0"/>
                      <w:strike w:val="0"/>
                      <w:dstrike w:val="0"/>
                      <w:color w:val="auto"/>
                      <w:kern w:val="2"/>
                      <w:sz w:val="21"/>
                      <w:szCs w:val="21"/>
                      <w:highlight w:val="none"/>
                      <w:u w:val="none"/>
                      <w:lang w:val="en-US" w:eastAsia="zh-CN" w:bidi="ar-SA"/>
                    </w:rPr>
                  </w:pPr>
                  <w:r>
                    <w:rPr>
                      <w:rFonts w:hint="default" w:ascii="Times New Roman" w:hAnsi="Times New Roman" w:eastAsia="宋体" w:cs="Times New Roman"/>
                      <w:b w:val="0"/>
                      <w:strike w:val="0"/>
                      <w:dstrike w:val="0"/>
                      <w:color w:val="auto"/>
                      <w:sz w:val="21"/>
                      <w:szCs w:val="21"/>
                      <w:highlight w:val="none"/>
                      <w:u w:val="none"/>
                      <w:lang w:val="en-US" w:eastAsia="zh-CN"/>
                    </w:rPr>
                    <w:t>5</w:t>
                  </w:r>
                </w:p>
              </w:tc>
              <w:tc>
                <w:tcPr>
                  <w:tcW w:w="626" w:type="pct"/>
                  <w:shd w:val="clear" w:color="auto" w:fill="auto"/>
                  <w:vAlign w:val="center"/>
                </w:tcPr>
                <w:p w14:paraId="3EDD3F4D">
                  <w:pPr>
                    <w:widowControl/>
                    <w:spacing w:line="300" w:lineRule="atLeast"/>
                    <w:jc w:val="center"/>
                    <w:rPr>
                      <w:rFonts w:hint="default" w:ascii="Times New Roman" w:hAnsi="Times New Roman" w:eastAsia="宋体" w:cs="Times New Roman"/>
                      <w:b w:val="0"/>
                      <w:strike/>
                      <w:color w:val="auto"/>
                      <w:kern w:val="2"/>
                      <w:sz w:val="21"/>
                      <w:szCs w:val="21"/>
                      <w:highlight w:val="none"/>
                      <w:lang w:val="en-US" w:eastAsia="zh-CN" w:bidi="ar-SA"/>
                    </w:rPr>
                  </w:pPr>
                  <w:r>
                    <w:rPr>
                      <w:rFonts w:hint="default" w:ascii="Times New Roman" w:hAnsi="Times New Roman" w:eastAsia="宋体" w:cs="Times New Roman"/>
                      <w:b w:val="0"/>
                      <w:strike w:val="0"/>
                      <w:color w:val="auto"/>
                      <w:sz w:val="21"/>
                      <w:szCs w:val="21"/>
                      <w:highlight w:val="none"/>
                      <w:lang w:val="en-US" w:eastAsia="zh-CN"/>
                    </w:rPr>
                    <w:t>1250</w:t>
                  </w:r>
                </w:p>
              </w:tc>
              <w:tc>
                <w:tcPr>
                  <w:tcW w:w="653" w:type="pct"/>
                  <w:shd w:val="clear" w:color="auto" w:fill="auto"/>
                  <w:vAlign w:val="bottom"/>
                </w:tcPr>
                <w:p w14:paraId="48D23700">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7.40E+08</w:t>
                  </w:r>
                </w:p>
              </w:tc>
              <w:tc>
                <w:tcPr>
                  <w:tcW w:w="618" w:type="pct"/>
                  <w:shd w:val="clear" w:color="auto" w:fill="auto"/>
                  <w:vAlign w:val="bottom"/>
                </w:tcPr>
                <w:p w14:paraId="4394E686">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1.85E+11</w:t>
                  </w:r>
                </w:p>
              </w:tc>
              <w:tc>
                <w:tcPr>
                  <w:tcW w:w="385" w:type="pct"/>
                  <w:vMerge w:val="continue"/>
                  <w:vAlign w:val="center"/>
                </w:tcPr>
                <w:p w14:paraId="425C6F42">
                  <w:pPr>
                    <w:widowControl/>
                    <w:spacing w:line="360" w:lineRule="exact"/>
                    <w:jc w:val="center"/>
                    <w:rPr>
                      <w:spacing w:val="-6"/>
                      <w:sz w:val="21"/>
                      <w:szCs w:val="21"/>
                      <w:lang w:bidi="ar"/>
                    </w:rPr>
                  </w:pPr>
                </w:p>
              </w:tc>
            </w:tr>
            <w:tr w14:paraId="514228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39" w:hRule="atLeast"/>
                <w:jc w:val="center"/>
              </w:trPr>
              <w:tc>
                <w:tcPr>
                  <w:tcW w:w="274" w:type="pct"/>
                  <w:vAlign w:val="center"/>
                </w:tcPr>
                <w:p w14:paraId="77667666">
                  <w:pPr>
                    <w:spacing w:line="360" w:lineRule="exact"/>
                    <w:jc w:val="center"/>
                    <w:rPr>
                      <w:rFonts w:hint="default"/>
                      <w:spacing w:val="-6"/>
                      <w:sz w:val="21"/>
                      <w:szCs w:val="21"/>
                      <w:lang w:val="en-US" w:eastAsia="zh-CN"/>
                    </w:rPr>
                  </w:pPr>
                  <w:r>
                    <w:rPr>
                      <w:rFonts w:hint="eastAsia"/>
                      <w:spacing w:val="-6"/>
                      <w:sz w:val="21"/>
                      <w:szCs w:val="21"/>
                      <w:lang w:val="en-US" w:eastAsia="zh-CN"/>
                    </w:rPr>
                    <w:t>7</w:t>
                  </w:r>
                </w:p>
              </w:tc>
              <w:tc>
                <w:tcPr>
                  <w:tcW w:w="490" w:type="pct"/>
                  <w:shd w:val="clear" w:color="auto" w:fill="auto"/>
                  <w:vAlign w:val="center"/>
                </w:tcPr>
                <w:p w14:paraId="60E1630C">
                  <w:pPr>
                    <w:spacing w:line="240" w:lineRule="auto"/>
                    <w:jc w:val="center"/>
                    <w:rPr>
                      <w:rFonts w:hint="default" w:ascii="Times New Roman" w:hAnsi="Times New Roman" w:eastAsia="宋体" w:cs="Times New Roman"/>
                      <w:spacing w:val="-6"/>
                      <w:sz w:val="21"/>
                      <w:szCs w:val="21"/>
                      <w:vertAlign w:val="superscript"/>
                      <w:lang w:val="en-US" w:eastAsia="zh-CN" w:bidi="ar-SA"/>
                    </w:rPr>
                  </w:pPr>
                  <w:r>
                    <w:rPr>
                      <w:rFonts w:hint="default" w:ascii="Times New Roman" w:hAnsi="Times New Roman" w:eastAsia="宋体" w:cs="Times New Roman"/>
                      <w:spacing w:val="-6"/>
                      <w:sz w:val="21"/>
                      <w:szCs w:val="21"/>
                      <w:vertAlign w:val="superscript"/>
                      <w:lang w:val="en-US" w:eastAsia="zh-CN" w:bidi="ar-SA"/>
                    </w:rPr>
                    <w:t>32</w:t>
                  </w:r>
                  <w:r>
                    <w:rPr>
                      <w:rFonts w:hint="default" w:ascii="Times New Roman" w:hAnsi="Times New Roman" w:eastAsia="宋体" w:cs="Times New Roman"/>
                      <w:spacing w:val="-6"/>
                      <w:sz w:val="21"/>
                      <w:szCs w:val="21"/>
                      <w:vertAlign w:val="baseline"/>
                      <w:lang w:val="en-US" w:eastAsia="zh-CN" w:bidi="ar-SA"/>
                    </w:rPr>
                    <w:t>P</w:t>
                  </w:r>
                </w:p>
              </w:tc>
              <w:tc>
                <w:tcPr>
                  <w:tcW w:w="591" w:type="pct"/>
                  <w:shd w:val="clear" w:color="auto" w:fill="auto"/>
                  <w:vAlign w:val="center"/>
                </w:tcPr>
                <w:p w14:paraId="3535325B">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lang w:val="en-US" w:eastAsia="zh-CN" w:bidi="ar-SA"/>
                    </w:rPr>
                    <w:t>敷贴治疗</w:t>
                  </w:r>
                </w:p>
              </w:tc>
              <w:tc>
                <w:tcPr>
                  <w:tcW w:w="775" w:type="pct"/>
                  <w:shd w:val="clear" w:color="auto" w:fill="auto"/>
                  <w:vAlign w:val="center"/>
                </w:tcPr>
                <w:p w14:paraId="5BDE4DC5">
                  <w:pPr>
                    <w:spacing w:line="300" w:lineRule="atLeast"/>
                    <w:jc w:val="center"/>
                    <w:rPr>
                      <w:rFonts w:hint="default" w:ascii="Times New Roman" w:hAnsi="Times New Roman" w:eastAsia="宋体" w:cs="Times New Roman"/>
                      <w:b w:val="0"/>
                      <w:bCs/>
                      <w:spacing w:val="-4"/>
                      <w:kern w:val="2"/>
                      <w:sz w:val="21"/>
                      <w:szCs w:val="21"/>
                      <w:lang w:val="en-US" w:eastAsia="zh-CN" w:bidi="ar-SA"/>
                    </w:rPr>
                  </w:pPr>
                  <w:r>
                    <w:rPr>
                      <w:rFonts w:hint="default" w:ascii="Times New Roman" w:hAnsi="Times New Roman" w:eastAsia="宋体" w:cs="Times New Roman"/>
                      <w:b w:val="0"/>
                      <w:bCs/>
                      <w:sz w:val="21"/>
                      <w:szCs w:val="21"/>
                      <w:lang w:val="en-US" w:eastAsia="zh-CN"/>
                    </w:rPr>
                    <w:t>1.11E+</w:t>
                  </w:r>
                  <w:r>
                    <w:rPr>
                      <w:rFonts w:hint="eastAsia" w:ascii="Times New Roman" w:hAnsi="Times New Roman" w:eastAsia="宋体" w:cs="Times New Roman"/>
                      <w:b w:val="0"/>
                      <w:bCs/>
                      <w:sz w:val="21"/>
                      <w:szCs w:val="21"/>
                      <w:lang w:val="en-US" w:eastAsia="zh-CN"/>
                    </w:rPr>
                    <w:t>0</w:t>
                  </w:r>
                  <w:r>
                    <w:rPr>
                      <w:rFonts w:hint="default" w:ascii="Times New Roman" w:hAnsi="Times New Roman" w:eastAsia="宋体" w:cs="Times New Roman"/>
                      <w:b w:val="0"/>
                      <w:bCs/>
                      <w:sz w:val="21"/>
                      <w:szCs w:val="21"/>
                      <w:lang w:val="en-US" w:eastAsia="zh-CN"/>
                    </w:rPr>
                    <w:t>7</w:t>
                  </w:r>
                </w:p>
              </w:tc>
              <w:tc>
                <w:tcPr>
                  <w:tcW w:w="583" w:type="pct"/>
                  <w:shd w:val="clear" w:color="auto" w:fill="auto"/>
                  <w:vAlign w:val="center"/>
                </w:tcPr>
                <w:p w14:paraId="7D590179">
                  <w:pPr>
                    <w:spacing w:line="300" w:lineRule="atLeast"/>
                    <w:jc w:val="center"/>
                    <w:rPr>
                      <w:rFonts w:hint="default" w:ascii="Times New Roman" w:hAnsi="Times New Roman" w:eastAsia="宋体" w:cs="Times New Roman"/>
                      <w:b w:val="0"/>
                      <w:strike w:val="0"/>
                      <w:dstrike w:val="0"/>
                      <w:color w:val="auto"/>
                      <w:kern w:val="2"/>
                      <w:sz w:val="21"/>
                      <w:szCs w:val="21"/>
                      <w:u w:val="none"/>
                      <w:lang w:val="en-US" w:eastAsia="zh-CN" w:bidi="ar-SA"/>
                    </w:rPr>
                  </w:pPr>
                  <w:r>
                    <w:rPr>
                      <w:rFonts w:hint="default" w:ascii="Times New Roman" w:hAnsi="Times New Roman" w:eastAsia="宋体" w:cs="Times New Roman"/>
                      <w:b w:val="0"/>
                      <w:strike w:val="0"/>
                      <w:dstrike w:val="0"/>
                      <w:color w:val="auto"/>
                      <w:sz w:val="21"/>
                      <w:szCs w:val="21"/>
                      <w:u w:val="none"/>
                      <w:lang w:val="en-US" w:eastAsia="zh-CN"/>
                    </w:rPr>
                    <w:t>1</w:t>
                  </w:r>
                </w:p>
              </w:tc>
              <w:tc>
                <w:tcPr>
                  <w:tcW w:w="626" w:type="pct"/>
                  <w:shd w:val="clear" w:color="auto" w:fill="auto"/>
                  <w:vAlign w:val="center"/>
                </w:tcPr>
                <w:p w14:paraId="2DF061EF">
                  <w:pPr>
                    <w:widowControl/>
                    <w:spacing w:line="300" w:lineRule="atLeast"/>
                    <w:jc w:val="center"/>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sz w:val="21"/>
                      <w:szCs w:val="21"/>
                      <w:lang w:val="en-US" w:eastAsia="zh-CN"/>
                    </w:rPr>
                    <w:t>250</w:t>
                  </w:r>
                </w:p>
              </w:tc>
              <w:tc>
                <w:tcPr>
                  <w:tcW w:w="653" w:type="pct"/>
                  <w:shd w:val="clear" w:color="auto" w:fill="auto"/>
                  <w:vAlign w:val="bottom"/>
                </w:tcPr>
                <w:p w14:paraId="438259BA">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1.11E+07</w:t>
                  </w:r>
                </w:p>
              </w:tc>
              <w:tc>
                <w:tcPr>
                  <w:tcW w:w="618" w:type="pct"/>
                  <w:shd w:val="clear" w:color="auto" w:fill="auto"/>
                  <w:vAlign w:val="bottom"/>
                </w:tcPr>
                <w:p w14:paraId="3E884890">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2.78E+09</w:t>
                  </w:r>
                </w:p>
              </w:tc>
              <w:tc>
                <w:tcPr>
                  <w:tcW w:w="385" w:type="pct"/>
                  <w:vMerge w:val="continue"/>
                  <w:vAlign w:val="center"/>
                </w:tcPr>
                <w:p w14:paraId="796A385A">
                  <w:pPr>
                    <w:widowControl/>
                    <w:spacing w:line="360" w:lineRule="exact"/>
                    <w:jc w:val="center"/>
                    <w:rPr>
                      <w:spacing w:val="-6"/>
                      <w:sz w:val="21"/>
                      <w:szCs w:val="21"/>
                      <w:lang w:bidi="ar"/>
                    </w:rPr>
                  </w:pPr>
                </w:p>
              </w:tc>
            </w:tr>
          </w:tbl>
          <w:p w14:paraId="2879E982">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2</w:t>
            </w:r>
            <w:r>
              <w:rPr>
                <w:rFonts w:eastAsia="黑体"/>
                <w:bCs/>
                <w:sz w:val="21"/>
                <w:szCs w:val="21"/>
              </w:rPr>
              <w:t xml:space="preserve">  负一层射线装置和放射源统计表</w:t>
            </w:r>
          </w:p>
          <w:tbl>
            <w:tblPr>
              <w:tblStyle w:val="57"/>
              <w:tblW w:w="851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651"/>
              <w:gridCol w:w="698"/>
              <w:gridCol w:w="774"/>
              <w:gridCol w:w="1923"/>
              <w:gridCol w:w="1575"/>
              <w:gridCol w:w="1020"/>
              <w:gridCol w:w="761"/>
            </w:tblGrid>
            <w:tr w14:paraId="1611AA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654" w:type="pct"/>
                  <w:vAlign w:val="center"/>
                </w:tcPr>
                <w:p w14:paraId="16D88BF6">
                  <w:pPr>
                    <w:spacing w:line="360" w:lineRule="exact"/>
                    <w:jc w:val="center"/>
                    <w:rPr>
                      <w:b/>
                      <w:bCs w:val="0"/>
                      <w:spacing w:val="-11"/>
                      <w:sz w:val="21"/>
                      <w:szCs w:val="21"/>
                    </w:rPr>
                  </w:pPr>
                  <w:r>
                    <w:rPr>
                      <w:b/>
                      <w:bCs w:val="0"/>
                      <w:spacing w:val="-11"/>
                      <w:sz w:val="21"/>
                      <w:szCs w:val="21"/>
                    </w:rPr>
                    <w:t>射线装置</w:t>
                  </w:r>
                </w:p>
              </w:tc>
              <w:tc>
                <w:tcPr>
                  <w:tcW w:w="382" w:type="pct"/>
                  <w:vAlign w:val="center"/>
                </w:tcPr>
                <w:p w14:paraId="0C7E2833">
                  <w:pPr>
                    <w:spacing w:line="360" w:lineRule="exact"/>
                    <w:jc w:val="center"/>
                    <w:rPr>
                      <w:b/>
                      <w:bCs w:val="0"/>
                      <w:spacing w:val="-11"/>
                      <w:sz w:val="21"/>
                      <w:szCs w:val="21"/>
                    </w:rPr>
                  </w:pPr>
                  <w:r>
                    <w:rPr>
                      <w:b/>
                      <w:bCs w:val="0"/>
                      <w:spacing w:val="-11"/>
                      <w:sz w:val="21"/>
                      <w:szCs w:val="21"/>
                    </w:rPr>
                    <w:t>数量</w:t>
                  </w:r>
                </w:p>
              </w:tc>
              <w:tc>
                <w:tcPr>
                  <w:tcW w:w="409" w:type="pct"/>
                  <w:vAlign w:val="center"/>
                </w:tcPr>
                <w:p w14:paraId="5ED8D91C">
                  <w:pPr>
                    <w:spacing w:line="360" w:lineRule="exact"/>
                    <w:jc w:val="center"/>
                    <w:rPr>
                      <w:b/>
                      <w:bCs w:val="0"/>
                      <w:spacing w:val="-11"/>
                      <w:sz w:val="21"/>
                      <w:szCs w:val="21"/>
                    </w:rPr>
                  </w:pPr>
                  <w:r>
                    <w:rPr>
                      <w:b/>
                      <w:bCs w:val="0"/>
                      <w:spacing w:val="-11"/>
                      <w:sz w:val="21"/>
                      <w:szCs w:val="21"/>
                    </w:rPr>
                    <w:t>型号</w:t>
                  </w:r>
                </w:p>
              </w:tc>
              <w:tc>
                <w:tcPr>
                  <w:tcW w:w="454" w:type="pct"/>
                  <w:vAlign w:val="center"/>
                </w:tcPr>
                <w:p w14:paraId="400DE3EF">
                  <w:pPr>
                    <w:spacing w:line="360" w:lineRule="exact"/>
                    <w:jc w:val="center"/>
                    <w:rPr>
                      <w:b/>
                      <w:bCs w:val="0"/>
                      <w:spacing w:val="-11"/>
                      <w:sz w:val="21"/>
                      <w:szCs w:val="21"/>
                    </w:rPr>
                  </w:pPr>
                  <w:r>
                    <w:rPr>
                      <w:b/>
                      <w:bCs w:val="0"/>
                      <w:spacing w:val="-11"/>
                      <w:sz w:val="21"/>
                      <w:szCs w:val="21"/>
                    </w:rPr>
                    <w:t>类别</w:t>
                  </w:r>
                </w:p>
              </w:tc>
              <w:tc>
                <w:tcPr>
                  <w:tcW w:w="1129" w:type="pct"/>
                  <w:vAlign w:val="center"/>
                </w:tcPr>
                <w:p w14:paraId="6FEE1CB7">
                  <w:pPr>
                    <w:spacing w:line="360" w:lineRule="exact"/>
                    <w:jc w:val="center"/>
                    <w:rPr>
                      <w:b/>
                      <w:bCs w:val="0"/>
                      <w:spacing w:val="-11"/>
                      <w:sz w:val="21"/>
                      <w:szCs w:val="21"/>
                    </w:rPr>
                  </w:pPr>
                  <w:r>
                    <w:rPr>
                      <w:b/>
                      <w:bCs w:val="0"/>
                      <w:spacing w:val="-11"/>
                      <w:sz w:val="21"/>
                      <w:szCs w:val="21"/>
                    </w:rPr>
                    <w:t>设备主要参数</w:t>
                  </w:r>
                </w:p>
              </w:tc>
              <w:tc>
                <w:tcPr>
                  <w:tcW w:w="924" w:type="pct"/>
                  <w:vAlign w:val="center"/>
                </w:tcPr>
                <w:p w14:paraId="1CD090F8">
                  <w:pPr>
                    <w:spacing w:line="360" w:lineRule="exact"/>
                    <w:jc w:val="center"/>
                    <w:rPr>
                      <w:b/>
                      <w:bCs w:val="0"/>
                      <w:spacing w:val="-11"/>
                      <w:sz w:val="21"/>
                      <w:szCs w:val="21"/>
                    </w:rPr>
                  </w:pPr>
                  <w:r>
                    <w:rPr>
                      <w:b/>
                      <w:bCs w:val="0"/>
                      <w:spacing w:val="-11"/>
                      <w:sz w:val="21"/>
                      <w:szCs w:val="21"/>
                    </w:rPr>
                    <w:t>工作场所</w:t>
                  </w:r>
                </w:p>
              </w:tc>
              <w:tc>
                <w:tcPr>
                  <w:tcW w:w="598" w:type="pct"/>
                  <w:vAlign w:val="center"/>
                </w:tcPr>
                <w:p w14:paraId="08563092">
                  <w:pPr>
                    <w:spacing w:line="360" w:lineRule="exact"/>
                    <w:jc w:val="center"/>
                    <w:rPr>
                      <w:b/>
                      <w:bCs w:val="0"/>
                      <w:spacing w:val="-11"/>
                      <w:sz w:val="21"/>
                      <w:szCs w:val="21"/>
                    </w:rPr>
                  </w:pPr>
                  <w:r>
                    <w:rPr>
                      <w:b/>
                      <w:bCs w:val="0"/>
                      <w:spacing w:val="-11"/>
                      <w:sz w:val="21"/>
                      <w:szCs w:val="21"/>
                    </w:rPr>
                    <w:t>用途</w:t>
                  </w:r>
                </w:p>
              </w:tc>
              <w:tc>
                <w:tcPr>
                  <w:tcW w:w="446" w:type="pct"/>
                  <w:vAlign w:val="center"/>
                </w:tcPr>
                <w:p w14:paraId="6D920689">
                  <w:pPr>
                    <w:spacing w:line="360" w:lineRule="exact"/>
                    <w:jc w:val="center"/>
                    <w:rPr>
                      <w:b/>
                      <w:bCs w:val="0"/>
                      <w:spacing w:val="-11"/>
                      <w:sz w:val="21"/>
                      <w:szCs w:val="21"/>
                    </w:rPr>
                  </w:pPr>
                  <w:r>
                    <w:rPr>
                      <w:b/>
                      <w:bCs w:val="0"/>
                      <w:spacing w:val="-11"/>
                      <w:sz w:val="21"/>
                      <w:szCs w:val="21"/>
                    </w:rPr>
                    <w:t>活动种类</w:t>
                  </w:r>
                </w:p>
              </w:tc>
            </w:tr>
            <w:tr w14:paraId="24EB90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pct"/>
                  <w:vAlign w:val="center"/>
                </w:tcPr>
                <w:p w14:paraId="4F69C786">
                  <w:pPr>
                    <w:spacing w:line="360" w:lineRule="exact"/>
                    <w:jc w:val="center"/>
                    <w:rPr>
                      <w:spacing w:val="-11"/>
                      <w:sz w:val="21"/>
                      <w:szCs w:val="21"/>
                    </w:rPr>
                  </w:pPr>
                  <w:r>
                    <w:rPr>
                      <w:spacing w:val="-11"/>
                      <w:sz w:val="21"/>
                      <w:szCs w:val="21"/>
                    </w:rPr>
                    <w:t>PET/CT</w:t>
                  </w:r>
                </w:p>
              </w:tc>
              <w:tc>
                <w:tcPr>
                  <w:tcW w:w="382" w:type="pct"/>
                  <w:vAlign w:val="center"/>
                </w:tcPr>
                <w:p w14:paraId="28183B52">
                  <w:pPr>
                    <w:spacing w:line="360" w:lineRule="exact"/>
                    <w:jc w:val="center"/>
                    <w:rPr>
                      <w:spacing w:val="-11"/>
                      <w:sz w:val="21"/>
                      <w:szCs w:val="21"/>
                    </w:rPr>
                  </w:pPr>
                  <w:r>
                    <w:rPr>
                      <w:rFonts w:hint="eastAsia"/>
                      <w:spacing w:val="-11"/>
                      <w:sz w:val="21"/>
                      <w:szCs w:val="21"/>
                      <w:lang w:val="en-US" w:eastAsia="zh-CN"/>
                    </w:rPr>
                    <w:t>1</w:t>
                  </w:r>
                  <w:r>
                    <w:rPr>
                      <w:bCs/>
                      <w:spacing w:val="-11"/>
                      <w:sz w:val="21"/>
                      <w:szCs w:val="21"/>
                    </w:rPr>
                    <w:t>台</w:t>
                  </w:r>
                </w:p>
              </w:tc>
              <w:tc>
                <w:tcPr>
                  <w:tcW w:w="409" w:type="pct"/>
                  <w:vAlign w:val="center"/>
                </w:tcPr>
                <w:p w14:paraId="44A871E2">
                  <w:pPr>
                    <w:spacing w:line="360" w:lineRule="exact"/>
                    <w:jc w:val="center"/>
                    <w:rPr>
                      <w:spacing w:val="-11"/>
                      <w:sz w:val="21"/>
                      <w:szCs w:val="21"/>
                    </w:rPr>
                  </w:pPr>
                  <w:r>
                    <w:rPr>
                      <w:spacing w:val="-11"/>
                      <w:sz w:val="21"/>
                      <w:szCs w:val="21"/>
                    </w:rPr>
                    <w:t>未定</w:t>
                  </w:r>
                </w:p>
              </w:tc>
              <w:tc>
                <w:tcPr>
                  <w:tcW w:w="454" w:type="pct"/>
                  <w:vAlign w:val="center"/>
                </w:tcPr>
                <w:p w14:paraId="0D25D4AE">
                  <w:pPr>
                    <w:spacing w:line="360" w:lineRule="exact"/>
                    <w:jc w:val="center"/>
                    <w:rPr>
                      <w:spacing w:val="-11"/>
                      <w:sz w:val="21"/>
                      <w:szCs w:val="21"/>
                    </w:rPr>
                  </w:pPr>
                  <w:r>
                    <w:rPr>
                      <w:spacing w:val="-11"/>
                      <w:sz w:val="21"/>
                      <w:szCs w:val="21"/>
                    </w:rPr>
                    <w:t>Ⅲ类</w:t>
                  </w:r>
                </w:p>
              </w:tc>
              <w:tc>
                <w:tcPr>
                  <w:tcW w:w="1129" w:type="pct"/>
                  <w:vAlign w:val="center"/>
                </w:tcPr>
                <w:p w14:paraId="7F5CC810">
                  <w:pPr>
                    <w:spacing w:line="360" w:lineRule="exact"/>
                    <w:jc w:val="center"/>
                    <w:rPr>
                      <w:bCs/>
                      <w:spacing w:val="-11"/>
                      <w:sz w:val="21"/>
                      <w:szCs w:val="21"/>
                    </w:rPr>
                  </w:pPr>
                  <w:r>
                    <w:rPr>
                      <w:bCs/>
                      <w:spacing w:val="-11"/>
                      <w:sz w:val="21"/>
                      <w:szCs w:val="21"/>
                    </w:rPr>
                    <w:t>额定管电压140kV、额定管电流900mA</w:t>
                  </w:r>
                </w:p>
              </w:tc>
              <w:tc>
                <w:tcPr>
                  <w:tcW w:w="924" w:type="pct"/>
                  <w:vAlign w:val="center"/>
                </w:tcPr>
                <w:p w14:paraId="2573F823">
                  <w:pPr>
                    <w:spacing w:line="360" w:lineRule="exact"/>
                    <w:jc w:val="center"/>
                    <w:rPr>
                      <w:spacing w:val="-11"/>
                      <w:sz w:val="21"/>
                      <w:szCs w:val="21"/>
                    </w:rPr>
                  </w:pPr>
                  <w:r>
                    <w:rPr>
                      <w:spacing w:val="-11"/>
                      <w:sz w:val="21"/>
                      <w:szCs w:val="21"/>
                    </w:rPr>
                    <w:t>负一层PET/CT机房</w:t>
                  </w:r>
                </w:p>
              </w:tc>
              <w:tc>
                <w:tcPr>
                  <w:tcW w:w="598" w:type="pct"/>
                  <w:vAlign w:val="center"/>
                </w:tcPr>
                <w:p w14:paraId="6D0326F6">
                  <w:pPr>
                    <w:spacing w:line="360" w:lineRule="exact"/>
                    <w:jc w:val="center"/>
                    <w:rPr>
                      <w:spacing w:val="-11"/>
                      <w:sz w:val="21"/>
                      <w:szCs w:val="21"/>
                    </w:rPr>
                  </w:pPr>
                  <w:r>
                    <w:rPr>
                      <w:spacing w:val="-11"/>
                      <w:sz w:val="21"/>
                      <w:szCs w:val="21"/>
                    </w:rPr>
                    <w:t>显像诊断</w:t>
                  </w:r>
                </w:p>
              </w:tc>
              <w:tc>
                <w:tcPr>
                  <w:tcW w:w="446" w:type="pct"/>
                  <w:vMerge w:val="restart"/>
                  <w:vAlign w:val="center"/>
                </w:tcPr>
                <w:p w14:paraId="2CFA99D0">
                  <w:pPr>
                    <w:spacing w:line="360" w:lineRule="exact"/>
                    <w:jc w:val="center"/>
                    <w:rPr>
                      <w:spacing w:val="-11"/>
                      <w:sz w:val="21"/>
                      <w:szCs w:val="21"/>
                    </w:rPr>
                  </w:pPr>
                  <w:r>
                    <w:rPr>
                      <w:spacing w:val="-11"/>
                      <w:sz w:val="21"/>
                      <w:szCs w:val="21"/>
                    </w:rPr>
                    <w:t>使用</w:t>
                  </w:r>
                </w:p>
              </w:tc>
            </w:tr>
            <w:tr w14:paraId="631965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54" w:type="pct"/>
                  <w:shd w:val="clear" w:color="auto" w:fill="auto"/>
                  <w:vAlign w:val="center"/>
                </w:tcPr>
                <w:p w14:paraId="3FE003C0">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lang w:bidi="ar"/>
                    </w:rPr>
                    <w:t>SPECT/CT</w:t>
                  </w:r>
                </w:p>
              </w:tc>
              <w:tc>
                <w:tcPr>
                  <w:tcW w:w="382" w:type="pct"/>
                  <w:shd w:val="clear" w:color="auto" w:fill="auto"/>
                  <w:vAlign w:val="center"/>
                </w:tcPr>
                <w:p w14:paraId="74D21298">
                  <w:pPr>
                    <w:spacing w:line="360" w:lineRule="exact"/>
                    <w:jc w:val="center"/>
                    <w:rPr>
                      <w:rFonts w:ascii="Times New Roman" w:hAnsi="Times New Roman" w:eastAsia="宋体" w:cs="Times New Roman"/>
                      <w:spacing w:val="-11"/>
                      <w:sz w:val="21"/>
                      <w:szCs w:val="21"/>
                      <w:lang w:val="en-US" w:eastAsia="zh-CN" w:bidi="ar-SA"/>
                    </w:rPr>
                  </w:pPr>
                  <w:r>
                    <w:rPr>
                      <w:rFonts w:hint="eastAsia"/>
                      <w:spacing w:val="-11"/>
                      <w:sz w:val="21"/>
                      <w:szCs w:val="21"/>
                      <w:lang w:val="en-US" w:eastAsia="zh-CN" w:bidi="ar"/>
                    </w:rPr>
                    <w:t>1</w:t>
                  </w:r>
                  <w:r>
                    <w:rPr>
                      <w:bCs/>
                      <w:spacing w:val="-11"/>
                      <w:sz w:val="21"/>
                      <w:szCs w:val="21"/>
                      <w:lang w:bidi="ar"/>
                    </w:rPr>
                    <w:t>台</w:t>
                  </w:r>
                </w:p>
              </w:tc>
              <w:tc>
                <w:tcPr>
                  <w:tcW w:w="409" w:type="pct"/>
                  <w:shd w:val="clear" w:color="auto" w:fill="auto"/>
                  <w:vAlign w:val="center"/>
                </w:tcPr>
                <w:p w14:paraId="1CF98C95">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lang w:bidi="ar"/>
                    </w:rPr>
                    <w:t>未定</w:t>
                  </w:r>
                </w:p>
              </w:tc>
              <w:tc>
                <w:tcPr>
                  <w:tcW w:w="454" w:type="pct"/>
                  <w:shd w:val="clear" w:color="auto" w:fill="auto"/>
                  <w:vAlign w:val="center"/>
                </w:tcPr>
                <w:p w14:paraId="1D4CDE99">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lang w:bidi="ar"/>
                    </w:rPr>
                    <w:t>Ⅲ类</w:t>
                  </w:r>
                </w:p>
              </w:tc>
              <w:tc>
                <w:tcPr>
                  <w:tcW w:w="1129" w:type="pct"/>
                  <w:shd w:val="clear" w:color="auto" w:fill="auto"/>
                  <w:vAlign w:val="center"/>
                </w:tcPr>
                <w:p w14:paraId="4F519E82">
                  <w:pPr>
                    <w:spacing w:line="360" w:lineRule="exact"/>
                    <w:jc w:val="center"/>
                    <w:rPr>
                      <w:rFonts w:ascii="Times New Roman" w:hAnsi="Times New Roman" w:eastAsia="宋体" w:cs="Times New Roman"/>
                      <w:spacing w:val="-11"/>
                      <w:sz w:val="21"/>
                      <w:szCs w:val="21"/>
                      <w:lang w:val="en-US" w:eastAsia="zh-CN" w:bidi="ar"/>
                    </w:rPr>
                  </w:pPr>
                  <w:r>
                    <w:rPr>
                      <w:bCs/>
                      <w:spacing w:val="-11"/>
                      <w:sz w:val="21"/>
                      <w:szCs w:val="21"/>
                    </w:rPr>
                    <w:t>额定管电压140kV、额定管电流</w:t>
                  </w:r>
                  <w:r>
                    <w:rPr>
                      <w:rFonts w:hint="eastAsia"/>
                      <w:bCs/>
                      <w:spacing w:val="-11"/>
                      <w:sz w:val="21"/>
                      <w:szCs w:val="21"/>
                      <w:lang w:val="en-US" w:eastAsia="zh-CN"/>
                    </w:rPr>
                    <w:t>9</w:t>
                  </w:r>
                  <w:r>
                    <w:rPr>
                      <w:bCs/>
                      <w:spacing w:val="-11"/>
                      <w:sz w:val="21"/>
                      <w:szCs w:val="21"/>
                    </w:rPr>
                    <w:t>00mA</w:t>
                  </w:r>
                </w:p>
              </w:tc>
              <w:tc>
                <w:tcPr>
                  <w:tcW w:w="924" w:type="pct"/>
                  <w:shd w:val="clear" w:color="auto" w:fill="auto"/>
                  <w:vAlign w:val="center"/>
                </w:tcPr>
                <w:p w14:paraId="53323CE8">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负一层</w:t>
                  </w:r>
                  <w:r>
                    <w:rPr>
                      <w:bCs/>
                      <w:spacing w:val="-11"/>
                      <w:sz w:val="21"/>
                      <w:szCs w:val="21"/>
                      <w:lang w:bidi="ar"/>
                    </w:rPr>
                    <w:t>SPECT/CT机房</w:t>
                  </w:r>
                </w:p>
              </w:tc>
              <w:tc>
                <w:tcPr>
                  <w:tcW w:w="598" w:type="pct"/>
                  <w:shd w:val="clear" w:color="auto" w:fill="auto"/>
                  <w:vAlign w:val="center"/>
                </w:tcPr>
                <w:p w14:paraId="1F5ED6A5">
                  <w:pPr>
                    <w:spacing w:line="360" w:lineRule="exact"/>
                    <w:jc w:val="center"/>
                    <w:rPr>
                      <w:spacing w:val="-11"/>
                      <w:sz w:val="21"/>
                      <w:szCs w:val="21"/>
                    </w:rPr>
                  </w:pPr>
                  <w:r>
                    <w:rPr>
                      <w:spacing w:val="-11"/>
                      <w:sz w:val="21"/>
                      <w:szCs w:val="21"/>
                      <w:lang w:bidi="ar"/>
                    </w:rPr>
                    <w:t>显像</w:t>
                  </w:r>
                </w:p>
                <w:p w14:paraId="5AC19F89">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lang w:bidi="ar"/>
                    </w:rPr>
                    <w:t>诊断</w:t>
                  </w:r>
                </w:p>
              </w:tc>
              <w:tc>
                <w:tcPr>
                  <w:tcW w:w="446" w:type="pct"/>
                  <w:vMerge w:val="continue"/>
                  <w:vAlign w:val="center"/>
                </w:tcPr>
                <w:p w14:paraId="3D61DDB2">
                  <w:pPr>
                    <w:spacing w:line="360" w:lineRule="exact"/>
                    <w:jc w:val="center"/>
                    <w:rPr>
                      <w:spacing w:val="-11"/>
                      <w:sz w:val="21"/>
                      <w:szCs w:val="21"/>
                    </w:rPr>
                  </w:pPr>
                </w:p>
              </w:tc>
            </w:tr>
          </w:tbl>
          <w:p w14:paraId="05208336">
            <w:pPr>
              <w:ind w:firstLine="482"/>
              <w:rPr>
                <w:b/>
                <w:highlight w:val="none"/>
              </w:rPr>
            </w:pPr>
            <w:r>
              <w:rPr>
                <w:rFonts w:hint="eastAsia"/>
                <w:b/>
                <w:highlight w:val="none"/>
                <w:lang w:val="en-US" w:eastAsia="zh-CN"/>
              </w:rPr>
              <w:t>3</w:t>
            </w:r>
            <w:r>
              <w:rPr>
                <w:b/>
                <w:highlight w:val="none"/>
              </w:rPr>
              <w:t>、四层（</w:t>
            </w:r>
            <w:r>
              <w:rPr>
                <w:rFonts w:hint="eastAsia"/>
                <w:b/>
                <w:highlight w:val="none"/>
                <w:lang w:val="en-US" w:eastAsia="zh-CN"/>
              </w:rPr>
              <w:t>手术部</w:t>
            </w:r>
            <w:r>
              <w:rPr>
                <w:b/>
                <w:highlight w:val="none"/>
              </w:rPr>
              <w:t>）</w:t>
            </w:r>
          </w:p>
          <w:p w14:paraId="2F964179">
            <w:pPr>
              <w:ind w:firstLine="482"/>
              <w:rPr>
                <w:rFonts w:hint="default" w:eastAsia="宋体"/>
                <w:bCs/>
                <w:vertAlign w:val="baseline"/>
                <w:lang w:val="en-US" w:eastAsia="zh-CN"/>
              </w:rPr>
            </w:pPr>
            <w:r>
              <w:rPr>
                <w:rFonts w:hint="eastAsia"/>
                <w:lang w:val="en-US" w:eastAsia="zh-CN"/>
              </w:rPr>
              <w:t>四层手术部涉放的</w:t>
            </w:r>
            <w:r>
              <w:rPr>
                <w:bCs/>
              </w:rPr>
              <w:t>建筑面积约</w:t>
            </w:r>
            <w:r>
              <w:rPr>
                <w:rFonts w:hint="eastAsia"/>
                <w:bCs/>
                <w:lang w:val="en-US" w:eastAsia="zh-CN"/>
              </w:rPr>
              <w:t>333</w:t>
            </w:r>
            <w:r>
              <w:rPr>
                <w:bCs/>
              </w:rPr>
              <w:t>m</w:t>
            </w:r>
            <w:r>
              <w:rPr>
                <w:bCs/>
                <w:vertAlign w:val="superscript"/>
              </w:rPr>
              <w:t>2</w:t>
            </w:r>
            <w:r>
              <w:rPr>
                <w:bCs/>
              </w:rPr>
              <w:t>，</w:t>
            </w:r>
            <w:r>
              <w:rPr>
                <w:rFonts w:hint="eastAsia"/>
                <w:bCs/>
                <w:lang w:val="en-US" w:eastAsia="zh-CN"/>
              </w:rPr>
              <w:t>本报告主要包括</w:t>
            </w:r>
            <w:r>
              <w:rPr>
                <w:rFonts w:hint="eastAsia"/>
                <w:lang w:val="en-US" w:eastAsia="zh-CN"/>
              </w:rPr>
              <w:t>1间DSA+CT复合手术室、3间DSA手术室（OR09、OR10、OR11）。内镜中心涉放的建筑面积约为60</w:t>
            </w:r>
            <w:r>
              <w:rPr>
                <w:bCs/>
              </w:rPr>
              <w:t>m</w:t>
            </w:r>
            <w:r>
              <w:rPr>
                <w:bCs/>
                <w:vertAlign w:val="superscript"/>
              </w:rPr>
              <w:t>2</w:t>
            </w:r>
            <w:r>
              <w:rPr>
                <w:rFonts w:hint="eastAsia"/>
                <w:bCs/>
                <w:vertAlign w:val="baseline"/>
                <w:lang w:eastAsia="zh-CN"/>
              </w:rPr>
              <w:t>，</w:t>
            </w:r>
            <w:r>
              <w:rPr>
                <w:rFonts w:hint="eastAsia"/>
                <w:bCs/>
                <w:vertAlign w:val="baseline"/>
                <w:lang w:val="en-US" w:eastAsia="zh-CN"/>
              </w:rPr>
              <w:t>主要为1间ERCP室。</w:t>
            </w:r>
          </w:p>
          <w:p w14:paraId="1F59439B">
            <w:pPr>
              <w:ind w:firstLine="482"/>
              <w:rPr>
                <w:rFonts w:hint="eastAsia" w:eastAsia="宋体"/>
                <w:bCs/>
                <w:lang w:val="en-US" w:eastAsia="zh-CN"/>
              </w:rPr>
            </w:pPr>
            <w:r>
              <w:rPr>
                <w:rFonts w:hint="eastAsia"/>
                <w:bCs/>
                <w:lang w:val="en-US" w:eastAsia="zh-CN"/>
              </w:rPr>
              <w:t>DSA+CT复合手术室内拟新增1台DSA+CT复合手术设备，其中DSA部分</w:t>
            </w:r>
            <w:r>
              <w:t>额定管电压1</w:t>
            </w:r>
            <w:r>
              <w:rPr>
                <w:rFonts w:hint="eastAsia"/>
                <w:lang w:val="en-US" w:eastAsia="zh-CN"/>
              </w:rPr>
              <w:t>25</w:t>
            </w:r>
            <w:r>
              <w:t>kV、额定管电流</w:t>
            </w:r>
            <w:r>
              <w:rPr>
                <w:rFonts w:hint="eastAsia"/>
                <w:lang w:val="en-US" w:eastAsia="zh-CN"/>
              </w:rPr>
              <w:t>10</w:t>
            </w:r>
            <w:r>
              <w:t>00mA</w:t>
            </w:r>
            <w:r>
              <w:rPr>
                <w:rFonts w:hint="eastAsia"/>
                <w:lang w:eastAsia="zh-CN"/>
              </w:rPr>
              <w:t>，</w:t>
            </w:r>
            <w:r>
              <w:rPr>
                <w:rFonts w:hint="eastAsia"/>
                <w:lang w:val="en-US" w:eastAsia="zh-CN"/>
              </w:rPr>
              <w:t>CT部分</w:t>
            </w:r>
            <w:r>
              <w:t>额定管电压140kV、额定管电流</w:t>
            </w:r>
            <w:r>
              <w:rPr>
                <w:rFonts w:hint="eastAsia"/>
                <w:lang w:val="en-US" w:eastAsia="zh-CN"/>
              </w:rPr>
              <w:t>13</w:t>
            </w:r>
            <w:r>
              <w:t>00mA</w:t>
            </w:r>
            <w:r>
              <w:rPr>
                <w:rFonts w:hint="eastAsia"/>
                <w:lang w:eastAsia="zh-CN"/>
              </w:rPr>
              <w:t>，</w:t>
            </w:r>
            <w:r>
              <w:t>用于</w:t>
            </w:r>
            <w:r>
              <w:rPr>
                <w:rFonts w:hint="eastAsia"/>
                <w:lang w:val="en-US" w:eastAsia="zh-CN"/>
              </w:rPr>
              <w:t>影像检查和介入操作</w:t>
            </w:r>
            <w:r>
              <w:rPr>
                <w:rFonts w:hint="eastAsia"/>
                <w:lang w:eastAsia="zh-CN"/>
              </w:rPr>
              <w:t>。</w:t>
            </w:r>
            <w:r>
              <w:rPr>
                <w:rFonts w:hint="eastAsia"/>
                <w:lang w:val="en-US" w:eastAsia="zh-CN"/>
              </w:rPr>
              <w:t>当复合手术室内使用DSA曝光时，CT存放于CT设备间内；当需要使用CT时，则将DSA从手术操作位移开，利用滑轨将CT推送至复合手术室内手术操作位进行曝光，故DSA和CT不会同时出束曝光，且CT设备间不进行曝光。</w:t>
            </w:r>
          </w:p>
          <w:p w14:paraId="3A3544D5">
            <w:pPr>
              <w:ind w:firstLine="482"/>
              <w:rPr>
                <w:rFonts w:hint="default"/>
                <w:bCs/>
                <w:lang w:val="en-US" w:eastAsia="zh-CN"/>
              </w:rPr>
            </w:pPr>
            <w:r>
              <w:rPr>
                <w:rFonts w:hint="eastAsia"/>
                <w:lang w:val="en-US" w:eastAsia="zh-CN"/>
              </w:rPr>
              <w:t>3间DSA手术室（OR09、OR10、OR11）拟分别新增1台DSA，</w:t>
            </w:r>
            <w:r>
              <w:t>额定管电压1</w:t>
            </w:r>
            <w:r>
              <w:rPr>
                <w:rFonts w:hint="eastAsia"/>
                <w:lang w:val="en-US" w:eastAsia="zh-CN"/>
              </w:rPr>
              <w:t>25</w:t>
            </w:r>
            <w:r>
              <w:t>kV、额定管电流</w:t>
            </w:r>
            <w:r>
              <w:rPr>
                <w:rFonts w:hint="eastAsia"/>
                <w:lang w:val="en-US" w:eastAsia="zh-CN"/>
              </w:rPr>
              <w:t>10</w:t>
            </w:r>
            <w:r>
              <w:t>00mA</w:t>
            </w:r>
            <w:r>
              <w:rPr>
                <w:rFonts w:hint="eastAsia"/>
                <w:lang w:eastAsia="zh-CN"/>
              </w:rPr>
              <w:t>，</w:t>
            </w:r>
            <w:r>
              <w:t>用于</w:t>
            </w:r>
            <w:r>
              <w:rPr>
                <w:rFonts w:hint="eastAsia"/>
                <w:lang w:val="en-US" w:eastAsia="zh-CN"/>
              </w:rPr>
              <w:t>影像检查和介入操作</w:t>
            </w:r>
            <w:r>
              <w:rPr>
                <w:rFonts w:hint="eastAsia"/>
                <w:lang w:eastAsia="zh-CN"/>
              </w:rPr>
              <w:t>。</w:t>
            </w:r>
          </w:p>
          <w:p w14:paraId="0D85E68E">
            <w:pPr>
              <w:ind w:firstLine="482"/>
              <w:rPr>
                <w:rFonts w:hint="default"/>
                <w:bCs/>
                <w:lang w:val="en-US" w:eastAsia="zh-CN"/>
              </w:rPr>
            </w:pPr>
            <w:r>
              <w:rPr>
                <w:rFonts w:hint="eastAsia"/>
                <w:bCs/>
                <w:lang w:val="en-US" w:eastAsia="zh-CN"/>
              </w:rPr>
              <w:t>1间ERCP室拟新增1台ERCP</w:t>
            </w:r>
            <w:r>
              <w:rPr>
                <w:rFonts w:hint="eastAsia"/>
                <w:lang w:val="en-US" w:eastAsia="zh-CN"/>
              </w:rPr>
              <w:t>，</w:t>
            </w:r>
            <w:r>
              <w:t>额定管电压1</w:t>
            </w:r>
            <w:r>
              <w:rPr>
                <w:rFonts w:hint="eastAsia"/>
                <w:lang w:val="en-US" w:eastAsia="zh-CN"/>
              </w:rPr>
              <w:t>25</w:t>
            </w:r>
            <w:r>
              <w:t>kV、额定管电流</w:t>
            </w:r>
            <w:r>
              <w:rPr>
                <w:rFonts w:hint="eastAsia"/>
                <w:lang w:val="en-US" w:eastAsia="zh-CN"/>
              </w:rPr>
              <w:t>10</w:t>
            </w:r>
            <w:r>
              <w:t>00mA</w:t>
            </w:r>
            <w:r>
              <w:rPr>
                <w:rFonts w:hint="eastAsia"/>
                <w:lang w:eastAsia="zh-CN"/>
              </w:rPr>
              <w:t>，</w:t>
            </w:r>
            <w:r>
              <w:t>用于</w:t>
            </w:r>
            <w:r>
              <w:rPr>
                <w:rFonts w:hint="eastAsia"/>
                <w:lang w:val="en-US" w:eastAsia="zh-CN"/>
              </w:rPr>
              <w:t>影像检查和介入操作</w:t>
            </w:r>
            <w:r>
              <w:rPr>
                <w:rFonts w:hint="eastAsia"/>
                <w:lang w:eastAsia="zh-CN"/>
              </w:rPr>
              <w:t>。</w:t>
            </w:r>
          </w:p>
          <w:p w14:paraId="0B4E80A4">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3</w:t>
            </w:r>
            <w:r>
              <w:rPr>
                <w:rFonts w:eastAsia="黑体"/>
                <w:bCs/>
                <w:sz w:val="21"/>
                <w:szCs w:val="21"/>
              </w:rPr>
              <w:t xml:space="preserve">  </w:t>
            </w:r>
            <w:r>
              <w:rPr>
                <w:rFonts w:hint="eastAsia" w:eastAsia="黑体"/>
                <w:bCs/>
                <w:sz w:val="21"/>
                <w:szCs w:val="21"/>
                <w:lang w:val="en-US" w:eastAsia="zh-CN"/>
              </w:rPr>
              <w:t>四层</w:t>
            </w:r>
            <w:r>
              <w:rPr>
                <w:rFonts w:eastAsia="黑体"/>
                <w:bCs/>
                <w:sz w:val="21"/>
                <w:szCs w:val="21"/>
              </w:rPr>
              <w:t>射线装置统计表</w:t>
            </w:r>
          </w:p>
          <w:tbl>
            <w:tblPr>
              <w:tblStyle w:val="57"/>
              <w:tblW w:w="8535"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663"/>
              <w:gridCol w:w="686"/>
              <w:gridCol w:w="701"/>
              <w:gridCol w:w="2031"/>
              <w:gridCol w:w="1322"/>
              <w:gridCol w:w="1320"/>
              <w:gridCol w:w="690"/>
            </w:tblGrid>
            <w:tr w14:paraId="652A0C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57" w:type="pct"/>
                  <w:vAlign w:val="center"/>
                </w:tcPr>
                <w:p w14:paraId="1321EEC5">
                  <w:pPr>
                    <w:spacing w:line="360" w:lineRule="exact"/>
                    <w:jc w:val="center"/>
                    <w:rPr>
                      <w:b/>
                      <w:bCs w:val="0"/>
                      <w:spacing w:val="-11"/>
                      <w:sz w:val="21"/>
                      <w:szCs w:val="21"/>
                    </w:rPr>
                  </w:pPr>
                  <w:r>
                    <w:rPr>
                      <w:b/>
                      <w:bCs w:val="0"/>
                      <w:spacing w:val="-11"/>
                      <w:sz w:val="21"/>
                      <w:szCs w:val="21"/>
                    </w:rPr>
                    <w:t>射线装置</w:t>
                  </w:r>
                </w:p>
              </w:tc>
              <w:tc>
                <w:tcPr>
                  <w:tcW w:w="388" w:type="pct"/>
                  <w:vAlign w:val="center"/>
                </w:tcPr>
                <w:p w14:paraId="71FE9AD1">
                  <w:pPr>
                    <w:spacing w:line="360" w:lineRule="exact"/>
                    <w:jc w:val="center"/>
                    <w:rPr>
                      <w:b/>
                      <w:bCs w:val="0"/>
                      <w:spacing w:val="-11"/>
                      <w:sz w:val="21"/>
                      <w:szCs w:val="21"/>
                    </w:rPr>
                  </w:pPr>
                  <w:r>
                    <w:rPr>
                      <w:b/>
                      <w:bCs w:val="0"/>
                      <w:spacing w:val="-11"/>
                      <w:sz w:val="21"/>
                      <w:szCs w:val="21"/>
                    </w:rPr>
                    <w:t>数量</w:t>
                  </w:r>
                </w:p>
              </w:tc>
              <w:tc>
                <w:tcPr>
                  <w:tcW w:w="401" w:type="pct"/>
                  <w:vAlign w:val="center"/>
                </w:tcPr>
                <w:p w14:paraId="774EB662">
                  <w:pPr>
                    <w:spacing w:line="360" w:lineRule="exact"/>
                    <w:jc w:val="center"/>
                    <w:rPr>
                      <w:b/>
                      <w:bCs w:val="0"/>
                      <w:spacing w:val="-11"/>
                      <w:sz w:val="21"/>
                      <w:szCs w:val="21"/>
                    </w:rPr>
                  </w:pPr>
                  <w:r>
                    <w:rPr>
                      <w:b/>
                      <w:bCs w:val="0"/>
                      <w:spacing w:val="-11"/>
                      <w:sz w:val="21"/>
                      <w:szCs w:val="21"/>
                    </w:rPr>
                    <w:t>型号</w:t>
                  </w:r>
                </w:p>
              </w:tc>
              <w:tc>
                <w:tcPr>
                  <w:tcW w:w="410" w:type="pct"/>
                  <w:vAlign w:val="center"/>
                </w:tcPr>
                <w:p w14:paraId="31263C70">
                  <w:pPr>
                    <w:spacing w:line="360" w:lineRule="exact"/>
                    <w:jc w:val="center"/>
                    <w:rPr>
                      <w:b/>
                      <w:bCs w:val="0"/>
                      <w:spacing w:val="-11"/>
                      <w:sz w:val="21"/>
                      <w:szCs w:val="21"/>
                    </w:rPr>
                  </w:pPr>
                  <w:r>
                    <w:rPr>
                      <w:b/>
                      <w:bCs w:val="0"/>
                      <w:spacing w:val="-11"/>
                      <w:sz w:val="21"/>
                      <w:szCs w:val="21"/>
                    </w:rPr>
                    <w:t>类别</w:t>
                  </w:r>
                </w:p>
              </w:tc>
              <w:tc>
                <w:tcPr>
                  <w:tcW w:w="1189" w:type="pct"/>
                  <w:vAlign w:val="center"/>
                </w:tcPr>
                <w:p w14:paraId="729D695D">
                  <w:pPr>
                    <w:spacing w:line="360" w:lineRule="exact"/>
                    <w:jc w:val="center"/>
                    <w:rPr>
                      <w:b/>
                      <w:bCs w:val="0"/>
                      <w:spacing w:val="-11"/>
                      <w:sz w:val="21"/>
                      <w:szCs w:val="21"/>
                    </w:rPr>
                  </w:pPr>
                  <w:r>
                    <w:rPr>
                      <w:b/>
                      <w:bCs w:val="0"/>
                      <w:spacing w:val="-11"/>
                      <w:sz w:val="21"/>
                      <w:szCs w:val="21"/>
                    </w:rPr>
                    <w:t>设备主要参数</w:t>
                  </w:r>
                </w:p>
              </w:tc>
              <w:tc>
                <w:tcPr>
                  <w:tcW w:w="774" w:type="pct"/>
                  <w:vAlign w:val="center"/>
                </w:tcPr>
                <w:p w14:paraId="52001F31">
                  <w:pPr>
                    <w:spacing w:line="360" w:lineRule="exact"/>
                    <w:jc w:val="center"/>
                    <w:rPr>
                      <w:b/>
                      <w:bCs w:val="0"/>
                      <w:spacing w:val="-11"/>
                      <w:sz w:val="21"/>
                      <w:szCs w:val="21"/>
                    </w:rPr>
                  </w:pPr>
                  <w:r>
                    <w:rPr>
                      <w:b/>
                      <w:bCs w:val="0"/>
                      <w:spacing w:val="-11"/>
                      <w:sz w:val="21"/>
                      <w:szCs w:val="21"/>
                    </w:rPr>
                    <w:t>工作场所</w:t>
                  </w:r>
                </w:p>
              </w:tc>
              <w:tc>
                <w:tcPr>
                  <w:tcW w:w="773" w:type="pct"/>
                  <w:vAlign w:val="center"/>
                </w:tcPr>
                <w:p w14:paraId="57B05163">
                  <w:pPr>
                    <w:spacing w:line="360" w:lineRule="exact"/>
                    <w:jc w:val="center"/>
                    <w:rPr>
                      <w:b/>
                      <w:bCs w:val="0"/>
                      <w:spacing w:val="-11"/>
                      <w:sz w:val="21"/>
                      <w:szCs w:val="21"/>
                    </w:rPr>
                  </w:pPr>
                  <w:r>
                    <w:rPr>
                      <w:b/>
                      <w:bCs w:val="0"/>
                      <w:spacing w:val="-11"/>
                      <w:sz w:val="21"/>
                      <w:szCs w:val="21"/>
                    </w:rPr>
                    <w:t>用途</w:t>
                  </w:r>
                </w:p>
              </w:tc>
              <w:tc>
                <w:tcPr>
                  <w:tcW w:w="404" w:type="pct"/>
                  <w:vAlign w:val="center"/>
                </w:tcPr>
                <w:p w14:paraId="556B8AFA">
                  <w:pPr>
                    <w:spacing w:line="360" w:lineRule="exact"/>
                    <w:jc w:val="center"/>
                    <w:rPr>
                      <w:b/>
                      <w:bCs w:val="0"/>
                      <w:spacing w:val="-11"/>
                      <w:sz w:val="21"/>
                      <w:szCs w:val="21"/>
                    </w:rPr>
                  </w:pPr>
                  <w:r>
                    <w:rPr>
                      <w:b/>
                      <w:bCs w:val="0"/>
                      <w:spacing w:val="-11"/>
                      <w:sz w:val="21"/>
                      <w:szCs w:val="21"/>
                    </w:rPr>
                    <w:t>活动种类</w:t>
                  </w:r>
                </w:p>
              </w:tc>
            </w:tr>
            <w:tr w14:paraId="0B8F7A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657" w:type="pct"/>
                  <w:shd w:val="clear" w:color="auto" w:fill="auto"/>
                  <w:vAlign w:val="center"/>
                </w:tcPr>
                <w:p w14:paraId="18F61272">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DSA+CT</w:t>
                  </w:r>
                </w:p>
              </w:tc>
              <w:tc>
                <w:tcPr>
                  <w:tcW w:w="388" w:type="pct"/>
                  <w:shd w:val="clear" w:color="auto" w:fill="auto"/>
                  <w:vAlign w:val="center"/>
                </w:tcPr>
                <w:p w14:paraId="7FE69934">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1台</w:t>
                  </w:r>
                </w:p>
              </w:tc>
              <w:tc>
                <w:tcPr>
                  <w:tcW w:w="401" w:type="pct"/>
                  <w:shd w:val="clear" w:color="auto" w:fill="auto"/>
                  <w:vAlign w:val="center"/>
                </w:tcPr>
                <w:p w14:paraId="3F6B73AE">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bidi="ar"/>
                    </w:rPr>
                    <w:t>未定</w:t>
                  </w:r>
                </w:p>
              </w:tc>
              <w:tc>
                <w:tcPr>
                  <w:tcW w:w="410" w:type="pct"/>
                  <w:shd w:val="clear" w:color="auto" w:fill="auto"/>
                  <w:vAlign w:val="center"/>
                </w:tcPr>
                <w:p w14:paraId="11E83FBB">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bidi="ar"/>
                    </w:rPr>
                    <w:t>Ⅱ类</w:t>
                  </w:r>
                  <w:r>
                    <w:rPr>
                      <w:rFonts w:hint="default" w:ascii="Times New Roman" w:hAnsi="Times New Roman" w:eastAsia="宋体" w:cs="Times New Roman"/>
                      <w:spacing w:val="0"/>
                      <w:sz w:val="21"/>
                      <w:szCs w:val="21"/>
                      <w:lang w:val="en-US" w:eastAsia="zh-CN" w:bidi="ar"/>
                    </w:rPr>
                    <w:t>+</w:t>
                  </w:r>
                  <w:r>
                    <w:rPr>
                      <w:rFonts w:hint="default" w:ascii="Times New Roman" w:hAnsi="Times New Roman" w:eastAsia="宋体" w:cs="Times New Roman"/>
                      <w:spacing w:val="0"/>
                      <w:sz w:val="21"/>
                      <w:szCs w:val="21"/>
                      <w:lang w:bidi="ar"/>
                    </w:rPr>
                    <w:t>Ⅲ类</w:t>
                  </w:r>
                </w:p>
              </w:tc>
              <w:tc>
                <w:tcPr>
                  <w:tcW w:w="1189" w:type="pct"/>
                  <w:shd w:val="clear" w:color="auto" w:fill="auto"/>
                  <w:vAlign w:val="center"/>
                </w:tcPr>
                <w:p w14:paraId="2BC01C93">
                  <w:pPr>
                    <w:spacing w:line="240" w:lineRule="auto"/>
                    <w:jc w:val="center"/>
                    <w:rPr>
                      <w:rFonts w:hint="default" w:ascii="Times New Roman" w:hAnsi="Times New Roman" w:eastAsia="宋体" w:cs="Times New Roman"/>
                      <w:bCs/>
                      <w:spacing w:val="0"/>
                      <w:sz w:val="21"/>
                      <w:szCs w:val="21"/>
                    </w:rPr>
                  </w:pPr>
                  <w:r>
                    <w:rPr>
                      <w:rFonts w:hint="default" w:ascii="Times New Roman" w:hAnsi="Times New Roman" w:eastAsia="宋体" w:cs="Times New Roman"/>
                      <w:bCs/>
                      <w:spacing w:val="0"/>
                      <w:sz w:val="21"/>
                      <w:szCs w:val="21"/>
                      <w:lang w:val="en-US" w:eastAsia="zh-CN"/>
                    </w:rPr>
                    <w:t>DSA部分：</w:t>
                  </w:r>
                  <w:r>
                    <w:rPr>
                      <w:rFonts w:hint="default" w:ascii="Times New Roman" w:hAnsi="Times New Roman" w:eastAsia="宋体" w:cs="Times New Roman"/>
                      <w:bCs/>
                      <w:spacing w:val="0"/>
                      <w:sz w:val="21"/>
                      <w:szCs w:val="21"/>
                    </w:rPr>
                    <w:t>额定管电压1</w:t>
                  </w:r>
                  <w:r>
                    <w:rPr>
                      <w:rFonts w:hint="default" w:ascii="Times New Roman" w:hAnsi="Times New Roman" w:eastAsia="宋体" w:cs="Times New Roman"/>
                      <w:bCs/>
                      <w:spacing w:val="0"/>
                      <w:sz w:val="21"/>
                      <w:szCs w:val="21"/>
                      <w:lang w:val="en-US" w:eastAsia="zh-CN"/>
                    </w:rPr>
                    <w:t>25</w:t>
                  </w:r>
                  <w:r>
                    <w:rPr>
                      <w:rFonts w:hint="default" w:ascii="Times New Roman" w:hAnsi="Times New Roman" w:eastAsia="宋体" w:cs="Times New Roman"/>
                      <w:bCs/>
                      <w:spacing w:val="0"/>
                      <w:sz w:val="21"/>
                      <w:szCs w:val="21"/>
                    </w:rPr>
                    <w:t>kV、额定管电流</w:t>
                  </w:r>
                  <w:r>
                    <w:rPr>
                      <w:rFonts w:hint="default" w:ascii="Times New Roman" w:hAnsi="Times New Roman" w:eastAsia="宋体" w:cs="Times New Roman"/>
                      <w:bCs/>
                      <w:spacing w:val="0"/>
                      <w:sz w:val="21"/>
                      <w:szCs w:val="21"/>
                      <w:lang w:val="en-US" w:eastAsia="zh-CN"/>
                    </w:rPr>
                    <w:t>10</w:t>
                  </w:r>
                  <w:r>
                    <w:rPr>
                      <w:rFonts w:hint="default" w:ascii="Times New Roman" w:hAnsi="Times New Roman" w:eastAsia="宋体" w:cs="Times New Roman"/>
                      <w:bCs/>
                      <w:spacing w:val="0"/>
                      <w:sz w:val="21"/>
                      <w:szCs w:val="21"/>
                    </w:rPr>
                    <w:t>00mA</w:t>
                  </w:r>
                </w:p>
                <w:p w14:paraId="3C66B447">
                  <w:pPr>
                    <w:spacing w:line="240" w:lineRule="auto"/>
                    <w:jc w:val="center"/>
                    <w:rPr>
                      <w:rFonts w:hint="default" w:ascii="Times New Roman" w:hAnsi="Times New Roman" w:eastAsia="宋体" w:cs="Times New Roman"/>
                      <w:bCs/>
                      <w:spacing w:val="0"/>
                      <w:sz w:val="21"/>
                      <w:szCs w:val="21"/>
                      <w:lang w:val="en-US" w:eastAsia="zh-CN" w:bidi="ar-SA"/>
                    </w:rPr>
                  </w:pPr>
                  <w:r>
                    <w:rPr>
                      <w:rFonts w:hint="default" w:ascii="Times New Roman" w:hAnsi="Times New Roman" w:eastAsia="宋体" w:cs="Times New Roman"/>
                      <w:bCs/>
                      <w:spacing w:val="0"/>
                      <w:sz w:val="21"/>
                      <w:szCs w:val="21"/>
                      <w:lang w:val="en-US" w:eastAsia="zh-CN"/>
                    </w:rPr>
                    <w:t>CT部分：</w:t>
                  </w:r>
                  <w:r>
                    <w:rPr>
                      <w:rFonts w:hint="default" w:ascii="Times New Roman" w:hAnsi="Times New Roman" w:eastAsia="宋体" w:cs="Times New Roman"/>
                      <w:bCs/>
                      <w:spacing w:val="0"/>
                      <w:sz w:val="21"/>
                      <w:szCs w:val="21"/>
                    </w:rPr>
                    <w:t>额定管电压140kV、额定管电流</w:t>
                  </w:r>
                  <w:r>
                    <w:rPr>
                      <w:rFonts w:hint="default" w:ascii="Times New Roman" w:hAnsi="Times New Roman" w:eastAsia="宋体" w:cs="Times New Roman"/>
                      <w:bCs/>
                      <w:spacing w:val="0"/>
                      <w:sz w:val="21"/>
                      <w:szCs w:val="21"/>
                      <w:lang w:val="en-US" w:eastAsia="zh-CN"/>
                    </w:rPr>
                    <w:t>13</w:t>
                  </w:r>
                  <w:r>
                    <w:rPr>
                      <w:rFonts w:hint="default" w:ascii="Times New Roman" w:hAnsi="Times New Roman" w:eastAsia="宋体" w:cs="Times New Roman"/>
                      <w:bCs/>
                      <w:spacing w:val="0"/>
                      <w:sz w:val="21"/>
                      <w:szCs w:val="21"/>
                    </w:rPr>
                    <w:t>00mA</w:t>
                  </w:r>
                </w:p>
              </w:tc>
              <w:tc>
                <w:tcPr>
                  <w:tcW w:w="774" w:type="pct"/>
                  <w:shd w:val="clear" w:color="auto" w:fill="auto"/>
                  <w:vAlign w:val="center"/>
                </w:tcPr>
                <w:p w14:paraId="28B91571">
                  <w:pPr>
                    <w:spacing w:line="240" w:lineRule="auto"/>
                    <w:jc w:val="center"/>
                    <w:rPr>
                      <w:rFonts w:hint="default" w:ascii="Times New Roman" w:hAnsi="Times New Roman" w:eastAsia="宋体" w:cs="Times New Roman"/>
                      <w:spacing w:val="0"/>
                      <w:sz w:val="21"/>
                      <w:szCs w:val="21"/>
                      <w:lang w:val="en-US" w:eastAsia="zh-CN" w:bidi="ar-SA"/>
                    </w:rPr>
                  </w:pPr>
                  <w:r>
                    <w:rPr>
                      <w:rFonts w:hint="default" w:ascii="Times New Roman" w:hAnsi="Times New Roman" w:eastAsia="宋体" w:cs="Times New Roman"/>
                      <w:spacing w:val="0"/>
                      <w:sz w:val="21"/>
                      <w:szCs w:val="21"/>
                      <w:lang w:val="en-US" w:eastAsia="zh-CN"/>
                    </w:rPr>
                    <w:t>四</w:t>
                  </w:r>
                  <w:r>
                    <w:rPr>
                      <w:rFonts w:hint="default" w:ascii="Times New Roman" w:hAnsi="Times New Roman" w:eastAsia="宋体" w:cs="Times New Roman"/>
                      <w:spacing w:val="0"/>
                      <w:sz w:val="21"/>
                      <w:szCs w:val="21"/>
                    </w:rPr>
                    <w:t>层</w:t>
                  </w:r>
                  <w:r>
                    <w:rPr>
                      <w:rFonts w:hint="default" w:ascii="Times New Roman" w:hAnsi="Times New Roman" w:eastAsia="宋体" w:cs="Times New Roman"/>
                      <w:spacing w:val="0"/>
                      <w:sz w:val="21"/>
                      <w:szCs w:val="21"/>
                      <w:lang w:val="en-US" w:eastAsia="zh-CN"/>
                    </w:rPr>
                    <w:t>手术部</w:t>
                  </w:r>
                  <w:r>
                    <w:rPr>
                      <w:rFonts w:hint="default" w:ascii="Times New Roman" w:hAnsi="Times New Roman" w:eastAsia="宋体" w:cs="Times New Roman"/>
                      <w:sz w:val="21"/>
                      <w:szCs w:val="21"/>
                      <w:lang w:val="en-US" w:eastAsia="zh-CN"/>
                    </w:rPr>
                    <w:t>DSA+CT复合手术室</w:t>
                  </w:r>
                </w:p>
              </w:tc>
              <w:tc>
                <w:tcPr>
                  <w:tcW w:w="773" w:type="pct"/>
                  <w:shd w:val="clear" w:color="auto" w:fill="auto"/>
                  <w:vAlign w:val="center"/>
                </w:tcPr>
                <w:p w14:paraId="247706FA">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rPr>
                    <w:t>影像检查和介入操作</w:t>
                  </w:r>
                </w:p>
              </w:tc>
              <w:tc>
                <w:tcPr>
                  <w:tcW w:w="404" w:type="pct"/>
                  <w:vMerge w:val="restart"/>
                  <w:vAlign w:val="center"/>
                </w:tcPr>
                <w:p w14:paraId="77C93838">
                  <w:pPr>
                    <w:spacing w:line="360" w:lineRule="exact"/>
                    <w:jc w:val="center"/>
                    <w:rPr>
                      <w:spacing w:val="-11"/>
                      <w:sz w:val="21"/>
                      <w:szCs w:val="21"/>
                    </w:rPr>
                  </w:pPr>
                  <w:r>
                    <w:rPr>
                      <w:spacing w:val="-11"/>
                      <w:sz w:val="21"/>
                      <w:szCs w:val="21"/>
                    </w:rPr>
                    <w:t>使用</w:t>
                  </w:r>
                </w:p>
              </w:tc>
            </w:tr>
            <w:tr w14:paraId="30447F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657" w:type="pct"/>
                  <w:shd w:val="clear" w:color="auto" w:fill="auto"/>
                  <w:vAlign w:val="center"/>
                </w:tcPr>
                <w:p w14:paraId="00F9A114">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DSA</w:t>
                  </w:r>
                </w:p>
              </w:tc>
              <w:tc>
                <w:tcPr>
                  <w:tcW w:w="388" w:type="pct"/>
                  <w:shd w:val="clear" w:color="auto" w:fill="auto"/>
                  <w:vAlign w:val="center"/>
                </w:tcPr>
                <w:p w14:paraId="0E1CD76F">
                  <w:pPr>
                    <w:spacing w:line="240" w:lineRule="auto"/>
                    <w:jc w:val="center"/>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sz w:val="21"/>
                      <w:szCs w:val="21"/>
                      <w:lang w:val="en-US" w:eastAsia="zh-CN" w:bidi="ar"/>
                    </w:rPr>
                    <w:t>1</w:t>
                  </w:r>
                  <w:r>
                    <w:rPr>
                      <w:rFonts w:hint="default" w:ascii="Times New Roman" w:hAnsi="Times New Roman" w:eastAsia="宋体" w:cs="Times New Roman"/>
                      <w:bCs/>
                      <w:spacing w:val="0"/>
                      <w:sz w:val="21"/>
                      <w:szCs w:val="21"/>
                      <w:lang w:bidi="ar"/>
                    </w:rPr>
                    <w:t>台</w:t>
                  </w:r>
                </w:p>
              </w:tc>
              <w:tc>
                <w:tcPr>
                  <w:tcW w:w="401" w:type="pct"/>
                  <w:shd w:val="clear" w:color="auto" w:fill="auto"/>
                  <w:vAlign w:val="center"/>
                </w:tcPr>
                <w:p w14:paraId="625BF7BC">
                  <w:pPr>
                    <w:spacing w:line="240" w:lineRule="auto"/>
                    <w:jc w:val="center"/>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sz w:val="21"/>
                      <w:szCs w:val="21"/>
                      <w:lang w:bidi="ar"/>
                    </w:rPr>
                    <w:t>未定</w:t>
                  </w:r>
                </w:p>
              </w:tc>
              <w:tc>
                <w:tcPr>
                  <w:tcW w:w="410" w:type="pct"/>
                  <w:shd w:val="clear" w:color="auto" w:fill="auto"/>
                  <w:vAlign w:val="center"/>
                </w:tcPr>
                <w:p w14:paraId="7C4CB6CF">
                  <w:pPr>
                    <w:spacing w:line="240" w:lineRule="auto"/>
                    <w:jc w:val="center"/>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sz w:val="21"/>
                      <w:szCs w:val="21"/>
                      <w:lang w:bidi="ar"/>
                    </w:rPr>
                    <w:t>Ⅱ类</w:t>
                  </w:r>
                </w:p>
              </w:tc>
              <w:tc>
                <w:tcPr>
                  <w:tcW w:w="1189" w:type="pct"/>
                  <w:shd w:val="clear" w:color="auto" w:fill="auto"/>
                  <w:vAlign w:val="center"/>
                </w:tcPr>
                <w:p w14:paraId="185BC658">
                  <w:pPr>
                    <w:spacing w:line="240" w:lineRule="auto"/>
                    <w:jc w:val="center"/>
                    <w:rPr>
                      <w:rFonts w:hint="default" w:ascii="Times New Roman" w:hAnsi="Times New Roman" w:eastAsia="宋体" w:cs="Times New Roman"/>
                      <w:spacing w:val="0"/>
                      <w:kern w:val="2"/>
                      <w:sz w:val="21"/>
                      <w:szCs w:val="21"/>
                      <w:lang w:val="en-US" w:eastAsia="zh-CN" w:bidi="ar"/>
                    </w:rPr>
                  </w:pPr>
                  <w:r>
                    <w:rPr>
                      <w:rFonts w:hint="default" w:ascii="Times New Roman" w:hAnsi="Times New Roman" w:eastAsia="宋体" w:cs="Times New Roman"/>
                      <w:bCs/>
                      <w:spacing w:val="0"/>
                      <w:sz w:val="21"/>
                      <w:szCs w:val="21"/>
                    </w:rPr>
                    <w:t>额定管电压1</w:t>
                  </w:r>
                  <w:r>
                    <w:rPr>
                      <w:rFonts w:hint="default" w:ascii="Times New Roman" w:hAnsi="Times New Roman" w:eastAsia="宋体" w:cs="Times New Roman"/>
                      <w:bCs/>
                      <w:spacing w:val="0"/>
                      <w:sz w:val="21"/>
                      <w:szCs w:val="21"/>
                      <w:lang w:val="en-US" w:eastAsia="zh-CN"/>
                    </w:rPr>
                    <w:t>25</w:t>
                  </w:r>
                  <w:r>
                    <w:rPr>
                      <w:rFonts w:hint="default" w:ascii="Times New Roman" w:hAnsi="Times New Roman" w:eastAsia="宋体" w:cs="Times New Roman"/>
                      <w:bCs/>
                      <w:spacing w:val="0"/>
                      <w:sz w:val="21"/>
                      <w:szCs w:val="21"/>
                    </w:rPr>
                    <w:t>kV、额定管电流</w:t>
                  </w:r>
                  <w:r>
                    <w:rPr>
                      <w:rFonts w:hint="default" w:ascii="Times New Roman" w:hAnsi="Times New Roman" w:eastAsia="宋体" w:cs="Times New Roman"/>
                      <w:bCs/>
                      <w:spacing w:val="0"/>
                      <w:sz w:val="21"/>
                      <w:szCs w:val="21"/>
                      <w:lang w:val="en-US" w:eastAsia="zh-CN"/>
                    </w:rPr>
                    <w:t>10</w:t>
                  </w:r>
                  <w:r>
                    <w:rPr>
                      <w:rFonts w:hint="default" w:ascii="Times New Roman" w:hAnsi="Times New Roman" w:eastAsia="宋体" w:cs="Times New Roman"/>
                      <w:bCs/>
                      <w:spacing w:val="0"/>
                      <w:sz w:val="21"/>
                      <w:szCs w:val="21"/>
                    </w:rPr>
                    <w:t>00mA</w:t>
                  </w:r>
                </w:p>
              </w:tc>
              <w:tc>
                <w:tcPr>
                  <w:tcW w:w="774" w:type="pct"/>
                  <w:shd w:val="clear" w:color="auto" w:fill="auto"/>
                  <w:vAlign w:val="center"/>
                </w:tcPr>
                <w:p w14:paraId="1420F7CC">
                  <w:pPr>
                    <w:spacing w:line="240" w:lineRule="auto"/>
                    <w:jc w:val="center"/>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sz w:val="21"/>
                      <w:szCs w:val="21"/>
                      <w:lang w:val="en-US" w:eastAsia="zh-CN"/>
                    </w:rPr>
                    <w:t>四</w:t>
                  </w:r>
                  <w:r>
                    <w:rPr>
                      <w:rFonts w:hint="default" w:ascii="Times New Roman" w:hAnsi="Times New Roman" w:eastAsia="宋体" w:cs="Times New Roman"/>
                      <w:spacing w:val="0"/>
                      <w:sz w:val="21"/>
                      <w:szCs w:val="21"/>
                    </w:rPr>
                    <w:t>层</w:t>
                  </w:r>
                  <w:r>
                    <w:rPr>
                      <w:rFonts w:hint="default" w:ascii="Times New Roman" w:hAnsi="Times New Roman" w:eastAsia="宋体" w:cs="Times New Roman"/>
                      <w:spacing w:val="0"/>
                      <w:sz w:val="21"/>
                      <w:szCs w:val="21"/>
                      <w:lang w:val="en-US" w:eastAsia="zh-CN"/>
                    </w:rPr>
                    <w:t>手术部</w:t>
                  </w:r>
                  <w:r>
                    <w:rPr>
                      <w:rFonts w:hint="eastAsia" w:cs="Times New Roman"/>
                      <w:spacing w:val="0"/>
                      <w:sz w:val="21"/>
                      <w:szCs w:val="21"/>
                      <w:lang w:val="en-US" w:eastAsia="zh-CN"/>
                    </w:rPr>
                    <w:t>OR09</w:t>
                  </w:r>
                </w:p>
              </w:tc>
              <w:tc>
                <w:tcPr>
                  <w:tcW w:w="773" w:type="pct"/>
                  <w:shd w:val="clear" w:color="auto" w:fill="auto"/>
                  <w:vAlign w:val="center"/>
                </w:tcPr>
                <w:p w14:paraId="4530B1F0">
                  <w:pPr>
                    <w:spacing w:line="240" w:lineRule="auto"/>
                    <w:jc w:val="center"/>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sz w:val="21"/>
                      <w:szCs w:val="21"/>
                      <w:lang w:val="en-US" w:eastAsia="zh-CN"/>
                    </w:rPr>
                    <w:t>影像检查和介入操作</w:t>
                  </w:r>
                </w:p>
              </w:tc>
              <w:tc>
                <w:tcPr>
                  <w:tcW w:w="404" w:type="pct"/>
                  <w:vMerge w:val="continue"/>
                  <w:vAlign w:val="center"/>
                </w:tcPr>
                <w:p w14:paraId="13B48024">
                  <w:pPr>
                    <w:spacing w:line="360" w:lineRule="exact"/>
                    <w:jc w:val="center"/>
                    <w:rPr>
                      <w:spacing w:val="-11"/>
                      <w:sz w:val="21"/>
                      <w:szCs w:val="21"/>
                    </w:rPr>
                  </w:pPr>
                </w:p>
              </w:tc>
            </w:tr>
            <w:tr w14:paraId="29A27A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657" w:type="pct"/>
                  <w:shd w:val="clear" w:color="auto" w:fill="auto"/>
                  <w:vAlign w:val="center"/>
                </w:tcPr>
                <w:p w14:paraId="333A31A9">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DSA</w:t>
                  </w:r>
                </w:p>
              </w:tc>
              <w:tc>
                <w:tcPr>
                  <w:tcW w:w="388" w:type="pct"/>
                  <w:shd w:val="clear" w:color="auto" w:fill="auto"/>
                  <w:vAlign w:val="center"/>
                </w:tcPr>
                <w:p w14:paraId="6ABBE066">
                  <w:pPr>
                    <w:spacing w:line="240" w:lineRule="auto"/>
                    <w:jc w:val="center"/>
                    <w:rPr>
                      <w:rFonts w:hint="eastAsia"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1</w:t>
                  </w:r>
                  <w:r>
                    <w:rPr>
                      <w:rFonts w:hint="default" w:ascii="Times New Roman" w:hAnsi="Times New Roman" w:eastAsia="宋体" w:cs="Times New Roman"/>
                      <w:bCs/>
                      <w:spacing w:val="0"/>
                      <w:sz w:val="21"/>
                      <w:szCs w:val="21"/>
                      <w:lang w:bidi="ar"/>
                    </w:rPr>
                    <w:t>台</w:t>
                  </w:r>
                </w:p>
              </w:tc>
              <w:tc>
                <w:tcPr>
                  <w:tcW w:w="401" w:type="pct"/>
                  <w:shd w:val="clear" w:color="auto" w:fill="auto"/>
                  <w:vAlign w:val="center"/>
                </w:tcPr>
                <w:p w14:paraId="07C6DCC0">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bidi="ar"/>
                    </w:rPr>
                    <w:t>未定</w:t>
                  </w:r>
                </w:p>
              </w:tc>
              <w:tc>
                <w:tcPr>
                  <w:tcW w:w="410" w:type="pct"/>
                  <w:shd w:val="clear" w:color="auto" w:fill="auto"/>
                  <w:vAlign w:val="center"/>
                </w:tcPr>
                <w:p w14:paraId="3BE5DD66">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bidi="ar"/>
                    </w:rPr>
                    <w:t>Ⅱ类</w:t>
                  </w:r>
                </w:p>
              </w:tc>
              <w:tc>
                <w:tcPr>
                  <w:tcW w:w="1189" w:type="pct"/>
                  <w:shd w:val="clear" w:color="auto" w:fill="auto"/>
                  <w:vAlign w:val="center"/>
                </w:tcPr>
                <w:p w14:paraId="54F88A0B">
                  <w:pPr>
                    <w:spacing w:line="240" w:lineRule="auto"/>
                    <w:jc w:val="center"/>
                    <w:rPr>
                      <w:rFonts w:hint="default" w:ascii="Times New Roman" w:hAnsi="Times New Roman" w:eastAsia="宋体" w:cs="Times New Roman"/>
                      <w:bCs/>
                      <w:spacing w:val="0"/>
                      <w:sz w:val="21"/>
                      <w:szCs w:val="21"/>
                      <w:lang w:val="en-US" w:eastAsia="zh-CN" w:bidi="ar-SA"/>
                    </w:rPr>
                  </w:pPr>
                  <w:r>
                    <w:rPr>
                      <w:rFonts w:hint="default" w:ascii="Times New Roman" w:hAnsi="Times New Roman" w:eastAsia="宋体" w:cs="Times New Roman"/>
                      <w:bCs/>
                      <w:spacing w:val="0"/>
                      <w:sz w:val="21"/>
                      <w:szCs w:val="21"/>
                    </w:rPr>
                    <w:t>额定管电压1</w:t>
                  </w:r>
                  <w:r>
                    <w:rPr>
                      <w:rFonts w:hint="default" w:ascii="Times New Roman" w:hAnsi="Times New Roman" w:eastAsia="宋体" w:cs="Times New Roman"/>
                      <w:bCs/>
                      <w:spacing w:val="0"/>
                      <w:sz w:val="21"/>
                      <w:szCs w:val="21"/>
                      <w:lang w:val="en-US" w:eastAsia="zh-CN"/>
                    </w:rPr>
                    <w:t>25</w:t>
                  </w:r>
                  <w:r>
                    <w:rPr>
                      <w:rFonts w:hint="default" w:ascii="Times New Roman" w:hAnsi="Times New Roman" w:eastAsia="宋体" w:cs="Times New Roman"/>
                      <w:bCs/>
                      <w:spacing w:val="0"/>
                      <w:sz w:val="21"/>
                      <w:szCs w:val="21"/>
                    </w:rPr>
                    <w:t>kV、额定管电流</w:t>
                  </w:r>
                  <w:r>
                    <w:rPr>
                      <w:rFonts w:hint="default" w:ascii="Times New Roman" w:hAnsi="Times New Roman" w:eastAsia="宋体" w:cs="Times New Roman"/>
                      <w:bCs/>
                      <w:spacing w:val="0"/>
                      <w:sz w:val="21"/>
                      <w:szCs w:val="21"/>
                      <w:lang w:val="en-US" w:eastAsia="zh-CN"/>
                    </w:rPr>
                    <w:t>10</w:t>
                  </w:r>
                  <w:r>
                    <w:rPr>
                      <w:rFonts w:hint="default" w:ascii="Times New Roman" w:hAnsi="Times New Roman" w:eastAsia="宋体" w:cs="Times New Roman"/>
                      <w:bCs/>
                      <w:spacing w:val="0"/>
                      <w:sz w:val="21"/>
                      <w:szCs w:val="21"/>
                    </w:rPr>
                    <w:t>00mA</w:t>
                  </w:r>
                </w:p>
              </w:tc>
              <w:tc>
                <w:tcPr>
                  <w:tcW w:w="774" w:type="pct"/>
                  <w:shd w:val="clear" w:color="auto" w:fill="auto"/>
                  <w:vAlign w:val="center"/>
                </w:tcPr>
                <w:p w14:paraId="68FB374F">
                  <w:pPr>
                    <w:spacing w:line="240" w:lineRule="auto"/>
                    <w:jc w:val="center"/>
                    <w:rPr>
                      <w:rFonts w:hint="default" w:ascii="Times New Roman" w:hAnsi="Times New Roman" w:eastAsia="宋体" w:cs="Times New Roman"/>
                      <w:spacing w:val="0"/>
                      <w:sz w:val="21"/>
                      <w:szCs w:val="21"/>
                      <w:lang w:val="en-US" w:eastAsia="zh-CN" w:bidi="ar-SA"/>
                    </w:rPr>
                  </w:pPr>
                  <w:r>
                    <w:rPr>
                      <w:rFonts w:hint="default" w:ascii="Times New Roman" w:hAnsi="Times New Roman" w:eastAsia="宋体" w:cs="Times New Roman"/>
                      <w:spacing w:val="0"/>
                      <w:sz w:val="21"/>
                      <w:szCs w:val="21"/>
                      <w:lang w:val="en-US" w:eastAsia="zh-CN"/>
                    </w:rPr>
                    <w:t>四</w:t>
                  </w:r>
                  <w:r>
                    <w:rPr>
                      <w:rFonts w:hint="default" w:ascii="Times New Roman" w:hAnsi="Times New Roman" w:eastAsia="宋体" w:cs="Times New Roman"/>
                      <w:spacing w:val="0"/>
                      <w:sz w:val="21"/>
                      <w:szCs w:val="21"/>
                    </w:rPr>
                    <w:t>层</w:t>
                  </w:r>
                  <w:r>
                    <w:rPr>
                      <w:rFonts w:hint="default" w:ascii="Times New Roman" w:hAnsi="Times New Roman" w:eastAsia="宋体" w:cs="Times New Roman"/>
                      <w:spacing w:val="0"/>
                      <w:sz w:val="21"/>
                      <w:szCs w:val="21"/>
                      <w:lang w:val="en-US" w:eastAsia="zh-CN"/>
                    </w:rPr>
                    <w:t>手术部OR10</w:t>
                  </w:r>
                </w:p>
              </w:tc>
              <w:tc>
                <w:tcPr>
                  <w:tcW w:w="773" w:type="pct"/>
                  <w:shd w:val="clear" w:color="auto" w:fill="auto"/>
                  <w:vAlign w:val="center"/>
                </w:tcPr>
                <w:p w14:paraId="13447FBB">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rPr>
                    <w:t>影像检查和介入操作</w:t>
                  </w:r>
                </w:p>
              </w:tc>
              <w:tc>
                <w:tcPr>
                  <w:tcW w:w="404" w:type="pct"/>
                  <w:vMerge w:val="continue"/>
                  <w:vAlign w:val="center"/>
                </w:tcPr>
                <w:p w14:paraId="2354664D">
                  <w:pPr>
                    <w:spacing w:line="360" w:lineRule="exact"/>
                    <w:jc w:val="center"/>
                    <w:rPr>
                      <w:spacing w:val="-11"/>
                      <w:sz w:val="21"/>
                      <w:szCs w:val="21"/>
                    </w:rPr>
                  </w:pPr>
                </w:p>
              </w:tc>
            </w:tr>
            <w:tr w14:paraId="5AE217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657" w:type="pct"/>
                  <w:shd w:val="clear" w:color="auto" w:fill="auto"/>
                  <w:vAlign w:val="center"/>
                </w:tcPr>
                <w:p w14:paraId="249384EE">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DSA</w:t>
                  </w:r>
                </w:p>
              </w:tc>
              <w:tc>
                <w:tcPr>
                  <w:tcW w:w="388" w:type="pct"/>
                  <w:shd w:val="clear" w:color="auto" w:fill="auto"/>
                  <w:vAlign w:val="center"/>
                </w:tcPr>
                <w:p w14:paraId="5C39F838">
                  <w:pPr>
                    <w:spacing w:line="240" w:lineRule="auto"/>
                    <w:jc w:val="center"/>
                    <w:rPr>
                      <w:rFonts w:hint="eastAsia"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1</w:t>
                  </w:r>
                  <w:r>
                    <w:rPr>
                      <w:rFonts w:hint="default" w:ascii="Times New Roman" w:hAnsi="Times New Roman" w:eastAsia="宋体" w:cs="Times New Roman"/>
                      <w:bCs/>
                      <w:spacing w:val="0"/>
                      <w:sz w:val="21"/>
                      <w:szCs w:val="21"/>
                      <w:lang w:bidi="ar"/>
                    </w:rPr>
                    <w:t>台</w:t>
                  </w:r>
                </w:p>
              </w:tc>
              <w:tc>
                <w:tcPr>
                  <w:tcW w:w="401" w:type="pct"/>
                  <w:shd w:val="clear" w:color="auto" w:fill="auto"/>
                  <w:vAlign w:val="center"/>
                </w:tcPr>
                <w:p w14:paraId="7CD69329">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bidi="ar"/>
                    </w:rPr>
                    <w:t>未定</w:t>
                  </w:r>
                </w:p>
              </w:tc>
              <w:tc>
                <w:tcPr>
                  <w:tcW w:w="410" w:type="pct"/>
                  <w:shd w:val="clear" w:color="auto" w:fill="auto"/>
                  <w:vAlign w:val="center"/>
                </w:tcPr>
                <w:p w14:paraId="7A3AC847">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bidi="ar"/>
                    </w:rPr>
                    <w:t>Ⅱ类</w:t>
                  </w:r>
                </w:p>
              </w:tc>
              <w:tc>
                <w:tcPr>
                  <w:tcW w:w="1189" w:type="pct"/>
                  <w:shd w:val="clear" w:color="auto" w:fill="auto"/>
                  <w:vAlign w:val="center"/>
                </w:tcPr>
                <w:p w14:paraId="12F91313">
                  <w:pPr>
                    <w:spacing w:line="240" w:lineRule="auto"/>
                    <w:jc w:val="center"/>
                    <w:rPr>
                      <w:rFonts w:hint="default" w:ascii="Times New Roman" w:hAnsi="Times New Roman" w:eastAsia="宋体" w:cs="Times New Roman"/>
                      <w:bCs/>
                      <w:spacing w:val="0"/>
                      <w:sz w:val="21"/>
                      <w:szCs w:val="21"/>
                      <w:lang w:val="en-US" w:eastAsia="zh-CN" w:bidi="ar-SA"/>
                    </w:rPr>
                  </w:pPr>
                  <w:r>
                    <w:rPr>
                      <w:rFonts w:hint="default" w:ascii="Times New Roman" w:hAnsi="Times New Roman" w:eastAsia="宋体" w:cs="Times New Roman"/>
                      <w:bCs/>
                      <w:spacing w:val="0"/>
                      <w:sz w:val="21"/>
                      <w:szCs w:val="21"/>
                    </w:rPr>
                    <w:t>额定管电压1</w:t>
                  </w:r>
                  <w:r>
                    <w:rPr>
                      <w:rFonts w:hint="default" w:ascii="Times New Roman" w:hAnsi="Times New Roman" w:eastAsia="宋体" w:cs="Times New Roman"/>
                      <w:bCs/>
                      <w:spacing w:val="0"/>
                      <w:sz w:val="21"/>
                      <w:szCs w:val="21"/>
                      <w:lang w:val="en-US" w:eastAsia="zh-CN"/>
                    </w:rPr>
                    <w:t>25</w:t>
                  </w:r>
                  <w:r>
                    <w:rPr>
                      <w:rFonts w:hint="default" w:ascii="Times New Roman" w:hAnsi="Times New Roman" w:eastAsia="宋体" w:cs="Times New Roman"/>
                      <w:bCs/>
                      <w:spacing w:val="0"/>
                      <w:sz w:val="21"/>
                      <w:szCs w:val="21"/>
                    </w:rPr>
                    <w:t>kV、额定管电流</w:t>
                  </w:r>
                  <w:r>
                    <w:rPr>
                      <w:rFonts w:hint="default" w:ascii="Times New Roman" w:hAnsi="Times New Roman" w:eastAsia="宋体" w:cs="Times New Roman"/>
                      <w:bCs/>
                      <w:spacing w:val="0"/>
                      <w:sz w:val="21"/>
                      <w:szCs w:val="21"/>
                      <w:lang w:val="en-US" w:eastAsia="zh-CN"/>
                    </w:rPr>
                    <w:t>10</w:t>
                  </w:r>
                  <w:r>
                    <w:rPr>
                      <w:rFonts w:hint="default" w:ascii="Times New Roman" w:hAnsi="Times New Roman" w:eastAsia="宋体" w:cs="Times New Roman"/>
                      <w:bCs/>
                      <w:spacing w:val="0"/>
                      <w:sz w:val="21"/>
                      <w:szCs w:val="21"/>
                    </w:rPr>
                    <w:t>00mA</w:t>
                  </w:r>
                </w:p>
              </w:tc>
              <w:tc>
                <w:tcPr>
                  <w:tcW w:w="774" w:type="pct"/>
                  <w:shd w:val="clear" w:color="auto" w:fill="auto"/>
                  <w:vAlign w:val="center"/>
                </w:tcPr>
                <w:p w14:paraId="203F4349">
                  <w:pPr>
                    <w:spacing w:line="240" w:lineRule="auto"/>
                    <w:jc w:val="center"/>
                    <w:rPr>
                      <w:rFonts w:hint="default" w:ascii="Times New Roman" w:hAnsi="Times New Roman" w:eastAsia="宋体" w:cs="Times New Roman"/>
                      <w:spacing w:val="0"/>
                      <w:sz w:val="21"/>
                      <w:szCs w:val="21"/>
                      <w:lang w:val="en-US" w:eastAsia="zh-CN" w:bidi="ar-SA"/>
                    </w:rPr>
                  </w:pPr>
                  <w:r>
                    <w:rPr>
                      <w:rFonts w:hint="default" w:ascii="Times New Roman" w:hAnsi="Times New Roman" w:eastAsia="宋体" w:cs="Times New Roman"/>
                      <w:spacing w:val="0"/>
                      <w:sz w:val="21"/>
                      <w:szCs w:val="21"/>
                      <w:lang w:val="en-US" w:eastAsia="zh-CN"/>
                    </w:rPr>
                    <w:t>四</w:t>
                  </w:r>
                  <w:r>
                    <w:rPr>
                      <w:rFonts w:hint="default" w:ascii="Times New Roman" w:hAnsi="Times New Roman" w:eastAsia="宋体" w:cs="Times New Roman"/>
                      <w:spacing w:val="0"/>
                      <w:sz w:val="21"/>
                      <w:szCs w:val="21"/>
                    </w:rPr>
                    <w:t>层</w:t>
                  </w:r>
                  <w:r>
                    <w:rPr>
                      <w:rFonts w:hint="default" w:ascii="Times New Roman" w:hAnsi="Times New Roman" w:eastAsia="宋体" w:cs="Times New Roman"/>
                      <w:spacing w:val="0"/>
                      <w:sz w:val="21"/>
                      <w:szCs w:val="21"/>
                      <w:lang w:val="en-US" w:eastAsia="zh-CN"/>
                    </w:rPr>
                    <w:t>手术部OR11</w:t>
                  </w:r>
                </w:p>
              </w:tc>
              <w:tc>
                <w:tcPr>
                  <w:tcW w:w="773" w:type="pct"/>
                  <w:shd w:val="clear" w:color="auto" w:fill="auto"/>
                  <w:vAlign w:val="center"/>
                </w:tcPr>
                <w:p w14:paraId="21BD2C59">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rPr>
                    <w:t>影像检查和介入操作</w:t>
                  </w:r>
                </w:p>
              </w:tc>
              <w:tc>
                <w:tcPr>
                  <w:tcW w:w="404" w:type="pct"/>
                  <w:vMerge w:val="continue"/>
                  <w:vAlign w:val="center"/>
                </w:tcPr>
                <w:p w14:paraId="50E2E74F">
                  <w:pPr>
                    <w:spacing w:line="360" w:lineRule="exact"/>
                    <w:jc w:val="center"/>
                    <w:rPr>
                      <w:spacing w:val="-11"/>
                      <w:sz w:val="21"/>
                      <w:szCs w:val="21"/>
                    </w:rPr>
                  </w:pPr>
                </w:p>
              </w:tc>
            </w:tr>
            <w:tr w14:paraId="6B5FD2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57" w:type="pct"/>
                  <w:shd w:val="clear" w:color="auto" w:fill="auto"/>
                  <w:vAlign w:val="center"/>
                </w:tcPr>
                <w:p w14:paraId="637E3366">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ERCP</w:t>
                  </w:r>
                </w:p>
              </w:tc>
              <w:tc>
                <w:tcPr>
                  <w:tcW w:w="388" w:type="pct"/>
                  <w:shd w:val="clear" w:color="auto" w:fill="auto"/>
                  <w:vAlign w:val="center"/>
                </w:tcPr>
                <w:p w14:paraId="7EBEBB00">
                  <w:pPr>
                    <w:spacing w:line="240" w:lineRule="auto"/>
                    <w:jc w:val="center"/>
                    <w:rPr>
                      <w:rFonts w:hint="eastAsia"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1台</w:t>
                  </w:r>
                </w:p>
              </w:tc>
              <w:tc>
                <w:tcPr>
                  <w:tcW w:w="401" w:type="pct"/>
                  <w:shd w:val="clear" w:color="auto" w:fill="auto"/>
                  <w:vAlign w:val="center"/>
                </w:tcPr>
                <w:p w14:paraId="29F0F2B6">
                  <w:pPr>
                    <w:widowControl w:val="0"/>
                    <w:spacing w:line="240" w:lineRule="auto"/>
                    <w:jc w:val="center"/>
                    <w:rPr>
                      <w:rFonts w:hint="default" w:ascii="Times New Roman" w:hAnsi="Times New Roman" w:eastAsia="宋体" w:cs="Times New Roman"/>
                      <w:spacing w:val="0"/>
                      <w:kern w:val="2"/>
                      <w:sz w:val="21"/>
                      <w:szCs w:val="21"/>
                      <w:lang w:val="en-US" w:eastAsia="zh-CN" w:bidi="ar"/>
                    </w:rPr>
                  </w:pPr>
                  <w:r>
                    <w:rPr>
                      <w:rFonts w:hint="default" w:ascii="Times New Roman" w:hAnsi="Times New Roman" w:eastAsia="宋体" w:cs="Times New Roman"/>
                      <w:spacing w:val="0"/>
                      <w:kern w:val="2"/>
                      <w:sz w:val="21"/>
                      <w:szCs w:val="21"/>
                      <w:lang w:val="en-US" w:eastAsia="zh-CN" w:bidi="ar"/>
                    </w:rPr>
                    <w:t>未定</w:t>
                  </w:r>
                </w:p>
              </w:tc>
              <w:tc>
                <w:tcPr>
                  <w:tcW w:w="410" w:type="pct"/>
                  <w:shd w:val="clear" w:color="auto" w:fill="auto"/>
                  <w:vAlign w:val="center"/>
                </w:tcPr>
                <w:p w14:paraId="31889FF5">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bidi="ar"/>
                    </w:rPr>
                    <w:t>Ⅱ类</w:t>
                  </w:r>
                </w:p>
              </w:tc>
              <w:tc>
                <w:tcPr>
                  <w:tcW w:w="1189" w:type="pct"/>
                  <w:shd w:val="clear" w:color="auto" w:fill="auto"/>
                  <w:vAlign w:val="center"/>
                </w:tcPr>
                <w:p w14:paraId="4C5634E0">
                  <w:pPr>
                    <w:spacing w:line="240" w:lineRule="auto"/>
                    <w:jc w:val="center"/>
                    <w:rPr>
                      <w:rFonts w:hint="default" w:ascii="Times New Roman" w:hAnsi="Times New Roman" w:eastAsia="宋体" w:cs="Times New Roman"/>
                      <w:bCs/>
                      <w:spacing w:val="0"/>
                      <w:sz w:val="21"/>
                      <w:szCs w:val="21"/>
                      <w:lang w:val="en-US" w:eastAsia="zh-CN" w:bidi="ar-SA"/>
                    </w:rPr>
                  </w:pPr>
                  <w:r>
                    <w:rPr>
                      <w:rFonts w:hint="default" w:ascii="Times New Roman" w:hAnsi="Times New Roman" w:eastAsia="宋体" w:cs="Times New Roman"/>
                      <w:bCs/>
                      <w:spacing w:val="0"/>
                      <w:sz w:val="21"/>
                      <w:szCs w:val="21"/>
                    </w:rPr>
                    <w:t>额定管电压1</w:t>
                  </w:r>
                  <w:r>
                    <w:rPr>
                      <w:rFonts w:hint="default" w:ascii="Times New Roman" w:hAnsi="Times New Roman" w:eastAsia="宋体" w:cs="Times New Roman"/>
                      <w:bCs/>
                      <w:spacing w:val="0"/>
                      <w:sz w:val="21"/>
                      <w:szCs w:val="21"/>
                      <w:lang w:val="en-US" w:eastAsia="zh-CN"/>
                    </w:rPr>
                    <w:t>25</w:t>
                  </w:r>
                  <w:r>
                    <w:rPr>
                      <w:rFonts w:hint="default" w:ascii="Times New Roman" w:hAnsi="Times New Roman" w:eastAsia="宋体" w:cs="Times New Roman"/>
                      <w:bCs/>
                      <w:spacing w:val="0"/>
                      <w:sz w:val="21"/>
                      <w:szCs w:val="21"/>
                    </w:rPr>
                    <w:t>kV、额定管电流</w:t>
                  </w:r>
                  <w:r>
                    <w:rPr>
                      <w:rFonts w:hint="default" w:ascii="Times New Roman" w:hAnsi="Times New Roman" w:eastAsia="宋体" w:cs="Times New Roman"/>
                      <w:bCs/>
                      <w:spacing w:val="0"/>
                      <w:sz w:val="21"/>
                      <w:szCs w:val="21"/>
                      <w:lang w:val="en-US" w:eastAsia="zh-CN"/>
                    </w:rPr>
                    <w:t>10</w:t>
                  </w:r>
                  <w:r>
                    <w:rPr>
                      <w:rFonts w:hint="default" w:ascii="Times New Roman" w:hAnsi="Times New Roman" w:eastAsia="宋体" w:cs="Times New Roman"/>
                      <w:bCs/>
                      <w:spacing w:val="0"/>
                      <w:sz w:val="21"/>
                      <w:szCs w:val="21"/>
                    </w:rPr>
                    <w:t>00mA</w:t>
                  </w:r>
                </w:p>
              </w:tc>
              <w:tc>
                <w:tcPr>
                  <w:tcW w:w="774" w:type="pct"/>
                  <w:shd w:val="clear" w:color="auto" w:fill="auto"/>
                  <w:vAlign w:val="center"/>
                </w:tcPr>
                <w:p w14:paraId="18B1C7E9">
                  <w:pPr>
                    <w:spacing w:line="240" w:lineRule="auto"/>
                    <w:jc w:val="center"/>
                    <w:rPr>
                      <w:rFonts w:hint="default" w:ascii="Times New Roman" w:hAnsi="Times New Roman" w:eastAsia="宋体" w:cs="Times New Roman"/>
                      <w:spacing w:val="0"/>
                      <w:sz w:val="21"/>
                      <w:szCs w:val="21"/>
                      <w:lang w:val="en-US" w:eastAsia="zh-CN" w:bidi="ar-SA"/>
                    </w:rPr>
                  </w:pPr>
                  <w:r>
                    <w:rPr>
                      <w:rFonts w:hint="default" w:ascii="Times New Roman" w:hAnsi="Times New Roman" w:eastAsia="宋体" w:cs="Times New Roman"/>
                      <w:spacing w:val="0"/>
                      <w:sz w:val="21"/>
                      <w:szCs w:val="21"/>
                      <w:lang w:val="en-US" w:eastAsia="zh-CN"/>
                    </w:rPr>
                    <w:t>四层内镜中心ERCP室</w:t>
                  </w:r>
                </w:p>
              </w:tc>
              <w:tc>
                <w:tcPr>
                  <w:tcW w:w="773" w:type="pct"/>
                  <w:shd w:val="clear" w:color="auto" w:fill="auto"/>
                  <w:vAlign w:val="center"/>
                </w:tcPr>
                <w:p w14:paraId="2A4660E0">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rPr>
                    <w:t>影像检查和介入操作</w:t>
                  </w:r>
                </w:p>
              </w:tc>
              <w:tc>
                <w:tcPr>
                  <w:tcW w:w="404" w:type="pct"/>
                  <w:vMerge w:val="continue"/>
                  <w:vAlign w:val="center"/>
                </w:tcPr>
                <w:p w14:paraId="7255702C">
                  <w:pPr>
                    <w:spacing w:line="360" w:lineRule="exact"/>
                    <w:jc w:val="center"/>
                    <w:rPr>
                      <w:spacing w:val="-11"/>
                      <w:sz w:val="21"/>
                      <w:szCs w:val="21"/>
                    </w:rPr>
                  </w:pPr>
                </w:p>
              </w:tc>
            </w:tr>
          </w:tbl>
          <w:p w14:paraId="4348F452">
            <w:pPr>
              <w:ind w:firstLine="482"/>
              <w:rPr>
                <w:b/>
              </w:rPr>
            </w:pPr>
            <w:r>
              <w:rPr>
                <w:rFonts w:hint="eastAsia"/>
                <w:b/>
                <w:lang w:val="en-US" w:eastAsia="zh-CN"/>
              </w:rPr>
              <w:t>4、</w:t>
            </w:r>
            <w:r>
              <w:rPr>
                <w:b/>
              </w:rPr>
              <w:t>工作场所分级</w:t>
            </w:r>
          </w:p>
          <w:p w14:paraId="60D1CC1F">
            <w:pPr>
              <w:ind w:firstLine="480"/>
              <w:jc w:val="left"/>
              <w:rPr>
                <w:bCs/>
              </w:rPr>
            </w:pPr>
            <w:r>
              <w:rPr>
                <w:bCs/>
              </w:rPr>
              <w:fldChar w:fldCharType="begin"/>
            </w:r>
            <w:r>
              <w:rPr>
                <w:bCs/>
              </w:rPr>
              <w:instrText xml:space="preserve"> = 1 \* GB3 </w:instrText>
            </w:r>
            <w:r>
              <w:rPr>
                <w:bCs/>
              </w:rPr>
              <w:fldChar w:fldCharType="separate"/>
            </w:r>
            <w:r>
              <w:rPr>
                <w:bCs/>
              </w:rPr>
              <w:t>①</w:t>
            </w:r>
            <w:r>
              <w:rPr>
                <w:bCs/>
              </w:rPr>
              <w:fldChar w:fldCharType="end"/>
            </w:r>
            <w:r>
              <w:rPr>
                <w:bCs/>
              </w:rPr>
              <w:t>场所划分要求</w:t>
            </w:r>
          </w:p>
          <w:p w14:paraId="6B90B566">
            <w:pPr>
              <w:ind w:firstLine="480"/>
              <w:rPr>
                <w:bCs/>
              </w:rPr>
            </w:pPr>
            <w:r>
              <w:rPr>
                <w:bCs/>
              </w:rPr>
              <w:t>根据原环境保护部办公厅文件《关于明确核技术利用辐射安全监管有关事项的通知》（环办辐射函[2016]430号），对于独立的非密封放射性物质工作场所需满足：</w:t>
            </w:r>
            <w:r>
              <w:rPr>
                <w:bCs/>
              </w:rPr>
              <w:fldChar w:fldCharType="begin"/>
            </w:r>
            <w:r>
              <w:rPr>
                <w:bCs/>
              </w:rPr>
              <w:instrText xml:space="preserve"> = 1 \* GB3 </w:instrText>
            </w:r>
            <w:r>
              <w:rPr>
                <w:bCs/>
              </w:rPr>
              <w:fldChar w:fldCharType="separate"/>
            </w:r>
            <w:r>
              <w:rPr>
                <w:bCs/>
              </w:rPr>
              <w:t>①</w:t>
            </w:r>
            <w:r>
              <w:rPr>
                <w:bCs/>
              </w:rPr>
              <w:fldChar w:fldCharType="end"/>
            </w:r>
            <w:r>
              <w:rPr>
                <w:bCs/>
              </w:rPr>
              <w:t>有相对独立、明确的监督区和控制区划分；</w:t>
            </w:r>
            <w:r>
              <w:rPr>
                <w:bCs/>
              </w:rPr>
              <w:fldChar w:fldCharType="begin"/>
            </w:r>
            <w:r>
              <w:rPr>
                <w:bCs/>
              </w:rPr>
              <w:instrText xml:space="preserve"> = 2 \* GB3 </w:instrText>
            </w:r>
            <w:r>
              <w:rPr>
                <w:bCs/>
              </w:rPr>
              <w:fldChar w:fldCharType="separate"/>
            </w:r>
            <w:r>
              <w:rPr>
                <w:bCs/>
              </w:rPr>
              <w:t>②</w:t>
            </w:r>
            <w:r>
              <w:rPr>
                <w:bCs/>
              </w:rPr>
              <w:fldChar w:fldCharType="end"/>
            </w:r>
            <w:r>
              <w:rPr>
                <w:bCs/>
              </w:rPr>
              <w:t>工艺流程连续完整；</w:t>
            </w:r>
            <w:r>
              <w:rPr>
                <w:bCs/>
              </w:rPr>
              <w:fldChar w:fldCharType="begin"/>
            </w:r>
            <w:r>
              <w:rPr>
                <w:bCs/>
              </w:rPr>
              <w:instrText xml:space="preserve"> = 3 \* GB3 </w:instrText>
            </w:r>
            <w:r>
              <w:rPr>
                <w:bCs/>
              </w:rPr>
              <w:fldChar w:fldCharType="separate"/>
            </w:r>
            <w:r>
              <w:rPr>
                <w:bCs/>
              </w:rPr>
              <w:t>③</w:t>
            </w:r>
            <w:r>
              <w:rPr>
                <w:bCs/>
              </w:rPr>
              <w:fldChar w:fldCharType="end"/>
            </w:r>
            <w:r>
              <w:rPr>
                <w:bCs/>
              </w:rPr>
              <w:t>有相对独立的辐射防护措施。依据该划分条件，对于本项目辐射工作场所分区，具体分析情况见表1-</w:t>
            </w:r>
            <w:r>
              <w:rPr>
                <w:rFonts w:hint="eastAsia"/>
                <w:bCs/>
                <w:lang w:val="en-US" w:eastAsia="zh-CN"/>
              </w:rPr>
              <w:t>4</w:t>
            </w:r>
            <w:r>
              <w:rPr>
                <w:bCs/>
              </w:rPr>
              <w:t>。</w:t>
            </w:r>
          </w:p>
          <w:p w14:paraId="298BF8BA">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4</w:t>
            </w:r>
            <w:r>
              <w:rPr>
                <w:rFonts w:eastAsia="黑体"/>
                <w:bCs/>
                <w:sz w:val="21"/>
                <w:szCs w:val="21"/>
              </w:rPr>
              <w:t xml:space="preserve">  </w:t>
            </w:r>
            <w:r>
              <w:rPr>
                <w:rFonts w:hint="eastAsia" w:eastAsia="黑体"/>
                <w:bCs/>
                <w:sz w:val="21"/>
                <w:szCs w:val="21"/>
                <w:lang w:eastAsia="zh-CN"/>
              </w:rPr>
              <w:t>门诊医技楼</w:t>
            </w:r>
            <w:r>
              <w:rPr>
                <w:rFonts w:eastAsia="黑体"/>
                <w:bCs/>
                <w:sz w:val="21"/>
                <w:szCs w:val="21"/>
              </w:rPr>
              <w:t>非密封放射性物质工作场所分区划分</w:t>
            </w:r>
          </w:p>
          <w:tbl>
            <w:tblPr>
              <w:tblStyle w:val="5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7"/>
              <w:gridCol w:w="7098"/>
            </w:tblGrid>
            <w:tr w14:paraId="04D81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pct"/>
                  <w:tcBorders>
                    <w:left w:val="nil"/>
                  </w:tcBorders>
                  <w:vAlign w:val="center"/>
                </w:tcPr>
                <w:p w14:paraId="79D1B5FB">
                  <w:pPr>
                    <w:spacing w:line="360" w:lineRule="exact"/>
                    <w:jc w:val="center"/>
                    <w:rPr>
                      <w:bCs/>
                      <w:sz w:val="21"/>
                      <w:szCs w:val="21"/>
                    </w:rPr>
                  </w:pPr>
                  <w:r>
                    <w:rPr>
                      <w:bCs/>
                      <w:sz w:val="21"/>
                      <w:szCs w:val="21"/>
                    </w:rPr>
                    <w:t>划分条件</w:t>
                  </w:r>
                </w:p>
              </w:tc>
              <w:tc>
                <w:tcPr>
                  <w:tcW w:w="4177" w:type="pct"/>
                  <w:tcBorders>
                    <w:right w:val="nil"/>
                  </w:tcBorders>
                  <w:vAlign w:val="center"/>
                </w:tcPr>
                <w:p w14:paraId="7D3F6A25">
                  <w:pPr>
                    <w:spacing w:line="360" w:lineRule="exact"/>
                    <w:jc w:val="center"/>
                    <w:rPr>
                      <w:bCs/>
                      <w:sz w:val="21"/>
                      <w:szCs w:val="21"/>
                    </w:rPr>
                  </w:pPr>
                  <w:r>
                    <w:rPr>
                      <w:bCs/>
                      <w:sz w:val="21"/>
                      <w:szCs w:val="21"/>
                    </w:rPr>
                    <w:t>本项目设计情况</w:t>
                  </w:r>
                </w:p>
              </w:tc>
            </w:tr>
            <w:tr w14:paraId="24D4B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pct"/>
                  <w:tcBorders>
                    <w:left w:val="nil"/>
                  </w:tcBorders>
                  <w:vAlign w:val="center"/>
                </w:tcPr>
                <w:p w14:paraId="7150B083">
                  <w:pPr>
                    <w:spacing w:line="360" w:lineRule="exact"/>
                    <w:jc w:val="center"/>
                    <w:rPr>
                      <w:bCs/>
                      <w:sz w:val="21"/>
                      <w:szCs w:val="21"/>
                    </w:rPr>
                  </w:pPr>
                  <w:r>
                    <w:rPr>
                      <w:bCs/>
                      <w:sz w:val="21"/>
                      <w:szCs w:val="21"/>
                    </w:rPr>
                    <w:t>有相对独立、明确的监督区和控制区划分</w:t>
                  </w:r>
                </w:p>
              </w:tc>
              <w:tc>
                <w:tcPr>
                  <w:tcW w:w="4177" w:type="pct"/>
                  <w:tcBorders>
                    <w:right w:val="nil"/>
                  </w:tcBorders>
                  <w:vAlign w:val="center"/>
                </w:tcPr>
                <w:p w14:paraId="3F907B3D">
                  <w:pPr>
                    <w:spacing w:line="360" w:lineRule="exact"/>
                    <w:rPr>
                      <w:bCs/>
                      <w:sz w:val="21"/>
                      <w:szCs w:val="21"/>
                    </w:rPr>
                  </w:pPr>
                  <w:r>
                    <w:rPr>
                      <w:rFonts w:hint="eastAsia"/>
                      <w:bCs/>
                      <w:sz w:val="21"/>
                      <w:szCs w:val="21"/>
                      <w:lang w:eastAsia="zh-CN"/>
                    </w:rPr>
                    <w:t>门诊医技楼</w:t>
                  </w:r>
                  <w:r>
                    <w:rPr>
                      <w:bCs/>
                      <w:sz w:val="21"/>
                      <w:szCs w:val="21"/>
                    </w:rPr>
                    <w:t>负一层</w:t>
                  </w:r>
                  <w:r>
                    <w:rPr>
                      <w:rFonts w:hint="eastAsia"/>
                      <w:bCs/>
                      <w:sz w:val="21"/>
                      <w:szCs w:val="21"/>
                      <w:lang w:val="en-US" w:eastAsia="zh-CN"/>
                    </w:rPr>
                    <w:t>核医学科</w:t>
                  </w:r>
                  <w:r>
                    <w:rPr>
                      <w:bCs/>
                      <w:sz w:val="21"/>
                      <w:szCs w:val="21"/>
                    </w:rPr>
                    <w:t>具有实体物理隔离，不存在共用控制区和监督区场所，且均具备相对独立的人流、物流路径，每层楼相对独立。</w:t>
                  </w:r>
                </w:p>
              </w:tc>
            </w:tr>
            <w:tr w14:paraId="0DCB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pct"/>
                  <w:tcBorders>
                    <w:left w:val="nil"/>
                  </w:tcBorders>
                  <w:vAlign w:val="center"/>
                </w:tcPr>
                <w:p w14:paraId="1877A589">
                  <w:pPr>
                    <w:spacing w:line="360" w:lineRule="exact"/>
                    <w:jc w:val="center"/>
                    <w:rPr>
                      <w:bCs/>
                      <w:sz w:val="21"/>
                      <w:szCs w:val="21"/>
                    </w:rPr>
                  </w:pPr>
                  <w:r>
                    <w:rPr>
                      <w:bCs/>
                      <w:sz w:val="21"/>
                      <w:szCs w:val="21"/>
                    </w:rPr>
                    <w:t>工艺流程连续完整</w:t>
                  </w:r>
                </w:p>
              </w:tc>
              <w:tc>
                <w:tcPr>
                  <w:tcW w:w="4177" w:type="pct"/>
                  <w:tcBorders>
                    <w:right w:val="nil"/>
                  </w:tcBorders>
                  <w:vAlign w:val="center"/>
                </w:tcPr>
                <w:p w14:paraId="41164113">
                  <w:pPr>
                    <w:spacing w:line="360" w:lineRule="exact"/>
                    <w:rPr>
                      <w:bCs/>
                      <w:sz w:val="21"/>
                      <w:szCs w:val="21"/>
                    </w:rPr>
                  </w:pPr>
                  <w:r>
                    <w:rPr>
                      <w:bCs/>
                      <w:sz w:val="21"/>
                      <w:szCs w:val="21"/>
                    </w:rPr>
                    <w:t>负</w:t>
                  </w:r>
                  <w:r>
                    <w:rPr>
                      <w:rFonts w:hint="eastAsia"/>
                      <w:bCs/>
                      <w:sz w:val="21"/>
                      <w:szCs w:val="21"/>
                      <w:lang w:val="en-US" w:eastAsia="zh-CN"/>
                    </w:rPr>
                    <w:t>一</w:t>
                  </w:r>
                  <w:r>
                    <w:rPr>
                      <w:bCs/>
                      <w:sz w:val="21"/>
                      <w:szCs w:val="21"/>
                    </w:rPr>
                    <w:t>层</w:t>
                  </w:r>
                  <w:r>
                    <w:rPr>
                      <w:rFonts w:hint="eastAsia"/>
                      <w:bCs/>
                      <w:sz w:val="21"/>
                      <w:szCs w:val="21"/>
                      <w:lang w:val="en-US" w:eastAsia="zh-CN"/>
                    </w:rPr>
                    <w:t>核医学科</w:t>
                  </w:r>
                  <w:r>
                    <w:rPr>
                      <w:bCs/>
                      <w:sz w:val="21"/>
                      <w:szCs w:val="21"/>
                    </w:rPr>
                    <w:t>涉及放射性药物诊断/治疗流程相对连续完整。</w:t>
                  </w:r>
                </w:p>
              </w:tc>
            </w:tr>
            <w:tr w14:paraId="7145A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pct"/>
                  <w:tcBorders>
                    <w:left w:val="nil"/>
                  </w:tcBorders>
                  <w:vAlign w:val="center"/>
                </w:tcPr>
                <w:p w14:paraId="4D5FCAF1">
                  <w:pPr>
                    <w:spacing w:line="360" w:lineRule="exact"/>
                    <w:jc w:val="center"/>
                    <w:rPr>
                      <w:bCs/>
                      <w:sz w:val="21"/>
                      <w:szCs w:val="21"/>
                    </w:rPr>
                  </w:pPr>
                  <w:r>
                    <w:rPr>
                      <w:bCs/>
                      <w:sz w:val="21"/>
                      <w:szCs w:val="21"/>
                    </w:rPr>
                    <w:t>有相对独立的辐射防护措施</w:t>
                  </w:r>
                </w:p>
              </w:tc>
              <w:tc>
                <w:tcPr>
                  <w:tcW w:w="4177" w:type="pct"/>
                  <w:tcBorders>
                    <w:right w:val="nil"/>
                  </w:tcBorders>
                  <w:vAlign w:val="center"/>
                </w:tcPr>
                <w:p w14:paraId="6EF96932">
                  <w:pPr>
                    <w:spacing w:line="360" w:lineRule="exact"/>
                    <w:rPr>
                      <w:bCs/>
                      <w:sz w:val="21"/>
                      <w:szCs w:val="21"/>
                    </w:rPr>
                  </w:pPr>
                  <w:r>
                    <w:rPr>
                      <w:bCs/>
                      <w:sz w:val="21"/>
                      <w:szCs w:val="21"/>
                    </w:rPr>
                    <w:t>负一层配置有相对独立的辐射屏蔽设施（如工作箱、手套箱、通风橱和生物安全柜等），同时各楼层之间设置有相对独立的通排风及净化设施，排风系统不存在共用情况，且各楼层均配套设计有相对独立的</w:t>
                  </w:r>
                  <w:r>
                    <w:rPr>
                      <w:rFonts w:hint="eastAsia"/>
                      <w:bCs/>
                      <w:sz w:val="21"/>
                      <w:szCs w:val="21"/>
                      <w:lang w:eastAsia="zh-CN"/>
                    </w:rPr>
                    <w:t>放废暂存间</w:t>
                  </w:r>
                  <w:r>
                    <w:rPr>
                      <w:bCs/>
                      <w:sz w:val="21"/>
                      <w:szCs w:val="21"/>
                    </w:rPr>
                    <w:t>以及相对独立的放射性废水下水管道，不存在辐射防护设施共用情况。</w:t>
                  </w:r>
                </w:p>
              </w:tc>
            </w:tr>
          </w:tbl>
          <w:p w14:paraId="183FD766">
            <w:pPr>
              <w:ind w:firstLine="480"/>
            </w:pPr>
            <w:r>
              <w:t>根据上表分析，</w:t>
            </w:r>
            <w:r>
              <w:rPr>
                <w:rFonts w:hint="eastAsia"/>
                <w:lang w:eastAsia="zh-CN"/>
              </w:rPr>
              <w:t>门诊医技楼</w:t>
            </w:r>
            <w:r>
              <w:t>负一层</w:t>
            </w:r>
            <w:r>
              <w:rPr>
                <w:rFonts w:hint="eastAsia"/>
                <w:lang w:val="en-US" w:eastAsia="zh-CN"/>
              </w:rPr>
              <w:t>核医学科具</w:t>
            </w:r>
            <w:r>
              <w:t>有相对独立、明确的两区划分，病人诊断或治疗工艺均完整连续，具有相对独立的辐射防护措施（实体屏蔽、放射性废气收集处理、放射性废水排放以及放射性固废收集处理等），因此本次将</w:t>
            </w:r>
            <w:r>
              <w:rPr>
                <w:rFonts w:hint="eastAsia"/>
                <w:lang w:eastAsia="zh-CN"/>
              </w:rPr>
              <w:t>门诊医技楼</w:t>
            </w:r>
            <w:r>
              <w:t>负一层</w:t>
            </w:r>
            <w:r>
              <w:rPr>
                <w:rFonts w:hint="eastAsia"/>
                <w:lang w:val="en-US" w:eastAsia="zh-CN"/>
              </w:rPr>
              <w:t>核医学科</w:t>
            </w:r>
            <w:r>
              <w:t>划分为</w:t>
            </w:r>
            <w:r>
              <w:rPr>
                <w:rFonts w:hint="eastAsia"/>
                <w:lang w:val="en-US" w:eastAsia="zh-CN"/>
              </w:rPr>
              <w:t>1</w:t>
            </w:r>
            <w:r>
              <w:t>个独立的非密封放射性物质工作场所进行管理。</w:t>
            </w:r>
          </w:p>
          <w:p w14:paraId="64371548">
            <w:pPr>
              <w:ind w:firstLine="480"/>
              <w:rPr>
                <w:bCs/>
              </w:rPr>
            </w:pPr>
            <w:r>
              <w:rPr>
                <w:bCs/>
              </w:rPr>
              <w:fldChar w:fldCharType="begin"/>
            </w:r>
            <w:r>
              <w:rPr>
                <w:bCs/>
              </w:rPr>
              <w:instrText xml:space="preserve"> = 2 \* GB3 </w:instrText>
            </w:r>
            <w:r>
              <w:rPr>
                <w:bCs/>
              </w:rPr>
              <w:fldChar w:fldCharType="separate"/>
            </w:r>
            <w:r>
              <w:rPr>
                <w:bCs/>
              </w:rPr>
              <w:t>②</w:t>
            </w:r>
            <w:r>
              <w:rPr>
                <w:bCs/>
              </w:rPr>
              <w:fldChar w:fldCharType="end"/>
            </w:r>
            <w:r>
              <w:rPr>
                <w:bCs/>
              </w:rPr>
              <w:t>场所等级核算</w:t>
            </w:r>
          </w:p>
          <w:p w14:paraId="303851F6">
            <w:pPr>
              <w:ind w:firstLine="480"/>
            </w:pPr>
            <w:r>
              <w:t>依据《电离辐射防护与辐射源安全基本标准》（GB18871-2002）附录C非密封放射性物质工作场所的分级判据如表1-</w:t>
            </w:r>
            <w:r>
              <w:rPr>
                <w:rFonts w:hint="eastAsia"/>
                <w:lang w:val="en-US" w:eastAsia="zh-CN"/>
              </w:rPr>
              <w:t>5</w:t>
            </w:r>
            <w:r>
              <w:t>。</w:t>
            </w:r>
          </w:p>
          <w:p w14:paraId="7BAD05EF">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5</w:t>
            </w:r>
            <w:r>
              <w:rPr>
                <w:rFonts w:eastAsia="黑体"/>
                <w:bCs/>
                <w:sz w:val="21"/>
                <w:szCs w:val="21"/>
              </w:rPr>
              <w:t xml:space="preserve">  非密封放射性物质工作场所的分级</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23"/>
              <w:gridCol w:w="4682"/>
            </w:tblGrid>
            <w:tr w14:paraId="241E86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247" w:type="pct"/>
                </w:tcPr>
                <w:p w14:paraId="37C98B2D">
                  <w:pPr>
                    <w:spacing w:line="360" w:lineRule="exact"/>
                    <w:jc w:val="center"/>
                    <w:rPr>
                      <w:bCs/>
                      <w:caps/>
                      <w:sz w:val="21"/>
                      <w:szCs w:val="21"/>
                    </w:rPr>
                  </w:pPr>
                  <w:r>
                    <w:rPr>
                      <w:bCs/>
                      <w:caps/>
                      <w:sz w:val="21"/>
                      <w:szCs w:val="21"/>
                    </w:rPr>
                    <w:t>级别</w:t>
                  </w:r>
                </w:p>
              </w:tc>
              <w:tc>
                <w:tcPr>
                  <w:tcW w:w="2752" w:type="pct"/>
                </w:tcPr>
                <w:p w14:paraId="49ECFFCF">
                  <w:pPr>
                    <w:spacing w:line="360" w:lineRule="exact"/>
                    <w:jc w:val="center"/>
                    <w:rPr>
                      <w:bCs/>
                      <w:caps/>
                      <w:sz w:val="21"/>
                      <w:szCs w:val="21"/>
                    </w:rPr>
                  </w:pPr>
                  <w:r>
                    <w:rPr>
                      <w:bCs/>
                      <w:caps/>
                      <w:sz w:val="21"/>
                      <w:szCs w:val="21"/>
                    </w:rPr>
                    <w:t>日等效最大操作量/</w:t>
                  </w:r>
                  <w:r>
                    <w:rPr>
                      <w:bCs/>
                      <w:sz w:val="21"/>
                      <w:szCs w:val="21"/>
                    </w:rPr>
                    <w:t>Bq</w:t>
                  </w:r>
                </w:p>
              </w:tc>
            </w:tr>
            <w:tr w14:paraId="493211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7" w:type="pct"/>
                </w:tcPr>
                <w:p w14:paraId="421923AD">
                  <w:pPr>
                    <w:spacing w:line="360" w:lineRule="exact"/>
                    <w:jc w:val="center"/>
                    <w:rPr>
                      <w:bCs/>
                      <w:sz w:val="21"/>
                      <w:szCs w:val="21"/>
                    </w:rPr>
                  </w:pPr>
                  <w:r>
                    <w:rPr>
                      <w:bCs/>
                      <w:sz w:val="21"/>
                      <w:szCs w:val="21"/>
                    </w:rPr>
                    <w:t>甲</w:t>
                  </w:r>
                </w:p>
              </w:tc>
              <w:tc>
                <w:tcPr>
                  <w:tcW w:w="2752" w:type="pct"/>
                </w:tcPr>
                <w:p w14:paraId="597A7046">
                  <w:pPr>
                    <w:spacing w:line="360" w:lineRule="exact"/>
                    <w:jc w:val="center"/>
                    <w:rPr>
                      <w:bCs/>
                      <w:sz w:val="21"/>
                      <w:szCs w:val="21"/>
                    </w:rPr>
                  </w:pPr>
                  <w:r>
                    <w:rPr>
                      <w:bCs/>
                      <w:sz w:val="21"/>
                      <w:szCs w:val="21"/>
                    </w:rPr>
                    <w:t>＞4×10</w:t>
                  </w:r>
                  <w:r>
                    <w:rPr>
                      <w:bCs/>
                      <w:sz w:val="21"/>
                      <w:szCs w:val="21"/>
                      <w:vertAlign w:val="superscript"/>
                    </w:rPr>
                    <w:t>9</w:t>
                  </w:r>
                </w:p>
              </w:tc>
            </w:tr>
            <w:tr w14:paraId="617024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7" w:type="pct"/>
                </w:tcPr>
                <w:p w14:paraId="20E021A3">
                  <w:pPr>
                    <w:spacing w:line="360" w:lineRule="exact"/>
                    <w:jc w:val="center"/>
                    <w:rPr>
                      <w:bCs/>
                      <w:sz w:val="21"/>
                      <w:szCs w:val="21"/>
                    </w:rPr>
                  </w:pPr>
                  <w:r>
                    <w:rPr>
                      <w:bCs/>
                      <w:sz w:val="21"/>
                      <w:szCs w:val="21"/>
                    </w:rPr>
                    <w:t>乙</w:t>
                  </w:r>
                </w:p>
              </w:tc>
              <w:tc>
                <w:tcPr>
                  <w:tcW w:w="2752" w:type="pct"/>
                </w:tcPr>
                <w:p w14:paraId="51771BBE">
                  <w:pPr>
                    <w:spacing w:line="360" w:lineRule="exact"/>
                    <w:jc w:val="center"/>
                    <w:rPr>
                      <w:bCs/>
                      <w:sz w:val="21"/>
                      <w:szCs w:val="21"/>
                    </w:rPr>
                  </w:pPr>
                  <w:r>
                    <w:rPr>
                      <w:bCs/>
                      <w:sz w:val="21"/>
                      <w:szCs w:val="21"/>
                    </w:rPr>
                    <w:t>2×10</w:t>
                  </w:r>
                  <w:r>
                    <w:rPr>
                      <w:bCs/>
                      <w:sz w:val="21"/>
                      <w:szCs w:val="21"/>
                      <w:vertAlign w:val="superscript"/>
                    </w:rPr>
                    <w:t>7</w:t>
                  </w:r>
                  <w:r>
                    <w:rPr>
                      <w:bCs/>
                      <w:sz w:val="21"/>
                      <w:szCs w:val="21"/>
                    </w:rPr>
                    <w:t>~4×10</w:t>
                  </w:r>
                  <w:r>
                    <w:rPr>
                      <w:bCs/>
                      <w:sz w:val="21"/>
                      <w:szCs w:val="21"/>
                      <w:vertAlign w:val="superscript"/>
                    </w:rPr>
                    <w:t>9</w:t>
                  </w:r>
                </w:p>
              </w:tc>
            </w:tr>
            <w:tr w14:paraId="09CFE3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7" w:type="pct"/>
                </w:tcPr>
                <w:p w14:paraId="262EC8B1">
                  <w:pPr>
                    <w:spacing w:line="360" w:lineRule="exact"/>
                    <w:jc w:val="center"/>
                    <w:rPr>
                      <w:bCs/>
                      <w:sz w:val="21"/>
                      <w:szCs w:val="21"/>
                    </w:rPr>
                  </w:pPr>
                  <w:r>
                    <w:rPr>
                      <w:bCs/>
                      <w:sz w:val="21"/>
                      <w:szCs w:val="21"/>
                    </w:rPr>
                    <w:t>丙</w:t>
                  </w:r>
                </w:p>
              </w:tc>
              <w:tc>
                <w:tcPr>
                  <w:tcW w:w="2752" w:type="pct"/>
                </w:tcPr>
                <w:p w14:paraId="6BD5F2C8">
                  <w:pPr>
                    <w:spacing w:line="360" w:lineRule="exact"/>
                    <w:jc w:val="center"/>
                    <w:rPr>
                      <w:bCs/>
                      <w:sz w:val="21"/>
                      <w:szCs w:val="21"/>
                    </w:rPr>
                  </w:pPr>
                  <w:r>
                    <w:rPr>
                      <w:bCs/>
                      <w:sz w:val="21"/>
                      <w:szCs w:val="21"/>
                    </w:rPr>
                    <w:t>豁免活度值以上~2×10</w:t>
                  </w:r>
                  <w:r>
                    <w:rPr>
                      <w:bCs/>
                      <w:sz w:val="21"/>
                      <w:szCs w:val="21"/>
                      <w:vertAlign w:val="superscript"/>
                    </w:rPr>
                    <w:t>7</w:t>
                  </w:r>
                </w:p>
              </w:tc>
            </w:tr>
          </w:tbl>
          <w:p w14:paraId="075BA261">
            <w:pPr>
              <w:ind w:firstLine="480"/>
            </w:pPr>
            <w:r>
              <w:t>根据医院提供的核素日最大操作量及《电离辐射防护与辐射源安全基本标准》（GB18871-2002）附录C确定的核素毒性因子、操作方式因子等（见表1-</w:t>
            </w:r>
            <w:r>
              <w:rPr>
                <w:rFonts w:hint="eastAsia"/>
                <w:lang w:val="en-US" w:eastAsia="zh-CN"/>
              </w:rPr>
              <w:t>6</w:t>
            </w:r>
            <w:r>
              <w:t>、表1-</w:t>
            </w:r>
            <w:r>
              <w:rPr>
                <w:rFonts w:hint="eastAsia"/>
                <w:lang w:val="en-US" w:eastAsia="zh-CN"/>
              </w:rPr>
              <w:t>7</w:t>
            </w:r>
            <w:r>
              <w:t>），并结合《核医学辐射防护与安全要求》（HJ1188-2021）附录A，根据下式可以计算日等效最大操作量。</w:t>
            </w:r>
          </w:p>
          <w:p w14:paraId="61711A62">
            <w:pPr>
              <w:ind w:firstLine="480"/>
              <w:jc w:val="right"/>
              <w:rPr>
                <w:rFonts w:hint="eastAsia" w:eastAsia="宋体"/>
                <w:spacing w:val="20"/>
                <w:lang w:eastAsia="zh-CN"/>
              </w:rPr>
            </w:pPr>
            <w:r>
              <w:rPr>
                <w:bCs/>
                <w:position w:val="-26"/>
                <w:szCs w:val="21"/>
              </w:rPr>
              <w:drawing>
                <wp:inline distT="0" distB="0" distL="0" distR="0">
                  <wp:extent cx="2537460" cy="413385"/>
                  <wp:effectExtent l="0" t="0" r="0"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2620480" cy="427320"/>
                          </a:xfrm>
                          <a:prstGeom prst="rect">
                            <a:avLst/>
                          </a:prstGeom>
                          <a:noFill/>
                          <a:ln>
                            <a:noFill/>
                          </a:ln>
                          <a:effectLst/>
                        </pic:spPr>
                      </pic:pic>
                    </a:graphicData>
                  </a:graphic>
                </wp:inline>
              </w:drawing>
            </w:r>
            <w:r>
              <w:t>……………………式1-</w:t>
            </w:r>
            <w:r>
              <w:rPr>
                <w:rFonts w:hint="eastAsia"/>
                <w:lang w:val="en-US" w:eastAsia="zh-CN"/>
              </w:rPr>
              <w:t>1</w:t>
            </w:r>
          </w:p>
          <w:p w14:paraId="4B0E15D1">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6</w:t>
            </w:r>
            <w:r>
              <w:rPr>
                <w:rFonts w:eastAsia="黑体"/>
                <w:bCs/>
                <w:sz w:val="21"/>
                <w:szCs w:val="21"/>
              </w:rPr>
              <w:t xml:space="preserve">  放射性核素毒性组别修正因子</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14"/>
              <w:gridCol w:w="4691"/>
            </w:tblGrid>
            <w:tr w14:paraId="4CF4B4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2" w:type="pct"/>
                  <w:vAlign w:val="center"/>
                </w:tcPr>
                <w:p w14:paraId="7667C232">
                  <w:pPr>
                    <w:spacing w:line="360" w:lineRule="exact"/>
                    <w:jc w:val="center"/>
                    <w:rPr>
                      <w:bCs/>
                      <w:sz w:val="21"/>
                      <w:szCs w:val="21"/>
                    </w:rPr>
                  </w:pPr>
                  <w:r>
                    <w:rPr>
                      <w:bCs/>
                      <w:sz w:val="21"/>
                      <w:szCs w:val="21"/>
                    </w:rPr>
                    <w:t>毒性组别</w:t>
                  </w:r>
                </w:p>
              </w:tc>
              <w:tc>
                <w:tcPr>
                  <w:tcW w:w="2758" w:type="pct"/>
                  <w:vAlign w:val="center"/>
                </w:tcPr>
                <w:p w14:paraId="0591FF1D">
                  <w:pPr>
                    <w:spacing w:line="360" w:lineRule="exact"/>
                    <w:jc w:val="center"/>
                    <w:rPr>
                      <w:bCs/>
                      <w:sz w:val="21"/>
                      <w:szCs w:val="21"/>
                    </w:rPr>
                  </w:pPr>
                  <w:r>
                    <w:rPr>
                      <w:bCs/>
                      <w:sz w:val="21"/>
                      <w:szCs w:val="21"/>
                    </w:rPr>
                    <w:t>毒性组别修正因子</w:t>
                  </w:r>
                </w:p>
              </w:tc>
            </w:tr>
            <w:tr w14:paraId="4A05EC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2" w:type="pct"/>
                  <w:vAlign w:val="center"/>
                </w:tcPr>
                <w:p w14:paraId="62B40EB5">
                  <w:pPr>
                    <w:spacing w:line="360" w:lineRule="exact"/>
                    <w:jc w:val="center"/>
                    <w:rPr>
                      <w:bCs/>
                      <w:sz w:val="21"/>
                      <w:szCs w:val="21"/>
                    </w:rPr>
                  </w:pPr>
                  <w:r>
                    <w:rPr>
                      <w:bCs/>
                      <w:sz w:val="21"/>
                      <w:szCs w:val="21"/>
                    </w:rPr>
                    <w:t>极毒</w:t>
                  </w:r>
                </w:p>
              </w:tc>
              <w:tc>
                <w:tcPr>
                  <w:tcW w:w="2758" w:type="pct"/>
                  <w:vAlign w:val="center"/>
                </w:tcPr>
                <w:p w14:paraId="30A52194">
                  <w:pPr>
                    <w:spacing w:line="360" w:lineRule="exact"/>
                    <w:jc w:val="center"/>
                    <w:rPr>
                      <w:bCs/>
                      <w:sz w:val="21"/>
                      <w:szCs w:val="21"/>
                    </w:rPr>
                  </w:pPr>
                  <w:r>
                    <w:rPr>
                      <w:bCs/>
                      <w:sz w:val="21"/>
                      <w:szCs w:val="21"/>
                    </w:rPr>
                    <w:t>10</w:t>
                  </w:r>
                </w:p>
              </w:tc>
            </w:tr>
            <w:tr w14:paraId="76261A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2" w:type="pct"/>
                  <w:vAlign w:val="center"/>
                </w:tcPr>
                <w:p w14:paraId="605C48FA">
                  <w:pPr>
                    <w:spacing w:line="360" w:lineRule="exact"/>
                    <w:jc w:val="center"/>
                    <w:rPr>
                      <w:bCs/>
                      <w:sz w:val="21"/>
                      <w:szCs w:val="21"/>
                    </w:rPr>
                  </w:pPr>
                  <w:r>
                    <w:rPr>
                      <w:bCs/>
                      <w:sz w:val="21"/>
                      <w:szCs w:val="21"/>
                    </w:rPr>
                    <w:t>高毒</w:t>
                  </w:r>
                </w:p>
              </w:tc>
              <w:tc>
                <w:tcPr>
                  <w:tcW w:w="2758" w:type="pct"/>
                  <w:vAlign w:val="center"/>
                </w:tcPr>
                <w:p w14:paraId="4F687A3B">
                  <w:pPr>
                    <w:spacing w:line="360" w:lineRule="exact"/>
                    <w:jc w:val="center"/>
                    <w:rPr>
                      <w:bCs/>
                      <w:sz w:val="21"/>
                      <w:szCs w:val="21"/>
                    </w:rPr>
                  </w:pPr>
                  <w:r>
                    <w:rPr>
                      <w:bCs/>
                      <w:sz w:val="21"/>
                      <w:szCs w:val="21"/>
                    </w:rPr>
                    <w:t>1</w:t>
                  </w:r>
                </w:p>
              </w:tc>
            </w:tr>
            <w:tr w14:paraId="4A023A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2" w:type="pct"/>
                  <w:vAlign w:val="center"/>
                </w:tcPr>
                <w:p w14:paraId="2ECDBE45">
                  <w:pPr>
                    <w:spacing w:line="360" w:lineRule="exact"/>
                    <w:jc w:val="center"/>
                    <w:rPr>
                      <w:bCs/>
                      <w:sz w:val="21"/>
                      <w:szCs w:val="21"/>
                    </w:rPr>
                  </w:pPr>
                  <w:r>
                    <w:rPr>
                      <w:bCs/>
                      <w:sz w:val="21"/>
                      <w:szCs w:val="21"/>
                    </w:rPr>
                    <w:t>中毒</w:t>
                  </w:r>
                </w:p>
              </w:tc>
              <w:tc>
                <w:tcPr>
                  <w:tcW w:w="2758" w:type="pct"/>
                  <w:vAlign w:val="center"/>
                </w:tcPr>
                <w:p w14:paraId="26093350">
                  <w:pPr>
                    <w:spacing w:line="360" w:lineRule="exact"/>
                    <w:jc w:val="center"/>
                    <w:rPr>
                      <w:bCs/>
                      <w:sz w:val="21"/>
                      <w:szCs w:val="21"/>
                    </w:rPr>
                  </w:pPr>
                  <w:r>
                    <w:rPr>
                      <w:bCs/>
                      <w:sz w:val="21"/>
                      <w:szCs w:val="21"/>
                    </w:rPr>
                    <w:t>0.1</w:t>
                  </w:r>
                </w:p>
              </w:tc>
            </w:tr>
            <w:tr w14:paraId="35C918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42" w:type="pct"/>
                  <w:vAlign w:val="center"/>
                </w:tcPr>
                <w:p w14:paraId="527E1647">
                  <w:pPr>
                    <w:spacing w:line="360" w:lineRule="exact"/>
                    <w:jc w:val="center"/>
                    <w:rPr>
                      <w:bCs/>
                      <w:sz w:val="21"/>
                      <w:szCs w:val="21"/>
                    </w:rPr>
                  </w:pPr>
                  <w:r>
                    <w:rPr>
                      <w:bCs/>
                      <w:sz w:val="21"/>
                      <w:szCs w:val="21"/>
                    </w:rPr>
                    <w:t>低毒</w:t>
                  </w:r>
                </w:p>
              </w:tc>
              <w:tc>
                <w:tcPr>
                  <w:tcW w:w="2758" w:type="pct"/>
                  <w:vAlign w:val="center"/>
                </w:tcPr>
                <w:p w14:paraId="4A298466">
                  <w:pPr>
                    <w:spacing w:line="360" w:lineRule="exact"/>
                    <w:jc w:val="center"/>
                    <w:rPr>
                      <w:bCs/>
                      <w:sz w:val="21"/>
                      <w:szCs w:val="21"/>
                    </w:rPr>
                  </w:pPr>
                  <w:r>
                    <w:rPr>
                      <w:bCs/>
                      <w:sz w:val="21"/>
                      <w:szCs w:val="21"/>
                    </w:rPr>
                    <w:t>0.01</w:t>
                  </w:r>
                </w:p>
              </w:tc>
            </w:tr>
          </w:tbl>
          <w:p w14:paraId="7EB99E46">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7</w:t>
            </w:r>
            <w:r>
              <w:rPr>
                <w:rFonts w:eastAsia="黑体"/>
                <w:bCs/>
                <w:sz w:val="21"/>
                <w:szCs w:val="21"/>
              </w:rPr>
              <w:t xml:space="preserve">  操作方式与放射源状态修正因子</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1545"/>
              <w:gridCol w:w="1320"/>
              <w:gridCol w:w="1290"/>
              <w:gridCol w:w="2415"/>
            </w:tblGrid>
            <w:tr w14:paraId="3D69D5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pct"/>
                  <w:vMerge w:val="restart"/>
                  <w:vAlign w:val="center"/>
                </w:tcPr>
                <w:p w14:paraId="31F9DD7D">
                  <w:pPr>
                    <w:spacing w:line="360" w:lineRule="exact"/>
                    <w:jc w:val="center"/>
                    <w:rPr>
                      <w:bCs/>
                      <w:sz w:val="21"/>
                      <w:szCs w:val="21"/>
                    </w:rPr>
                  </w:pPr>
                  <w:r>
                    <w:rPr>
                      <w:bCs/>
                      <w:sz w:val="21"/>
                      <w:szCs w:val="21"/>
                    </w:rPr>
                    <w:t>操作方式</w:t>
                  </w:r>
                </w:p>
              </w:tc>
              <w:tc>
                <w:tcPr>
                  <w:tcW w:w="3862" w:type="pct"/>
                  <w:gridSpan w:val="4"/>
                  <w:vAlign w:val="center"/>
                </w:tcPr>
                <w:p w14:paraId="59B2DA34">
                  <w:pPr>
                    <w:spacing w:line="360" w:lineRule="exact"/>
                    <w:jc w:val="center"/>
                    <w:rPr>
                      <w:bCs/>
                      <w:sz w:val="21"/>
                      <w:szCs w:val="21"/>
                    </w:rPr>
                  </w:pPr>
                  <w:r>
                    <w:rPr>
                      <w:bCs/>
                      <w:sz w:val="21"/>
                      <w:szCs w:val="21"/>
                    </w:rPr>
                    <w:t>放射源状态</w:t>
                  </w:r>
                </w:p>
              </w:tc>
            </w:tr>
            <w:tr w14:paraId="72E3AE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pct"/>
                  <w:vMerge w:val="continue"/>
                  <w:vAlign w:val="center"/>
                </w:tcPr>
                <w:p w14:paraId="203FF708">
                  <w:pPr>
                    <w:spacing w:line="360" w:lineRule="exact"/>
                    <w:jc w:val="center"/>
                    <w:rPr>
                      <w:bCs/>
                      <w:sz w:val="21"/>
                      <w:szCs w:val="21"/>
                    </w:rPr>
                  </w:pPr>
                </w:p>
              </w:tc>
              <w:tc>
                <w:tcPr>
                  <w:tcW w:w="908" w:type="pct"/>
                  <w:vAlign w:val="center"/>
                </w:tcPr>
                <w:p w14:paraId="50F4A7E6">
                  <w:pPr>
                    <w:spacing w:line="360" w:lineRule="exact"/>
                    <w:jc w:val="center"/>
                    <w:rPr>
                      <w:bCs/>
                      <w:sz w:val="21"/>
                      <w:szCs w:val="21"/>
                    </w:rPr>
                  </w:pPr>
                  <w:r>
                    <w:rPr>
                      <w:bCs/>
                      <w:sz w:val="21"/>
                      <w:szCs w:val="21"/>
                    </w:rPr>
                    <w:t>表面污染水平较低的固体</w:t>
                  </w:r>
                </w:p>
              </w:tc>
              <w:tc>
                <w:tcPr>
                  <w:tcW w:w="776" w:type="pct"/>
                  <w:vAlign w:val="center"/>
                </w:tcPr>
                <w:p w14:paraId="54DA1305">
                  <w:pPr>
                    <w:spacing w:line="360" w:lineRule="exact"/>
                    <w:jc w:val="center"/>
                    <w:rPr>
                      <w:bCs/>
                      <w:sz w:val="21"/>
                      <w:szCs w:val="21"/>
                    </w:rPr>
                  </w:pPr>
                  <w:r>
                    <w:rPr>
                      <w:bCs/>
                      <w:sz w:val="21"/>
                      <w:szCs w:val="21"/>
                    </w:rPr>
                    <w:t>液体，溶液，悬浮液</w:t>
                  </w:r>
                </w:p>
              </w:tc>
              <w:tc>
                <w:tcPr>
                  <w:tcW w:w="758" w:type="pct"/>
                  <w:vAlign w:val="center"/>
                </w:tcPr>
                <w:p w14:paraId="4D18994E">
                  <w:pPr>
                    <w:spacing w:line="360" w:lineRule="exact"/>
                    <w:jc w:val="center"/>
                    <w:rPr>
                      <w:bCs/>
                      <w:sz w:val="21"/>
                      <w:szCs w:val="21"/>
                    </w:rPr>
                  </w:pPr>
                  <w:r>
                    <w:rPr>
                      <w:bCs/>
                      <w:sz w:val="21"/>
                      <w:szCs w:val="21"/>
                    </w:rPr>
                    <w:t>表面有污染的固体</w:t>
                  </w:r>
                </w:p>
              </w:tc>
              <w:tc>
                <w:tcPr>
                  <w:tcW w:w="1419" w:type="pct"/>
                  <w:vAlign w:val="center"/>
                </w:tcPr>
                <w:p w14:paraId="43BE3428">
                  <w:pPr>
                    <w:spacing w:line="360" w:lineRule="exact"/>
                    <w:jc w:val="center"/>
                    <w:rPr>
                      <w:bCs/>
                      <w:sz w:val="21"/>
                      <w:szCs w:val="21"/>
                    </w:rPr>
                  </w:pPr>
                  <w:r>
                    <w:rPr>
                      <w:bCs/>
                      <w:sz w:val="21"/>
                      <w:szCs w:val="21"/>
                    </w:rPr>
                    <w:t>气体，蒸汽，粉末，压力很高的液体，固体</w:t>
                  </w:r>
                </w:p>
              </w:tc>
            </w:tr>
            <w:tr w14:paraId="7F6D99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pct"/>
                  <w:vAlign w:val="center"/>
                </w:tcPr>
                <w:p w14:paraId="23B61198">
                  <w:pPr>
                    <w:spacing w:line="360" w:lineRule="exact"/>
                    <w:jc w:val="center"/>
                    <w:rPr>
                      <w:bCs/>
                      <w:sz w:val="21"/>
                      <w:szCs w:val="21"/>
                    </w:rPr>
                  </w:pPr>
                  <w:r>
                    <w:rPr>
                      <w:bCs/>
                      <w:sz w:val="21"/>
                      <w:szCs w:val="21"/>
                    </w:rPr>
                    <w:t>源的贮存</w:t>
                  </w:r>
                </w:p>
              </w:tc>
              <w:tc>
                <w:tcPr>
                  <w:tcW w:w="908" w:type="pct"/>
                  <w:vAlign w:val="center"/>
                </w:tcPr>
                <w:p w14:paraId="1ACDB855">
                  <w:pPr>
                    <w:spacing w:line="360" w:lineRule="exact"/>
                    <w:jc w:val="center"/>
                    <w:rPr>
                      <w:bCs/>
                      <w:sz w:val="21"/>
                      <w:szCs w:val="21"/>
                    </w:rPr>
                  </w:pPr>
                  <w:r>
                    <w:rPr>
                      <w:bCs/>
                      <w:sz w:val="21"/>
                      <w:szCs w:val="21"/>
                    </w:rPr>
                    <w:t>1000</w:t>
                  </w:r>
                </w:p>
              </w:tc>
              <w:tc>
                <w:tcPr>
                  <w:tcW w:w="776" w:type="pct"/>
                  <w:vAlign w:val="center"/>
                </w:tcPr>
                <w:p w14:paraId="61254CA0">
                  <w:pPr>
                    <w:spacing w:line="360" w:lineRule="exact"/>
                    <w:jc w:val="center"/>
                    <w:rPr>
                      <w:bCs/>
                      <w:sz w:val="21"/>
                      <w:szCs w:val="21"/>
                    </w:rPr>
                  </w:pPr>
                  <w:r>
                    <w:rPr>
                      <w:bCs/>
                      <w:sz w:val="21"/>
                      <w:szCs w:val="21"/>
                    </w:rPr>
                    <w:t>100</w:t>
                  </w:r>
                </w:p>
              </w:tc>
              <w:tc>
                <w:tcPr>
                  <w:tcW w:w="758" w:type="pct"/>
                  <w:vAlign w:val="center"/>
                </w:tcPr>
                <w:p w14:paraId="6EF9755B">
                  <w:pPr>
                    <w:spacing w:line="360" w:lineRule="exact"/>
                    <w:jc w:val="center"/>
                    <w:rPr>
                      <w:bCs/>
                      <w:sz w:val="21"/>
                      <w:szCs w:val="21"/>
                    </w:rPr>
                  </w:pPr>
                  <w:r>
                    <w:rPr>
                      <w:bCs/>
                      <w:sz w:val="21"/>
                      <w:szCs w:val="21"/>
                    </w:rPr>
                    <w:t>10</w:t>
                  </w:r>
                </w:p>
              </w:tc>
              <w:tc>
                <w:tcPr>
                  <w:tcW w:w="1419" w:type="pct"/>
                  <w:vAlign w:val="center"/>
                </w:tcPr>
                <w:p w14:paraId="73181F17">
                  <w:pPr>
                    <w:spacing w:line="360" w:lineRule="exact"/>
                    <w:jc w:val="center"/>
                    <w:rPr>
                      <w:bCs/>
                      <w:sz w:val="21"/>
                      <w:szCs w:val="21"/>
                    </w:rPr>
                  </w:pPr>
                  <w:r>
                    <w:rPr>
                      <w:bCs/>
                      <w:sz w:val="21"/>
                      <w:szCs w:val="21"/>
                    </w:rPr>
                    <w:t>1</w:t>
                  </w:r>
                </w:p>
              </w:tc>
            </w:tr>
            <w:tr w14:paraId="012286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37" w:type="pct"/>
                  <w:vAlign w:val="center"/>
                </w:tcPr>
                <w:p w14:paraId="2A96B1D7">
                  <w:pPr>
                    <w:spacing w:line="360" w:lineRule="exact"/>
                    <w:jc w:val="center"/>
                    <w:rPr>
                      <w:bCs/>
                      <w:sz w:val="21"/>
                      <w:szCs w:val="21"/>
                    </w:rPr>
                  </w:pPr>
                  <w:r>
                    <w:rPr>
                      <w:bCs/>
                      <w:sz w:val="21"/>
                      <w:szCs w:val="21"/>
                    </w:rPr>
                    <w:t>很简单的操作</w:t>
                  </w:r>
                </w:p>
              </w:tc>
              <w:tc>
                <w:tcPr>
                  <w:tcW w:w="908" w:type="pct"/>
                  <w:vAlign w:val="center"/>
                </w:tcPr>
                <w:p w14:paraId="72315EA4">
                  <w:pPr>
                    <w:spacing w:line="360" w:lineRule="exact"/>
                    <w:jc w:val="center"/>
                    <w:rPr>
                      <w:bCs/>
                      <w:sz w:val="21"/>
                      <w:szCs w:val="21"/>
                    </w:rPr>
                  </w:pPr>
                  <w:r>
                    <w:rPr>
                      <w:bCs/>
                      <w:sz w:val="21"/>
                      <w:szCs w:val="21"/>
                    </w:rPr>
                    <w:t>100</w:t>
                  </w:r>
                </w:p>
              </w:tc>
              <w:tc>
                <w:tcPr>
                  <w:tcW w:w="776" w:type="pct"/>
                  <w:vAlign w:val="center"/>
                </w:tcPr>
                <w:p w14:paraId="6B08BC1A">
                  <w:pPr>
                    <w:spacing w:line="360" w:lineRule="exact"/>
                    <w:jc w:val="center"/>
                    <w:rPr>
                      <w:bCs/>
                      <w:sz w:val="21"/>
                      <w:szCs w:val="21"/>
                    </w:rPr>
                  </w:pPr>
                  <w:r>
                    <w:rPr>
                      <w:bCs/>
                      <w:sz w:val="21"/>
                      <w:szCs w:val="21"/>
                    </w:rPr>
                    <w:t>10</w:t>
                  </w:r>
                </w:p>
              </w:tc>
              <w:tc>
                <w:tcPr>
                  <w:tcW w:w="758" w:type="pct"/>
                  <w:vAlign w:val="center"/>
                </w:tcPr>
                <w:p w14:paraId="49251B78">
                  <w:pPr>
                    <w:spacing w:line="360" w:lineRule="exact"/>
                    <w:jc w:val="center"/>
                    <w:rPr>
                      <w:bCs/>
                      <w:sz w:val="21"/>
                      <w:szCs w:val="21"/>
                    </w:rPr>
                  </w:pPr>
                  <w:r>
                    <w:rPr>
                      <w:bCs/>
                      <w:sz w:val="21"/>
                      <w:szCs w:val="21"/>
                    </w:rPr>
                    <w:t>1</w:t>
                  </w:r>
                </w:p>
              </w:tc>
              <w:tc>
                <w:tcPr>
                  <w:tcW w:w="1419" w:type="pct"/>
                  <w:vAlign w:val="center"/>
                </w:tcPr>
                <w:p w14:paraId="2F9BA555">
                  <w:pPr>
                    <w:spacing w:line="360" w:lineRule="exact"/>
                    <w:jc w:val="center"/>
                    <w:rPr>
                      <w:bCs/>
                      <w:sz w:val="21"/>
                      <w:szCs w:val="21"/>
                    </w:rPr>
                  </w:pPr>
                  <w:r>
                    <w:rPr>
                      <w:bCs/>
                      <w:sz w:val="21"/>
                      <w:szCs w:val="21"/>
                    </w:rPr>
                    <w:t>0.1</w:t>
                  </w:r>
                </w:p>
              </w:tc>
            </w:tr>
            <w:tr w14:paraId="3E1452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pct"/>
                  <w:vAlign w:val="center"/>
                </w:tcPr>
                <w:p w14:paraId="248C91B7">
                  <w:pPr>
                    <w:spacing w:line="360" w:lineRule="exact"/>
                    <w:jc w:val="center"/>
                    <w:rPr>
                      <w:bCs/>
                      <w:sz w:val="21"/>
                      <w:szCs w:val="21"/>
                    </w:rPr>
                  </w:pPr>
                  <w:r>
                    <w:rPr>
                      <w:bCs/>
                      <w:sz w:val="21"/>
                      <w:szCs w:val="21"/>
                    </w:rPr>
                    <w:t>简单操作</w:t>
                  </w:r>
                </w:p>
              </w:tc>
              <w:tc>
                <w:tcPr>
                  <w:tcW w:w="908" w:type="pct"/>
                  <w:vAlign w:val="center"/>
                </w:tcPr>
                <w:p w14:paraId="3FBEEC34">
                  <w:pPr>
                    <w:spacing w:line="360" w:lineRule="exact"/>
                    <w:jc w:val="center"/>
                    <w:rPr>
                      <w:bCs/>
                      <w:sz w:val="21"/>
                      <w:szCs w:val="21"/>
                    </w:rPr>
                  </w:pPr>
                  <w:r>
                    <w:rPr>
                      <w:bCs/>
                      <w:sz w:val="21"/>
                      <w:szCs w:val="21"/>
                    </w:rPr>
                    <w:t>10</w:t>
                  </w:r>
                </w:p>
              </w:tc>
              <w:tc>
                <w:tcPr>
                  <w:tcW w:w="776" w:type="pct"/>
                  <w:vAlign w:val="center"/>
                </w:tcPr>
                <w:p w14:paraId="1A785A40">
                  <w:pPr>
                    <w:spacing w:line="360" w:lineRule="exact"/>
                    <w:jc w:val="center"/>
                    <w:rPr>
                      <w:bCs/>
                      <w:sz w:val="21"/>
                      <w:szCs w:val="21"/>
                    </w:rPr>
                  </w:pPr>
                  <w:r>
                    <w:rPr>
                      <w:bCs/>
                      <w:sz w:val="21"/>
                      <w:szCs w:val="21"/>
                    </w:rPr>
                    <w:t>1</w:t>
                  </w:r>
                </w:p>
              </w:tc>
              <w:tc>
                <w:tcPr>
                  <w:tcW w:w="758" w:type="pct"/>
                  <w:vAlign w:val="center"/>
                </w:tcPr>
                <w:p w14:paraId="162B12D5">
                  <w:pPr>
                    <w:spacing w:line="360" w:lineRule="exact"/>
                    <w:jc w:val="center"/>
                    <w:rPr>
                      <w:bCs/>
                      <w:sz w:val="21"/>
                      <w:szCs w:val="21"/>
                    </w:rPr>
                  </w:pPr>
                  <w:r>
                    <w:rPr>
                      <w:bCs/>
                      <w:sz w:val="21"/>
                      <w:szCs w:val="21"/>
                    </w:rPr>
                    <w:t>0.1</w:t>
                  </w:r>
                </w:p>
              </w:tc>
              <w:tc>
                <w:tcPr>
                  <w:tcW w:w="1419" w:type="pct"/>
                  <w:vAlign w:val="center"/>
                </w:tcPr>
                <w:p w14:paraId="0D7E3718">
                  <w:pPr>
                    <w:spacing w:line="360" w:lineRule="exact"/>
                    <w:jc w:val="center"/>
                    <w:rPr>
                      <w:bCs/>
                      <w:sz w:val="21"/>
                      <w:szCs w:val="21"/>
                    </w:rPr>
                  </w:pPr>
                  <w:r>
                    <w:rPr>
                      <w:bCs/>
                      <w:sz w:val="21"/>
                      <w:szCs w:val="21"/>
                    </w:rPr>
                    <w:t>0.01</w:t>
                  </w:r>
                </w:p>
              </w:tc>
            </w:tr>
            <w:tr w14:paraId="1A0773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7" w:type="pct"/>
                  <w:vAlign w:val="center"/>
                </w:tcPr>
                <w:p w14:paraId="2CB3E70D">
                  <w:pPr>
                    <w:spacing w:line="360" w:lineRule="exact"/>
                    <w:jc w:val="center"/>
                    <w:rPr>
                      <w:bCs/>
                      <w:sz w:val="21"/>
                      <w:szCs w:val="21"/>
                    </w:rPr>
                  </w:pPr>
                  <w:r>
                    <w:rPr>
                      <w:bCs/>
                      <w:sz w:val="21"/>
                      <w:szCs w:val="21"/>
                    </w:rPr>
                    <w:t>特别危险的操作</w:t>
                  </w:r>
                </w:p>
              </w:tc>
              <w:tc>
                <w:tcPr>
                  <w:tcW w:w="908" w:type="pct"/>
                  <w:vAlign w:val="center"/>
                </w:tcPr>
                <w:p w14:paraId="0CB3A668">
                  <w:pPr>
                    <w:spacing w:line="360" w:lineRule="exact"/>
                    <w:jc w:val="center"/>
                    <w:rPr>
                      <w:bCs/>
                      <w:sz w:val="21"/>
                      <w:szCs w:val="21"/>
                    </w:rPr>
                  </w:pPr>
                  <w:r>
                    <w:rPr>
                      <w:bCs/>
                      <w:sz w:val="21"/>
                      <w:szCs w:val="21"/>
                    </w:rPr>
                    <w:t>1</w:t>
                  </w:r>
                </w:p>
              </w:tc>
              <w:tc>
                <w:tcPr>
                  <w:tcW w:w="776" w:type="pct"/>
                  <w:vAlign w:val="center"/>
                </w:tcPr>
                <w:p w14:paraId="63039E99">
                  <w:pPr>
                    <w:spacing w:line="360" w:lineRule="exact"/>
                    <w:jc w:val="center"/>
                    <w:rPr>
                      <w:bCs/>
                      <w:sz w:val="21"/>
                      <w:szCs w:val="21"/>
                    </w:rPr>
                  </w:pPr>
                  <w:r>
                    <w:rPr>
                      <w:bCs/>
                      <w:sz w:val="21"/>
                      <w:szCs w:val="21"/>
                    </w:rPr>
                    <w:t>0.1</w:t>
                  </w:r>
                </w:p>
              </w:tc>
              <w:tc>
                <w:tcPr>
                  <w:tcW w:w="758" w:type="pct"/>
                  <w:vAlign w:val="center"/>
                </w:tcPr>
                <w:p w14:paraId="1CE843FA">
                  <w:pPr>
                    <w:spacing w:line="360" w:lineRule="exact"/>
                    <w:jc w:val="center"/>
                    <w:rPr>
                      <w:bCs/>
                      <w:sz w:val="21"/>
                      <w:szCs w:val="21"/>
                    </w:rPr>
                  </w:pPr>
                  <w:r>
                    <w:rPr>
                      <w:bCs/>
                      <w:sz w:val="21"/>
                      <w:szCs w:val="21"/>
                    </w:rPr>
                    <w:t>0.01</w:t>
                  </w:r>
                </w:p>
              </w:tc>
              <w:tc>
                <w:tcPr>
                  <w:tcW w:w="1419" w:type="pct"/>
                  <w:vAlign w:val="center"/>
                </w:tcPr>
                <w:p w14:paraId="158492FB">
                  <w:pPr>
                    <w:spacing w:line="360" w:lineRule="exact"/>
                    <w:jc w:val="center"/>
                    <w:rPr>
                      <w:bCs/>
                      <w:sz w:val="21"/>
                      <w:szCs w:val="21"/>
                    </w:rPr>
                  </w:pPr>
                  <w:r>
                    <w:rPr>
                      <w:bCs/>
                      <w:sz w:val="21"/>
                      <w:szCs w:val="21"/>
                    </w:rPr>
                    <w:t>0.001</w:t>
                  </w:r>
                </w:p>
              </w:tc>
            </w:tr>
          </w:tbl>
          <w:p w14:paraId="2AF0CBBE">
            <w:pPr>
              <w:ind w:firstLine="480"/>
            </w:pPr>
            <w:r>
              <w:t>日等效操作量修正因子及日等效操作量计算结果见表1-</w:t>
            </w:r>
            <w:r>
              <w:rPr>
                <w:rFonts w:hint="eastAsia"/>
                <w:lang w:val="en-US" w:eastAsia="zh-CN"/>
              </w:rPr>
              <w:t>8</w:t>
            </w:r>
            <w:r>
              <w:t>。</w:t>
            </w:r>
          </w:p>
          <w:p w14:paraId="72C511EF">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8</w:t>
            </w:r>
            <w:r>
              <w:rPr>
                <w:rFonts w:eastAsia="黑体"/>
                <w:bCs/>
                <w:sz w:val="21"/>
                <w:szCs w:val="21"/>
              </w:rPr>
              <w:t xml:space="preserve">  非密封放射性物质工作场所场所等级核算表</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035"/>
              <w:gridCol w:w="1125"/>
              <w:gridCol w:w="735"/>
              <w:gridCol w:w="945"/>
              <w:gridCol w:w="765"/>
              <w:gridCol w:w="1163"/>
              <w:gridCol w:w="815"/>
              <w:gridCol w:w="1157"/>
            </w:tblGrid>
            <w:tr w14:paraId="62C396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3F65A755">
                  <w:pPr>
                    <w:spacing w:line="340" w:lineRule="exact"/>
                    <w:jc w:val="center"/>
                    <w:rPr>
                      <w:spacing w:val="-11"/>
                      <w:sz w:val="21"/>
                      <w:szCs w:val="21"/>
                    </w:rPr>
                  </w:pPr>
                  <w:r>
                    <w:rPr>
                      <w:spacing w:val="-11"/>
                      <w:sz w:val="21"/>
                      <w:szCs w:val="21"/>
                    </w:rPr>
                    <w:t>工作</w:t>
                  </w:r>
                </w:p>
                <w:p w14:paraId="39D13069">
                  <w:pPr>
                    <w:spacing w:line="340" w:lineRule="exact"/>
                    <w:jc w:val="center"/>
                    <w:rPr>
                      <w:spacing w:val="-11"/>
                      <w:sz w:val="21"/>
                      <w:szCs w:val="21"/>
                    </w:rPr>
                  </w:pPr>
                  <w:r>
                    <w:rPr>
                      <w:spacing w:val="-11"/>
                      <w:sz w:val="21"/>
                      <w:szCs w:val="21"/>
                    </w:rPr>
                    <w:t>场所</w:t>
                  </w:r>
                </w:p>
              </w:tc>
              <w:tc>
                <w:tcPr>
                  <w:tcW w:w="608" w:type="pct"/>
                  <w:vAlign w:val="center"/>
                </w:tcPr>
                <w:p w14:paraId="293AFF64">
                  <w:pPr>
                    <w:spacing w:line="340" w:lineRule="exact"/>
                    <w:jc w:val="center"/>
                    <w:rPr>
                      <w:spacing w:val="-11"/>
                      <w:sz w:val="21"/>
                      <w:szCs w:val="21"/>
                    </w:rPr>
                  </w:pPr>
                  <w:r>
                    <w:rPr>
                      <w:spacing w:val="-11"/>
                      <w:sz w:val="21"/>
                      <w:szCs w:val="21"/>
                    </w:rPr>
                    <w:t>核素</w:t>
                  </w:r>
                </w:p>
              </w:tc>
              <w:tc>
                <w:tcPr>
                  <w:tcW w:w="661" w:type="pct"/>
                  <w:vAlign w:val="center"/>
                </w:tcPr>
                <w:p w14:paraId="57647199">
                  <w:pPr>
                    <w:spacing w:line="340" w:lineRule="exact"/>
                    <w:jc w:val="center"/>
                    <w:rPr>
                      <w:spacing w:val="-11"/>
                      <w:sz w:val="21"/>
                      <w:szCs w:val="21"/>
                    </w:rPr>
                  </w:pPr>
                  <w:r>
                    <w:rPr>
                      <w:spacing w:val="-11"/>
                      <w:sz w:val="21"/>
                      <w:szCs w:val="21"/>
                    </w:rPr>
                    <w:t>日最大操作量/Bq</w:t>
                  </w:r>
                </w:p>
              </w:tc>
              <w:tc>
                <w:tcPr>
                  <w:tcW w:w="432" w:type="pct"/>
                  <w:vAlign w:val="center"/>
                </w:tcPr>
                <w:p w14:paraId="4366E55B">
                  <w:pPr>
                    <w:spacing w:line="340" w:lineRule="exact"/>
                    <w:jc w:val="center"/>
                    <w:rPr>
                      <w:spacing w:val="-11"/>
                      <w:sz w:val="21"/>
                      <w:szCs w:val="21"/>
                    </w:rPr>
                  </w:pPr>
                  <w:r>
                    <w:rPr>
                      <w:spacing w:val="-11"/>
                      <w:sz w:val="21"/>
                      <w:szCs w:val="21"/>
                    </w:rPr>
                    <w:t>毒性</w:t>
                  </w:r>
                </w:p>
                <w:p w14:paraId="5D79A7AD">
                  <w:pPr>
                    <w:spacing w:line="340" w:lineRule="exact"/>
                    <w:jc w:val="center"/>
                    <w:rPr>
                      <w:spacing w:val="-11"/>
                      <w:sz w:val="21"/>
                      <w:szCs w:val="21"/>
                    </w:rPr>
                  </w:pPr>
                  <w:r>
                    <w:rPr>
                      <w:spacing w:val="-11"/>
                      <w:sz w:val="21"/>
                      <w:szCs w:val="21"/>
                    </w:rPr>
                    <w:t>分组</w:t>
                  </w:r>
                </w:p>
              </w:tc>
              <w:tc>
                <w:tcPr>
                  <w:tcW w:w="555" w:type="pct"/>
                  <w:vAlign w:val="center"/>
                </w:tcPr>
                <w:p w14:paraId="1F228CF7">
                  <w:pPr>
                    <w:spacing w:line="340" w:lineRule="exact"/>
                    <w:jc w:val="center"/>
                    <w:rPr>
                      <w:spacing w:val="-11"/>
                      <w:sz w:val="21"/>
                      <w:szCs w:val="21"/>
                    </w:rPr>
                  </w:pPr>
                  <w:r>
                    <w:rPr>
                      <w:spacing w:val="-11"/>
                      <w:sz w:val="21"/>
                      <w:szCs w:val="21"/>
                    </w:rPr>
                    <w:t>毒性组别修正因子</w:t>
                  </w:r>
                </w:p>
              </w:tc>
              <w:tc>
                <w:tcPr>
                  <w:tcW w:w="449" w:type="pct"/>
                  <w:vAlign w:val="center"/>
                </w:tcPr>
                <w:p w14:paraId="0B868F8A">
                  <w:pPr>
                    <w:spacing w:line="340" w:lineRule="exact"/>
                    <w:jc w:val="center"/>
                    <w:rPr>
                      <w:spacing w:val="-11"/>
                      <w:sz w:val="21"/>
                      <w:szCs w:val="21"/>
                    </w:rPr>
                  </w:pPr>
                  <w:r>
                    <w:rPr>
                      <w:spacing w:val="-11"/>
                      <w:sz w:val="21"/>
                      <w:szCs w:val="21"/>
                    </w:rPr>
                    <w:t>性状</w:t>
                  </w:r>
                </w:p>
              </w:tc>
              <w:tc>
                <w:tcPr>
                  <w:tcW w:w="683" w:type="pct"/>
                  <w:vAlign w:val="center"/>
                </w:tcPr>
                <w:p w14:paraId="443D5043">
                  <w:pPr>
                    <w:spacing w:line="340" w:lineRule="exact"/>
                    <w:jc w:val="center"/>
                    <w:rPr>
                      <w:spacing w:val="-11"/>
                      <w:sz w:val="21"/>
                      <w:szCs w:val="21"/>
                    </w:rPr>
                  </w:pPr>
                  <w:r>
                    <w:rPr>
                      <w:spacing w:val="-11"/>
                      <w:sz w:val="21"/>
                      <w:szCs w:val="21"/>
                    </w:rPr>
                    <w:t>操作方式</w:t>
                  </w:r>
                </w:p>
              </w:tc>
              <w:tc>
                <w:tcPr>
                  <w:tcW w:w="479" w:type="pct"/>
                  <w:vAlign w:val="center"/>
                </w:tcPr>
                <w:p w14:paraId="7F3CFDD7">
                  <w:pPr>
                    <w:spacing w:line="340" w:lineRule="exact"/>
                    <w:jc w:val="center"/>
                    <w:rPr>
                      <w:spacing w:val="-11"/>
                      <w:sz w:val="21"/>
                      <w:szCs w:val="21"/>
                    </w:rPr>
                  </w:pPr>
                  <w:r>
                    <w:rPr>
                      <w:spacing w:val="-11"/>
                      <w:sz w:val="21"/>
                      <w:szCs w:val="21"/>
                    </w:rPr>
                    <w:t>方式与状态修正因子</w:t>
                  </w:r>
                </w:p>
              </w:tc>
              <w:tc>
                <w:tcPr>
                  <w:tcW w:w="680" w:type="pct"/>
                  <w:vAlign w:val="center"/>
                </w:tcPr>
                <w:p w14:paraId="61E329B3">
                  <w:pPr>
                    <w:spacing w:line="340" w:lineRule="exact"/>
                    <w:jc w:val="center"/>
                    <w:rPr>
                      <w:spacing w:val="-11"/>
                      <w:sz w:val="21"/>
                      <w:szCs w:val="21"/>
                    </w:rPr>
                  </w:pPr>
                  <w:r>
                    <w:rPr>
                      <w:spacing w:val="-11"/>
                      <w:sz w:val="21"/>
                      <w:szCs w:val="21"/>
                    </w:rPr>
                    <w:t>日等效最大操作量/Bq</w:t>
                  </w:r>
                </w:p>
              </w:tc>
            </w:tr>
            <w:tr w14:paraId="39C37D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449" w:type="pct"/>
                  <w:vMerge w:val="restart"/>
                  <w:vAlign w:val="center"/>
                </w:tcPr>
                <w:p w14:paraId="04833A88">
                  <w:pPr>
                    <w:spacing w:line="340" w:lineRule="exact"/>
                    <w:jc w:val="center"/>
                    <w:rPr>
                      <w:rFonts w:hint="eastAsia" w:eastAsia="宋体"/>
                      <w:spacing w:val="-11"/>
                      <w:sz w:val="21"/>
                      <w:szCs w:val="21"/>
                      <w:vertAlign w:val="superscript"/>
                      <w:lang w:eastAsia="zh-CN"/>
                    </w:rPr>
                  </w:pPr>
                  <w:r>
                    <w:rPr>
                      <w:rFonts w:hint="eastAsia"/>
                      <w:spacing w:val="-11"/>
                      <w:sz w:val="21"/>
                      <w:szCs w:val="21"/>
                      <w:lang w:val="en-US" w:eastAsia="zh-CN"/>
                    </w:rPr>
                    <w:t>核医学科</w:t>
                  </w:r>
                </w:p>
              </w:tc>
              <w:tc>
                <w:tcPr>
                  <w:tcW w:w="608" w:type="pct"/>
                  <w:vAlign w:val="center"/>
                </w:tcPr>
                <w:p w14:paraId="39691ABF">
                  <w:pPr>
                    <w:spacing w:line="240" w:lineRule="auto"/>
                    <w:jc w:val="center"/>
                    <w:rPr>
                      <w:spacing w:val="-11"/>
                      <w:sz w:val="21"/>
                      <w:szCs w:val="21"/>
                    </w:rPr>
                  </w:pPr>
                  <w:r>
                    <w:rPr>
                      <w:rFonts w:hint="default" w:ascii="Times New Roman" w:hAnsi="Times New Roman" w:eastAsia="宋体" w:cs="Times New Roman"/>
                      <w:spacing w:val="-6"/>
                      <w:sz w:val="21"/>
                      <w:szCs w:val="21"/>
                      <w:vertAlign w:val="superscript"/>
                    </w:rPr>
                    <w:t>18</w:t>
                  </w:r>
                  <w:r>
                    <w:rPr>
                      <w:rFonts w:hint="default" w:ascii="Times New Roman" w:hAnsi="Times New Roman" w:eastAsia="宋体" w:cs="Times New Roman"/>
                      <w:spacing w:val="-6"/>
                      <w:sz w:val="21"/>
                      <w:szCs w:val="21"/>
                    </w:rPr>
                    <w:t>F</w:t>
                  </w:r>
                </w:p>
              </w:tc>
              <w:tc>
                <w:tcPr>
                  <w:tcW w:w="661" w:type="pct"/>
                  <w:vAlign w:val="center"/>
                </w:tcPr>
                <w:p w14:paraId="1033D2BA">
                  <w:pPr>
                    <w:keepNext w:val="0"/>
                    <w:keepLines w:val="0"/>
                    <w:widowControl/>
                    <w:suppressLineNumbers w:val="0"/>
                    <w:jc w:val="center"/>
                    <w:textAlignment w:val="bottom"/>
                    <w:rPr>
                      <w:spacing w:val="-11"/>
                      <w:sz w:val="21"/>
                      <w:szCs w:val="21"/>
                    </w:rPr>
                  </w:pPr>
                  <w:r>
                    <w:rPr>
                      <w:rFonts w:hint="default" w:ascii="Times New Roman" w:hAnsi="Times New Roman" w:eastAsia="宋体" w:cs="Times New Roman"/>
                      <w:i w:val="0"/>
                      <w:iCs w:val="0"/>
                      <w:color w:val="000000"/>
                      <w:kern w:val="0"/>
                      <w:sz w:val="21"/>
                      <w:szCs w:val="21"/>
                      <w:u w:val="none"/>
                      <w:lang w:val="en-US" w:eastAsia="zh-CN" w:bidi="ar"/>
                    </w:rPr>
                    <w:t>1.11E+10</w:t>
                  </w:r>
                </w:p>
              </w:tc>
              <w:tc>
                <w:tcPr>
                  <w:tcW w:w="432" w:type="pct"/>
                  <w:vAlign w:val="center"/>
                </w:tcPr>
                <w:p w14:paraId="2F27EC08">
                  <w:pPr>
                    <w:spacing w:line="340" w:lineRule="exact"/>
                    <w:jc w:val="center"/>
                    <w:rPr>
                      <w:spacing w:val="-11"/>
                      <w:sz w:val="21"/>
                      <w:szCs w:val="21"/>
                    </w:rPr>
                  </w:pPr>
                  <w:r>
                    <w:rPr>
                      <w:bCs/>
                      <w:spacing w:val="-11"/>
                      <w:sz w:val="21"/>
                      <w:szCs w:val="21"/>
                    </w:rPr>
                    <w:t>低毒</w:t>
                  </w:r>
                </w:p>
              </w:tc>
              <w:tc>
                <w:tcPr>
                  <w:tcW w:w="555" w:type="pct"/>
                  <w:vAlign w:val="center"/>
                </w:tcPr>
                <w:p w14:paraId="2996CD2B">
                  <w:pPr>
                    <w:spacing w:line="340" w:lineRule="exact"/>
                    <w:jc w:val="center"/>
                    <w:rPr>
                      <w:spacing w:val="-11"/>
                      <w:sz w:val="21"/>
                      <w:szCs w:val="21"/>
                    </w:rPr>
                  </w:pPr>
                  <w:r>
                    <w:rPr>
                      <w:spacing w:val="-11"/>
                      <w:sz w:val="21"/>
                      <w:szCs w:val="21"/>
                    </w:rPr>
                    <w:t>0.01</w:t>
                  </w:r>
                </w:p>
              </w:tc>
              <w:tc>
                <w:tcPr>
                  <w:tcW w:w="449" w:type="pct"/>
                  <w:vAlign w:val="center"/>
                </w:tcPr>
                <w:p w14:paraId="1949B16E">
                  <w:pPr>
                    <w:spacing w:line="340" w:lineRule="exact"/>
                    <w:jc w:val="center"/>
                    <w:rPr>
                      <w:spacing w:val="-11"/>
                      <w:sz w:val="21"/>
                      <w:szCs w:val="21"/>
                    </w:rPr>
                  </w:pPr>
                  <w:r>
                    <w:rPr>
                      <w:spacing w:val="-11"/>
                      <w:sz w:val="21"/>
                      <w:szCs w:val="21"/>
                    </w:rPr>
                    <w:t>液态</w:t>
                  </w:r>
                </w:p>
              </w:tc>
              <w:tc>
                <w:tcPr>
                  <w:tcW w:w="683" w:type="pct"/>
                  <w:vAlign w:val="center"/>
                </w:tcPr>
                <w:p w14:paraId="3B289563">
                  <w:pPr>
                    <w:spacing w:line="340" w:lineRule="exact"/>
                    <w:jc w:val="center"/>
                    <w:rPr>
                      <w:spacing w:val="-11"/>
                      <w:sz w:val="21"/>
                      <w:szCs w:val="21"/>
                    </w:rPr>
                  </w:pPr>
                  <w:r>
                    <w:rPr>
                      <w:rFonts w:hint="eastAsia"/>
                      <w:spacing w:val="-11"/>
                      <w:sz w:val="21"/>
                      <w:szCs w:val="21"/>
                      <w:lang w:val="en-US" w:eastAsia="zh-CN"/>
                    </w:rPr>
                    <w:t>很</w:t>
                  </w:r>
                  <w:r>
                    <w:rPr>
                      <w:spacing w:val="-11"/>
                      <w:sz w:val="21"/>
                      <w:szCs w:val="21"/>
                    </w:rPr>
                    <w:t>简单操作</w:t>
                  </w:r>
                </w:p>
              </w:tc>
              <w:tc>
                <w:tcPr>
                  <w:tcW w:w="479" w:type="pct"/>
                  <w:vAlign w:val="center"/>
                </w:tcPr>
                <w:p w14:paraId="1EF7DB4C">
                  <w:pPr>
                    <w:spacing w:line="340" w:lineRule="exact"/>
                    <w:jc w:val="center"/>
                    <w:rPr>
                      <w:rFonts w:hint="eastAsia" w:eastAsia="宋体"/>
                      <w:spacing w:val="-11"/>
                      <w:sz w:val="21"/>
                      <w:szCs w:val="21"/>
                      <w:lang w:val="en-US" w:eastAsia="zh-CN"/>
                    </w:rPr>
                  </w:pPr>
                  <w:r>
                    <w:rPr>
                      <w:spacing w:val="-11"/>
                      <w:sz w:val="21"/>
                      <w:szCs w:val="21"/>
                    </w:rPr>
                    <w:t>1</w:t>
                  </w:r>
                  <w:r>
                    <w:rPr>
                      <w:rFonts w:hint="eastAsia"/>
                      <w:spacing w:val="-11"/>
                      <w:sz w:val="21"/>
                      <w:szCs w:val="21"/>
                      <w:lang w:val="en-US" w:eastAsia="zh-CN"/>
                    </w:rPr>
                    <w:t>0</w:t>
                  </w:r>
                </w:p>
              </w:tc>
              <w:tc>
                <w:tcPr>
                  <w:tcW w:w="680" w:type="pct"/>
                  <w:shd w:val="clear" w:color="auto" w:fill="auto"/>
                  <w:vAlign w:val="center"/>
                </w:tcPr>
                <w:p w14:paraId="25A4AE67">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1.11E+</w:t>
                  </w:r>
                  <w:r>
                    <w:rPr>
                      <w:rFonts w:hint="eastAsia" w:ascii="Times New Roman" w:hAnsi="Times New Roman" w:eastAsia="宋体" w:cs="Times New Roman"/>
                      <w:i w:val="0"/>
                      <w:iCs w:val="0"/>
                      <w:color w:val="000000"/>
                      <w:kern w:val="0"/>
                      <w:sz w:val="21"/>
                      <w:szCs w:val="21"/>
                      <w:u w:val="none"/>
                      <w:lang w:val="en-US" w:eastAsia="zh-CN" w:bidi="ar"/>
                    </w:rPr>
                    <w:t>07</w:t>
                  </w:r>
                </w:p>
              </w:tc>
            </w:tr>
            <w:tr w14:paraId="6199F8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49" w:type="pct"/>
                  <w:vMerge w:val="continue"/>
                  <w:vAlign w:val="center"/>
                </w:tcPr>
                <w:p w14:paraId="1BAB1C03">
                  <w:pPr>
                    <w:spacing w:line="340" w:lineRule="exact"/>
                    <w:jc w:val="center"/>
                    <w:rPr>
                      <w:spacing w:val="-11"/>
                      <w:sz w:val="21"/>
                      <w:szCs w:val="21"/>
                      <w:vertAlign w:val="superscript"/>
                    </w:rPr>
                  </w:pPr>
                </w:p>
              </w:tc>
              <w:tc>
                <w:tcPr>
                  <w:tcW w:w="608" w:type="pct"/>
                  <w:vAlign w:val="center"/>
                </w:tcPr>
                <w:p w14:paraId="0E5E708A">
                  <w:pPr>
                    <w:spacing w:line="240" w:lineRule="auto"/>
                    <w:jc w:val="center"/>
                    <w:rPr>
                      <w:spacing w:val="-11"/>
                      <w:sz w:val="21"/>
                      <w:szCs w:val="21"/>
                    </w:rPr>
                  </w:pPr>
                  <w:r>
                    <w:rPr>
                      <w:rFonts w:hint="default" w:ascii="Times New Roman" w:hAnsi="Times New Roman" w:eastAsia="宋体" w:cs="Times New Roman"/>
                      <w:spacing w:val="-6"/>
                      <w:sz w:val="21"/>
                      <w:szCs w:val="21"/>
                      <w:vertAlign w:val="superscript"/>
                    </w:rPr>
                    <w:t>68</w:t>
                  </w:r>
                  <w:r>
                    <w:rPr>
                      <w:rFonts w:hint="default" w:ascii="Times New Roman" w:hAnsi="Times New Roman" w:eastAsia="宋体" w:cs="Times New Roman"/>
                      <w:spacing w:val="-6"/>
                      <w:sz w:val="21"/>
                      <w:szCs w:val="21"/>
                    </w:rPr>
                    <w:t>Ga</w:t>
                  </w:r>
                </w:p>
              </w:tc>
              <w:tc>
                <w:tcPr>
                  <w:tcW w:w="661" w:type="pct"/>
                  <w:vAlign w:val="center"/>
                </w:tcPr>
                <w:p w14:paraId="5810229E">
                  <w:pPr>
                    <w:keepNext w:val="0"/>
                    <w:keepLines w:val="0"/>
                    <w:widowControl/>
                    <w:suppressLineNumbers w:val="0"/>
                    <w:jc w:val="center"/>
                    <w:textAlignment w:val="bottom"/>
                    <w:rPr>
                      <w:spacing w:val="-11"/>
                      <w:sz w:val="21"/>
                      <w:szCs w:val="21"/>
                    </w:rPr>
                  </w:pPr>
                  <w:r>
                    <w:rPr>
                      <w:rFonts w:hint="default" w:ascii="Times New Roman" w:hAnsi="Times New Roman" w:eastAsia="宋体" w:cs="Times New Roman"/>
                      <w:i w:val="0"/>
                      <w:iCs w:val="0"/>
                      <w:color w:val="000000"/>
                      <w:kern w:val="0"/>
                      <w:sz w:val="21"/>
                      <w:szCs w:val="21"/>
                      <w:u w:val="none"/>
                      <w:lang w:val="en-US" w:eastAsia="zh-CN" w:bidi="ar"/>
                    </w:rPr>
                    <w:t>1.85E+09</w:t>
                  </w:r>
                </w:p>
              </w:tc>
              <w:tc>
                <w:tcPr>
                  <w:tcW w:w="432" w:type="pct"/>
                  <w:vAlign w:val="center"/>
                </w:tcPr>
                <w:p w14:paraId="7E0CE1FC">
                  <w:pPr>
                    <w:spacing w:line="340" w:lineRule="exact"/>
                    <w:jc w:val="center"/>
                    <w:rPr>
                      <w:bCs/>
                      <w:spacing w:val="-11"/>
                      <w:sz w:val="21"/>
                      <w:szCs w:val="21"/>
                    </w:rPr>
                  </w:pPr>
                  <w:r>
                    <w:rPr>
                      <w:bCs/>
                      <w:spacing w:val="-11"/>
                      <w:sz w:val="21"/>
                      <w:szCs w:val="21"/>
                    </w:rPr>
                    <w:t>低毒</w:t>
                  </w:r>
                </w:p>
              </w:tc>
              <w:tc>
                <w:tcPr>
                  <w:tcW w:w="555" w:type="pct"/>
                  <w:vAlign w:val="center"/>
                </w:tcPr>
                <w:p w14:paraId="4F46718A">
                  <w:pPr>
                    <w:spacing w:line="340" w:lineRule="exact"/>
                    <w:jc w:val="center"/>
                    <w:rPr>
                      <w:spacing w:val="-11"/>
                      <w:sz w:val="21"/>
                      <w:szCs w:val="21"/>
                    </w:rPr>
                  </w:pPr>
                  <w:r>
                    <w:rPr>
                      <w:spacing w:val="-11"/>
                      <w:sz w:val="21"/>
                      <w:szCs w:val="21"/>
                    </w:rPr>
                    <w:t>0.01</w:t>
                  </w:r>
                </w:p>
              </w:tc>
              <w:tc>
                <w:tcPr>
                  <w:tcW w:w="449" w:type="pct"/>
                  <w:vAlign w:val="center"/>
                </w:tcPr>
                <w:p w14:paraId="5C7E91AC">
                  <w:pPr>
                    <w:spacing w:line="340" w:lineRule="exact"/>
                    <w:jc w:val="center"/>
                    <w:rPr>
                      <w:spacing w:val="-11"/>
                      <w:sz w:val="21"/>
                      <w:szCs w:val="21"/>
                    </w:rPr>
                  </w:pPr>
                  <w:r>
                    <w:rPr>
                      <w:spacing w:val="-11"/>
                      <w:sz w:val="21"/>
                      <w:szCs w:val="21"/>
                    </w:rPr>
                    <w:t>液态</w:t>
                  </w:r>
                </w:p>
              </w:tc>
              <w:tc>
                <w:tcPr>
                  <w:tcW w:w="683" w:type="pct"/>
                  <w:vAlign w:val="center"/>
                </w:tcPr>
                <w:p w14:paraId="7EA76BD1">
                  <w:pPr>
                    <w:spacing w:line="340" w:lineRule="exact"/>
                    <w:jc w:val="center"/>
                    <w:rPr>
                      <w:spacing w:val="-11"/>
                      <w:sz w:val="21"/>
                      <w:szCs w:val="21"/>
                    </w:rPr>
                  </w:pPr>
                  <w:r>
                    <w:rPr>
                      <w:spacing w:val="-11"/>
                      <w:sz w:val="21"/>
                      <w:szCs w:val="21"/>
                    </w:rPr>
                    <w:t>简单操作</w:t>
                  </w:r>
                </w:p>
              </w:tc>
              <w:tc>
                <w:tcPr>
                  <w:tcW w:w="479" w:type="pct"/>
                  <w:vAlign w:val="center"/>
                </w:tcPr>
                <w:p w14:paraId="77E0262F">
                  <w:pPr>
                    <w:spacing w:line="340" w:lineRule="exact"/>
                    <w:jc w:val="center"/>
                    <w:rPr>
                      <w:spacing w:val="-11"/>
                      <w:sz w:val="21"/>
                      <w:szCs w:val="21"/>
                    </w:rPr>
                  </w:pPr>
                  <w:r>
                    <w:rPr>
                      <w:spacing w:val="-11"/>
                      <w:sz w:val="21"/>
                      <w:szCs w:val="21"/>
                    </w:rPr>
                    <w:t>1</w:t>
                  </w:r>
                </w:p>
              </w:tc>
              <w:tc>
                <w:tcPr>
                  <w:tcW w:w="680" w:type="pct"/>
                  <w:shd w:val="clear" w:color="auto" w:fill="auto"/>
                  <w:vAlign w:val="center"/>
                </w:tcPr>
                <w:p w14:paraId="6D25E39D">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1.85E+0</w:t>
                  </w:r>
                  <w:r>
                    <w:rPr>
                      <w:rFonts w:hint="eastAsia" w:ascii="Times New Roman" w:hAnsi="Times New Roman" w:eastAsia="宋体" w:cs="Times New Roman"/>
                      <w:i w:val="0"/>
                      <w:iCs w:val="0"/>
                      <w:color w:val="000000"/>
                      <w:kern w:val="0"/>
                      <w:sz w:val="21"/>
                      <w:szCs w:val="21"/>
                      <w:u w:val="none"/>
                      <w:lang w:val="en-US" w:eastAsia="zh-CN" w:bidi="ar"/>
                    </w:rPr>
                    <w:t>7</w:t>
                  </w:r>
                </w:p>
              </w:tc>
            </w:tr>
            <w:tr w14:paraId="06C9E8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449" w:type="pct"/>
                  <w:vMerge w:val="continue"/>
                  <w:vAlign w:val="center"/>
                </w:tcPr>
                <w:p w14:paraId="6AE6857A">
                  <w:pPr>
                    <w:spacing w:line="340" w:lineRule="exact"/>
                    <w:jc w:val="center"/>
                    <w:rPr>
                      <w:spacing w:val="-11"/>
                      <w:sz w:val="21"/>
                      <w:szCs w:val="21"/>
                      <w:vertAlign w:val="superscript"/>
                    </w:rPr>
                  </w:pPr>
                </w:p>
              </w:tc>
              <w:tc>
                <w:tcPr>
                  <w:tcW w:w="608" w:type="pct"/>
                  <w:vAlign w:val="center"/>
                </w:tcPr>
                <w:p w14:paraId="289B77BB">
                  <w:pPr>
                    <w:spacing w:line="240" w:lineRule="auto"/>
                    <w:jc w:val="center"/>
                    <w:rPr>
                      <w:spacing w:val="-11"/>
                      <w:sz w:val="21"/>
                      <w:szCs w:val="21"/>
                    </w:rPr>
                  </w:pPr>
                  <w:r>
                    <w:rPr>
                      <w:rFonts w:hint="default" w:ascii="Times New Roman" w:hAnsi="Times New Roman" w:eastAsia="宋体" w:cs="Times New Roman"/>
                      <w:bCs/>
                      <w:spacing w:val="-6"/>
                      <w:sz w:val="21"/>
                      <w:szCs w:val="21"/>
                      <w:vertAlign w:val="superscript"/>
                      <w:lang w:bidi="ar"/>
                    </w:rPr>
                    <w:t>99m</w:t>
                  </w:r>
                  <w:r>
                    <w:rPr>
                      <w:rFonts w:hint="default" w:ascii="Times New Roman" w:hAnsi="Times New Roman" w:eastAsia="宋体" w:cs="Times New Roman"/>
                      <w:bCs/>
                      <w:spacing w:val="-6"/>
                      <w:sz w:val="21"/>
                      <w:szCs w:val="21"/>
                      <w:lang w:bidi="ar"/>
                    </w:rPr>
                    <w:t>Tc</w:t>
                  </w:r>
                </w:p>
              </w:tc>
              <w:tc>
                <w:tcPr>
                  <w:tcW w:w="661" w:type="pct"/>
                  <w:vAlign w:val="center"/>
                </w:tcPr>
                <w:p w14:paraId="6F4D15AD">
                  <w:pPr>
                    <w:keepNext w:val="0"/>
                    <w:keepLines w:val="0"/>
                    <w:widowControl/>
                    <w:suppressLineNumbers w:val="0"/>
                    <w:jc w:val="center"/>
                    <w:textAlignment w:val="bottom"/>
                    <w:rPr>
                      <w:spacing w:val="-11"/>
                      <w:sz w:val="21"/>
                      <w:szCs w:val="21"/>
                    </w:rPr>
                  </w:pPr>
                  <w:r>
                    <w:rPr>
                      <w:rFonts w:hint="default" w:ascii="Times New Roman" w:hAnsi="Times New Roman" w:eastAsia="宋体" w:cs="Times New Roman"/>
                      <w:i w:val="0"/>
                      <w:iCs w:val="0"/>
                      <w:color w:val="000000"/>
                      <w:kern w:val="0"/>
                      <w:sz w:val="21"/>
                      <w:szCs w:val="21"/>
                      <w:u w:val="none"/>
                      <w:lang w:val="en-US" w:eastAsia="zh-CN" w:bidi="ar"/>
                    </w:rPr>
                    <w:t>2.22E+10</w:t>
                  </w:r>
                </w:p>
              </w:tc>
              <w:tc>
                <w:tcPr>
                  <w:tcW w:w="432" w:type="pct"/>
                  <w:vAlign w:val="center"/>
                </w:tcPr>
                <w:p w14:paraId="7B457864">
                  <w:pPr>
                    <w:spacing w:line="340" w:lineRule="exact"/>
                    <w:jc w:val="center"/>
                    <w:rPr>
                      <w:bCs/>
                      <w:spacing w:val="-11"/>
                      <w:sz w:val="21"/>
                      <w:szCs w:val="21"/>
                    </w:rPr>
                  </w:pPr>
                  <w:r>
                    <w:rPr>
                      <w:bCs/>
                      <w:spacing w:val="-11"/>
                      <w:sz w:val="21"/>
                      <w:szCs w:val="21"/>
                    </w:rPr>
                    <w:t>低毒</w:t>
                  </w:r>
                </w:p>
              </w:tc>
              <w:tc>
                <w:tcPr>
                  <w:tcW w:w="555" w:type="pct"/>
                  <w:vAlign w:val="center"/>
                </w:tcPr>
                <w:p w14:paraId="33289FEC">
                  <w:pPr>
                    <w:spacing w:line="340" w:lineRule="exact"/>
                    <w:jc w:val="center"/>
                    <w:rPr>
                      <w:spacing w:val="-11"/>
                      <w:sz w:val="21"/>
                      <w:szCs w:val="21"/>
                    </w:rPr>
                  </w:pPr>
                  <w:r>
                    <w:rPr>
                      <w:spacing w:val="-11"/>
                      <w:sz w:val="21"/>
                      <w:szCs w:val="21"/>
                    </w:rPr>
                    <w:t>0.01</w:t>
                  </w:r>
                </w:p>
              </w:tc>
              <w:tc>
                <w:tcPr>
                  <w:tcW w:w="449" w:type="pct"/>
                  <w:vAlign w:val="center"/>
                </w:tcPr>
                <w:p w14:paraId="388BE37F">
                  <w:pPr>
                    <w:spacing w:line="340" w:lineRule="exact"/>
                    <w:jc w:val="center"/>
                    <w:rPr>
                      <w:spacing w:val="-11"/>
                      <w:sz w:val="21"/>
                      <w:szCs w:val="21"/>
                    </w:rPr>
                  </w:pPr>
                  <w:r>
                    <w:rPr>
                      <w:spacing w:val="-11"/>
                      <w:sz w:val="21"/>
                      <w:szCs w:val="21"/>
                    </w:rPr>
                    <w:t>液态</w:t>
                  </w:r>
                </w:p>
              </w:tc>
              <w:tc>
                <w:tcPr>
                  <w:tcW w:w="683" w:type="pct"/>
                  <w:vAlign w:val="center"/>
                </w:tcPr>
                <w:p w14:paraId="69A352E8">
                  <w:pPr>
                    <w:spacing w:line="340" w:lineRule="exact"/>
                    <w:jc w:val="center"/>
                    <w:rPr>
                      <w:spacing w:val="-11"/>
                      <w:sz w:val="21"/>
                      <w:szCs w:val="21"/>
                    </w:rPr>
                  </w:pPr>
                  <w:r>
                    <w:rPr>
                      <w:rFonts w:hint="eastAsia"/>
                      <w:spacing w:val="-11"/>
                      <w:sz w:val="21"/>
                      <w:szCs w:val="21"/>
                      <w:lang w:val="en-US" w:eastAsia="zh-CN"/>
                    </w:rPr>
                    <w:t>很</w:t>
                  </w:r>
                  <w:r>
                    <w:rPr>
                      <w:spacing w:val="-11"/>
                      <w:sz w:val="21"/>
                      <w:szCs w:val="21"/>
                    </w:rPr>
                    <w:t>简单操作</w:t>
                  </w:r>
                </w:p>
              </w:tc>
              <w:tc>
                <w:tcPr>
                  <w:tcW w:w="479" w:type="pct"/>
                  <w:vAlign w:val="center"/>
                </w:tcPr>
                <w:p w14:paraId="39B06AF8">
                  <w:pPr>
                    <w:spacing w:line="340" w:lineRule="exact"/>
                    <w:jc w:val="center"/>
                    <w:rPr>
                      <w:rFonts w:hint="eastAsia" w:eastAsia="宋体"/>
                      <w:spacing w:val="-11"/>
                      <w:sz w:val="21"/>
                      <w:szCs w:val="21"/>
                      <w:lang w:val="en-US" w:eastAsia="zh-CN"/>
                    </w:rPr>
                  </w:pPr>
                  <w:r>
                    <w:rPr>
                      <w:spacing w:val="-11"/>
                      <w:sz w:val="21"/>
                      <w:szCs w:val="21"/>
                    </w:rPr>
                    <w:t>1</w:t>
                  </w:r>
                  <w:r>
                    <w:rPr>
                      <w:rFonts w:hint="eastAsia"/>
                      <w:spacing w:val="-11"/>
                      <w:sz w:val="21"/>
                      <w:szCs w:val="21"/>
                      <w:lang w:val="en-US" w:eastAsia="zh-CN"/>
                    </w:rPr>
                    <w:t>0</w:t>
                  </w:r>
                </w:p>
              </w:tc>
              <w:tc>
                <w:tcPr>
                  <w:tcW w:w="680" w:type="pct"/>
                  <w:shd w:val="clear" w:color="auto" w:fill="auto"/>
                  <w:vAlign w:val="center"/>
                </w:tcPr>
                <w:p w14:paraId="40047A05">
                  <w:pPr>
                    <w:keepNext w:val="0"/>
                    <w:keepLines w:val="0"/>
                    <w:widowControl/>
                    <w:suppressLineNumbers w:val="0"/>
                    <w:jc w:val="center"/>
                    <w:textAlignment w:val="bottom"/>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2.22E+</w:t>
                  </w:r>
                  <w:r>
                    <w:rPr>
                      <w:rFonts w:hint="eastAsia" w:ascii="Times New Roman" w:hAnsi="Times New Roman" w:eastAsia="宋体" w:cs="Times New Roman"/>
                      <w:i w:val="0"/>
                      <w:iCs w:val="0"/>
                      <w:color w:val="000000"/>
                      <w:kern w:val="0"/>
                      <w:sz w:val="21"/>
                      <w:szCs w:val="21"/>
                      <w:u w:val="none"/>
                      <w:lang w:val="en-US" w:eastAsia="zh-CN" w:bidi="ar"/>
                    </w:rPr>
                    <w:t>07</w:t>
                  </w:r>
                </w:p>
              </w:tc>
            </w:tr>
            <w:tr w14:paraId="7A44BA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Merge w:val="continue"/>
                  <w:vAlign w:val="center"/>
                </w:tcPr>
                <w:p w14:paraId="0AD863EA">
                  <w:pPr>
                    <w:spacing w:line="340" w:lineRule="exact"/>
                    <w:jc w:val="center"/>
                    <w:rPr>
                      <w:spacing w:val="-11"/>
                      <w:sz w:val="21"/>
                      <w:szCs w:val="21"/>
                      <w:vertAlign w:val="superscript"/>
                    </w:rPr>
                  </w:pPr>
                </w:p>
              </w:tc>
              <w:tc>
                <w:tcPr>
                  <w:tcW w:w="608" w:type="pct"/>
                  <w:vAlign w:val="center"/>
                </w:tcPr>
                <w:p w14:paraId="2A7DC108">
                  <w:pPr>
                    <w:spacing w:line="240" w:lineRule="auto"/>
                    <w:jc w:val="center"/>
                    <w:rPr>
                      <w:rFonts w:hint="eastAsia" w:eastAsia="宋体"/>
                      <w:spacing w:val="-11"/>
                      <w:sz w:val="21"/>
                      <w:szCs w:val="21"/>
                      <w:lang w:val="en-US" w:eastAsia="zh-CN"/>
                    </w:rPr>
                  </w:pPr>
                  <w:r>
                    <w:rPr>
                      <w:rFonts w:hint="default" w:ascii="Times New Roman" w:hAnsi="Times New Roman" w:eastAsia="宋体" w:cs="Times New Roman"/>
                      <w:spacing w:val="-6"/>
                      <w:sz w:val="21"/>
                      <w:szCs w:val="21"/>
                      <w:vertAlign w:val="superscript"/>
                    </w:rPr>
                    <w:t>131</w:t>
                  </w:r>
                  <w:r>
                    <w:rPr>
                      <w:rFonts w:hint="default" w:ascii="Times New Roman" w:hAnsi="Times New Roman" w:eastAsia="宋体" w:cs="Times New Roman"/>
                      <w:spacing w:val="-6"/>
                      <w:sz w:val="21"/>
                      <w:szCs w:val="21"/>
                    </w:rPr>
                    <w:t>I</w:t>
                  </w:r>
                  <w:r>
                    <w:rPr>
                      <w:rFonts w:hint="eastAsia" w:cs="Times New Roman"/>
                      <w:spacing w:val="-6"/>
                      <w:sz w:val="21"/>
                      <w:szCs w:val="21"/>
                      <w:lang w:val="en-US" w:eastAsia="zh-CN"/>
                    </w:rPr>
                    <w:t>甲亢</w:t>
                  </w:r>
                </w:p>
              </w:tc>
              <w:tc>
                <w:tcPr>
                  <w:tcW w:w="661" w:type="pct"/>
                  <w:vAlign w:val="center"/>
                </w:tcPr>
                <w:p w14:paraId="35630C26">
                  <w:pPr>
                    <w:keepNext w:val="0"/>
                    <w:keepLines w:val="0"/>
                    <w:widowControl/>
                    <w:suppressLineNumbers w:val="0"/>
                    <w:jc w:val="center"/>
                    <w:textAlignment w:val="bottom"/>
                    <w:rPr>
                      <w:spacing w:val="-11"/>
                      <w:sz w:val="21"/>
                      <w:szCs w:val="21"/>
                    </w:rPr>
                  </w:pPr>
                  <w:r>
                    <w:rPr>
                      <w:rFonts w:hint="default" w:ascii="Times New Roman" w:hAnsi="Times New Roman" w:eastAsia="宋体" w:cs="Times New Roman"/>
                      <w:i w:val="0"/>
                      <w:iCs w:val="0"/>
                      <w:color w:val="000000"/>
                      <w:kern w:val="0"/>
                      <w:sz w:val="21"/>
                      <w:szCs w:val="21"/>
                      <w:u w:val="none"/>
                      <w:lang w:val="en-US" w:eastAsia="zh-CN" w:bidi="ar"/>
                    </w:rPr>
                    <w:t>3.70E+09</w:t>
                  </w:r>
                </w:p>
              </w:tc>
              <w:tc>
                <w:tcPr>
                  <w:tcW w:w="432" w:type="pct"/>
                  <w:shd w:val="clear" w:color="auto" w:fill="auto"/>
                  <w:vAlign w:val="center"/>
                </w:tcPr>
                <w:p w14:paraId="33D5E925">
                  <w:pPr>
                    <w:spacing w:line="340" w:lineRule="exact"/>
                    <w:jc w:val="center"/>
                    <w:rPr>
                      <w:rFonts w:ascii="Times New Roman" w:hAnsi="Times New Roman" w:eastAsia="宋体" w:cs="Times New Roman"/>
                      <w:bCs/>
                      <w:spacing w:val="-11"/>
                      <w:sz w:val="21"/>
                      <w:szCs w:val="21"/>
                      <w:lang w:val="en-US" w:eastAsia="zh-CN" w:bidi="ar-SA"/>
                    </w:rPr>
                  </w:pPr>
                  <w:r>
                    <w:rPr>
                      <w:bCs/>
                      <w:spacing w:val="-11"/>
                      <w:sz w:val="21"/>
                      <w:szCs w:val="21"/>
                    </w:rPr>
                    <w:t>中毒</w:t>
                  </w:r>
                </w:p>
              </w:tc>
              <w:tc>
                <w:tcPr>
                  <w:tcW w:w="555" w:type="pct"/>
                  <w:shd w:val="clear" w:color="auto" w:fill="auto"/>
                  <w:vAlign w:val="center"/>
                </w:tcPr>
                <w:p w14:paraId="305DF407">
                  <w:pPr>
                    <w:spacing w:line="340" w:lineRule="exact"/>
                    <w:jc w:val="center"/>
                    <w:rPr>
                      <w:rFonts w:ascii="Times New Roman" w:hAnsi="Times New Roman" w:eastAsia="宋体" w:cs="Times New Roman"/>
                      <w:spacing w:val="-11"/>
                      <w:sz w:val="21"/>
                      <w:szCs w:val="21"/>
                      <w:lang w:val="en-US" w:eastAsia="zh-CN" w:bidi="ar-SA"/>
                    </w:rPr>
                  </w:pPr>
                  <w:r>
                    <w:rPr>
                      <w:bCs/>
                      <w:spacing w:val="-11"/>
                      <w:sz w:val="21"/>
                      <w:szCs w:val="21"/>
                    </w:rPr>
                    <w:t>0.1</w:t>
                  </w:r>
                </w:p>
              </w:tc>
              <w:tc>
                <w:tcPr>
                  <w:tcW w:w="449" w:type="pct"/>
                  <w:vAlign w:val="center"/>
                </w:tcPr>
                <w:p w14:paraId="1F67843D">
                  <w:pPr>
                    <w:spacing w:line="340" w:lineRule="exact"/>
                    <w:jc w:val="center"/>
                    <w:rPr>
                      <w:spacing w:val="-11"/>
                      <w:sz w:val="21"/>
                      <w:szCs w:val="21"/>
                    </w:rPr>
                  </w:pPr>
                  <w:r>
                    <w:rPr>
                      <w:spacing w:val="-11"/>
                      <w:sz w:val="21"/>
                      <w:szCs w:val="21"/>
                    </w:rPr>
                    <w:t>液态</w:t>
                  </w:r>
                </w:p>
              </w:tc>
              <w:tc>
                <w:tcPr>
                  <w:tcW w:w="683" w:type="pct"/>
                  <w:vAlign w:val="center"/>
                </w:tcPr>
                <w:p w14:paraId="6148EDE0">
                  <w:pPr>
                    <w:spacing w:line="340" w:lineRule="exact"/>
                    <w:jc w:val="center"/>
                    <w:rPr>
                      <w:spacing w:val="-11"/>
                      <w:sz w:val="21"/>
                      <w:szCs w:val="21"/>
                    </w:rPr>
                  </w:pPr>
                  <w:r>
                    <w:rPr>
                      <w:spacing w:val="-11"/>
                      <w:sz w:val="21"/>
                      <w:szCs w:val="21"/>
                    </w:rPr>
                    <w:t>简单操作</w:t>
                  </w:r>
                </w:p>
              </w:tc>
              <w:tc>
                <w:tcPr>
                  <w:tcW w:w="479" w:type="pct"/>
                  <w:vAlign w:val="center"/>
                </w:tcPr>
                <w:p w14:paraId="45DAA2C9">
                  <w:pPr>
                    <w:spacing w:line="340" w:lineRule="exact"/>
                    <w:jc w:val="center"/>
                    <w:rPr>
                      <w:spacing w:val="-11"/>
                      <w:sz w:val="21"/>
                      <w:szCs w:val="21"/>
                    </w:rPr>
                  </w:pPr>
                  <w:r>
                    <w:rPr>
                      <w:spacing w:val="-11"/>
                      <w:sz w:val="21"/>
                      <w:szCs w:val="21"/>
                    </w:rPr>
                    <w:t>1</w:t>
                  </w:r>
                </w:p>
              </w:tc>
              <w:tc>
                <w:tcPr>
                  <w:tcW w:w="680" w:type="pct"/>
                  <w:shd w:val="clear" w:color="auto" w:fill="auto"/>
                  <w:vAlign w:val="center"/>
                </w:tcPr>
                <w:p w14:paraId="6FA3CEE3">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3.70E+0</w:t>
                  </w:r>
                  <w:r>
                    <w:rPr>
                      <w:rFonts w:hint="eastAsia" w:ascii="Times New Roman" w:hAnsi="Times New Roman" w:eastAsia="宋体" w:cs="Times New Roman"/>
                      <w:i w:val="0"/>
                      <w:iCs w:val="0"/>
                      <w:color w:val="000000"/>
                      <w:kern w:val="0"/>
                      <w:sz w:val="21"/>
                      <w:szCs w:val="21"/>
                      <w:u w:val="none"/>
                      <w:lang w:val="en-US" w:eastAsia="zh-CN" w:bidi="ar"/>
                    </w:rPr>
                    <w:t>8</w:t>
                  </w:r>
                </w:p>
              </w:tc>
            </w:tr>
            <w:tr w14:paraId="120CB1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Merge w:val="continue"/>
                  <w:vAlign w:val="center"/>
                </w:tcPr>
                <w:p w14:paraId="57DA97C8">
                  <w:pPr>
                    <w:spacing w:line="340" w:lineRule="exact"/>
                    <w:jc w:val="center"/>
                    <w:rPr>
                      <w:spacing w:val="-11"/>
                      <w:sz w:val="21"/>
                      <w:szCs w:val="21"/>
                      <w:vertAlign w:val="superscript"/>
                    </w:rPr>
                  </w:pPr>
                </w:p>
              </w:tc>
              <w:tc>
                <w:tcPr>
                  <w:tcW w:w="608" w:type="pct"/>
                  <w:shd w:val="clear" w:color="auto" w:fill="auto"/>
                  <w:vAlign w:val="center"/>
                </w:tcPr>
                <w:p w14:paraId="431ECDD6">
                  <w:pPr>
                    <w:spacing w:line="240" w:lineRule="auto"/>
                    <w:jc w:val="center"/>
                    <w:rPr>
                      <w:rFonts w:hint="eastAsia" w:ascii="Times New Roman" w:hAnsi="Times New Roman" w:eastAsia="宋体" w:cs="Times New Roman"/>
                      <w:spacing w:val="-11"/>
                      <w:sz w:val="21"/>
                      <w:szCs w:val="21"/>
                      <w:lang w:val="en-US" w:eastAsia="zh-CN" w:bidi="ar-SA"/>
                    </w:rPr>
                  </w:pPr>
                  <w:r>
                    <w:rPr>
                      <w:rFonts w:hint="default" w:ascii="Times New Roman" w:hAnsi="Times New Roman" w:eastAsia="宋体" w:cs="Times New Roman"/>
                      <w:spacing w:val="-6"/>
                      <w:sz w:val="21"/>
                      <w:szCs w:val="21"/>
                      <w:vertAlign w:val="superscript"/>
                    </w:rPr>
                    <w:t>131</w:t>
                  </w:r>
                  <w:r>
                    <w:rPr>
                      <w:rFonts w:hint="default" w:ascii="Times New Roman" w:hAnsi="Times New Roman" w:eastAsia="宋体" w:cs="Times New Roman"/>
                      <w:spacing w:val="-6"/>
                      <w:sz w:val="21"/>
                      <w:szCs w:val="21"/>
                    </w:rPr>
                    <w:t>I</w:t>
                  </w:r>
                  <w:r>
                    <w:rPr>
                      <w:rFonts w:hint="eastAsia" w:cs="Times New Roman"/>
                      <w:spacing w:val="-6"/>
                      <w:sz w:val="21"/>
                      <w:szCs w:val="21"/>
                      <w:lang w:val="en-US" w:eastAsia="zh-CN"/>
                    </w:rPr>
                    <w:t>甲吸</w:t>
                  </w:r>
                </w:p>
              </w:tc>
              <w:tc>
                <w:tcPr>
                  <w:tcW w:w="661" w:type="pct"/>
                  <w:shd w:val="clear" w:color="auto" w:fill="auto"/>
                  <w:vAlign w:val="center"/>
                </w:tcPr>
                <w:p w14:paraId="78EFD3E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2.78E+06</w:t>
                  </w:r>
                </w:p>
              </w:tc>
              <w:tc>
                <w:tcPr>
                  <w:tcW w:w="432" w:type="pct"/>
                  <w:shd w:val="clear" w:color="auto" w:fill="auto"/>
                  <w:vAlign w:val="center"/>
                </w:tcPr>
                <w:p w14:paraId="013568CD">
                  <w:pPr>
                    <w:spacing w:line="340" w:lineRule="exact"/>
                    <w:jc w:val="center"/>
                    <w:rPr>
                      <w:rFonts w:ascii="Times New Roman" w:hAnsi="Times New Roman" w:eastAsia="宋体" w:cs="Times New Roman"/>
                      <w:bCs/>
                      <w:spacing w:val="-11"/>
                      <w:sz w:val="21"/>
                      <w:szCs w:val="21"/>
                      <w:lang w:val="en-US" w:eastAsia="zh-CN" w:bidi="ar-SA"/>
                    </w:rPr>
                  </w:pPr>
                  <w:r>
                    <w:rPr>
                      <w:bCs/>
                      <w:spacing w:val="-11"/>
                      <w:sz w:val="21"/>
                      <w:szCs w:val="21"/>
                    </w:rPr>
                    <w:t>中毒</w:t>
                  </w:r>
                </w:p>
              </w:tc>
              <w:tc>
                <w:tcPr>
                  <w:tcW w:w="555" w:type="pct"/>
                  <w:shd w:val="clear" w:color="auto" w:fill="auto"/>
                  <w:vAlign w:val="center"/>
                </w:tcPr>
                <w:p w14:paraId="37659220">
                  <w:pPr>
                    <w:spacing w:line="340" w:lineRule="exact"/>
                    <w:jc w:val="center"/>
                    <w:rPr>
                      <w:rFonts w:ascii="Times New Roman" w:hAnsi="Times New Roman" w:eastAsia="宋体" w:cs="Times New Roman"/>
                      <w:spacing w:val="-11"/>
                      <w:sz w:val="21"/>
                      <w:szCs w:val="21"/>
                      <w:lang w:val="en-US" w:eastAsia="zh-CN" w:bidi="ar-SA"/>
                    </w:rPr>
                  </w:pPr>
                  <w:r>
                    <w:rPr>
                      <w:bCs/>
                      <w:spacing w:val="-11"/>
                      <w:sz w:val="21"/>
                      <w:szCs w:val="21"/>
                    </w:rPr>
                    <w:t>0.1</w:t>
                  </w:r>
                </w:p>
              </w:tc>
              <w:tc>
                <w:tcPr>
                  <w:tcW w:w="449" w:type="pct"/>
                  <w:shd w:val="clear" w:color="auto" w:fill="auto"/>
                  <w:vAlign w:val="center"/>
                </w:tcPr>
                <w:p w14:paraId="776F33B3">
                  <w:pPr>
                    <w:spacing w:line="340" w:lineRule="exact"/>
                    <w:jc w:val="center"/>
                    <w:rPr>
                      <w:rFonts w:ascii="Times New Roman" w:hAnsi="Times New Roman" w:eastAsia="宋体" w:cs="Times New Roman"/>
                      <w:spacing w:val="-11"/>
                      <w:sz w:val="21"/>
                      <w:szCs w:val="21"/>
                      <w:lang w:val="en-US" w:eastAsia="zh-CN" w:bidi="ar-SA"/>
                    </w:rPr>
                  </w:pPr>
                  <w:r>
                    <w:rPr>
                      <w:spacing w:val="-11"/>
                      <w:sz w:val="21"/>
                      <w:szCs w:val="21"/>
                    </w:rPr>
                    <w:t>液态</w:t>
                  </w:r>
                </w:p>
              </w:tc>
              <w:tc>
                <w:tcPr>
                  <w:tcW w:w="683" w:type="pct"/>
                  <w:shd w:val="clear" w:color="auto" w:fill="auto"/>
                  <w:vAlign w:val="center"/>
                </w:tcPr>
                <w:p w14:paraId="5356F17E">
                  <w:pPr>
                    <w:spacing w:line="340" w:lineRule="exact"/>
                    <w:jc w:val="center"/>
                    <w:rPr>
                      <w:rFonts w:ascii="Times New Roman" w:hAnsi="Times New Roman" w:eastAsia="宋体" w:cs="Times New Roman"/>
                      <w:spacing w:val="-11"/>
                      <w:sz w:val="21"/>
                      <w:szCs w:val="21"/>
                      <w:lang w:val="en-US" w:eastAsia="zh-CN" w:bidi="ar-SA"/>
                    </w:rPr>
                  </w:pPr>
                  <w:r>
                    <w:rPr>
                      <w:spacing w:val="-11"/>
                      <w:sz w:val="21"/>
                      <w:szCs w:val="21"/>
                    </w:rPr>
                    <w:t>简单操作</w:t>
                  </w:r>
                </w:p>
              </w:tc>
              <w:tc>
                <w:tcPr>
                  <w:tcW w:w="479" w:type="pct"/>
                  <w:shd w:val="clear" w:color="auto" w:fill="auto"/>
                  <w:vAlign w:val="center"/>
                </w:tcPr>
                <w:p w14:paraId="5139B2D6">
                  <w:pPr>
                    <w:spacing w:line="340" w:lineRule="exact"/>
                    <w:jc w:val="center"/>
                    <w:rPr>
                      <w:rFonts w:ascii="Times New Roman" w:hAnsi="Times New Roman" w:eastAsia="宋体" w:cs="Times New Roman"/>
                      <w:spacing w:val="-11"/>
                      <w:sz w:val="21"/>
                      <w:szCs w:val="21"/>
                      <w:lang w:val="en-US" w:eastAsia="zh-CN" w:bidi="ar-SA"/>
                    </w:rPr>
                  </w:pPr>
                  <w:r>
                    <w:rPr>
                      <w:spacing w:val="-11"/>
                      <w:sz w:val="21"/>
                      <w:szCs w:val="21"/>
                    </w:rPr>
                    <w:t>1</w:t>
                  </w:r>
                </w:p>
              </w:tc>
              <w:tc>
                <w:tcPr>
                  <w:tcW w:w="680" w:type="pct"/>
                  <w:shd w:val="clear" w:color="auto" w:fill="auto"/>
                  <w:vAlign w:val="center"/>
                </w:tcPr>
                <w:p w14:paraId="35ABF514">
                  <w:pPr>
                    <w:keepNext w:val="0"/>
                    <w:keepLines w:val="0"/>
                    <w:widowControl/>
                    <w:suppressLineNumbers w:val="0"/>
                    <w:jc w:val="center"/>
                    <w:textAlignment w:val="bottom"/>
                    <w:rPr>
                      <w:rFonts w:hint="default" w:ascii="Times New Roman" w:hAnsi="Times New Roman" w:eastAsia="宋体" w:cs="Times New Roman"/>
                      <w:spacing w:val="-11"/>
                      <w:sz w:val="21"/>
                      <w:szCs w:val="21"/>
                      <w:lang w:val="en-US" w:eastAsia="zh-CN" w:bidi="ar-SA"/>
                    </w:rPr>
                  </w:pPr>
                  <w:r>
                    <w:rPr>
                      <w:rFonts w:hint="eastAsia" w:cs="Times New Roman"/>
                      <w:i w:val="0"/>
                      <w:iCs w:val="0"/>
                      <w:color w:val="000000"/>
                      <w:kern w:val="0"/>
                      <w:sz w:val="21"/>
                      <w:szCs w:val="21"/>
                      <w:u w:val="none"/>
                      <w:lang w:val="en-US" w:eastAsia="zh-CN" w:bidi="ar"/>
                    </w:rPr>
                    <w:t>2.78</w:t>
                  </w:r>
                  <w:r>
                    <w:rPr>
                      <w:rFonts w:hint="default" w:ascii="Times New Roman" w:hAnsi="Times New Roman" w:eastAsia="宋体" w:cs="Times New Roman"/>
                      <w:i w:val="0"/>
                      <w:iCs w:val="0"/>
                      <w:color w:val="000000"/>
                      <w:kern w:val="0"/>
                      <w:sz w:val="21"/>
                      <w:szCs w:val="21"/>
                      <w:u w:val="none"/>
                      <w:lang w:val="en-US" w:eastAsia="zh-CN" w:bidi="ar"/>
                    </w:rPr>
                    <w:t>E+0</w:t>
                  </w:r>
                  <w:r>
                    <w:rPr>
                      <w:rFonts w:hint="eastAsia" w:cs="Times New Roman"/>
                      <w:i w:val="0"/>
                      <w:iCs w:val="0"/>
                      <w:color w:val="000000"/>
                      <w:kern w:val="0"/>
                      <w:sz w:val="21"/>
                      <w:szCs w:val="21"/>
                      <w:u w:val="none"/>
                      <w:lang w:val="en-US" w:eastAsia="zh-CN" w:bidi="ar"/>
                    </w:rPr>
                    <w:t>5</w:t>
                  </w:r>
                </w:p>
              </w:tc>
            </w:tr>
            <w:tr w14:paraId="54F27D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Merge w:val="continue"/>
                  <w:vAlign w:val="center"/>
                </w:tcPr>
                <w:p w14:paraId="5F64D245">
                  <w:pPr>
                    <w:spacing w:line="340" w:lineRule="exact"/>
                    <w:jc w:val="center"/>
                    <w:rPr>
                      <w:spacing w:val="-11"/>
                      <w:sz w:val="21"/>
                      <w:szCs w:val="21"/>
                      <w:vertAlign w:val="superscript"/>
                    </w:rPr>
                  </w:pPr>
                </w:p>
              </w:tc>
              <w:tc>
                <w:tcPr>
                  <w:tcW w:w="608" w:type="pct"/>
                  <w:vAlign w:val="center"/>
                </w:tcPr>
                <w:p w14:paraId="6DA67F18">
                  <w:pPr>
                    <w:spacing w:line="240" w:lineRule="auto"/>
                    <w:jc w:val="center"/>
                    <w:rPr>
                      <w:spacing w:val="-11"/>
                      <w:sz w:val="21"/>
                      <w:szCs w:val="21"/>
                    </w:rPr>
                  </w:pPr>
                  <w:r>
                    <w:rPr>
                      <w:rFonts w:hint="default" w:ascii="Times New Roman" w:hAnsi="Times New Roman" w:eastAsia="宋体" w:cs="Times New Roman"/>
                      <w:spacing w:val="-6"/>
                      <w:sz w:val="21"/>
                      <w:szCs w:val="21"/>
                      <w:vertAlign w:val="superscript"/>
                      <w:lang w:val="en-US" w:eastAsia="zh-CN" w:bidi="ar-SA"/>
                    </w:rPr>
                    <w:t>89</w:t>
                  </w:r>
                  <w:r>
                    <w:rPr>
                      <w:rFonts w:hint="default" w:ascii="Times New Roman" w:hAnsi="Times New Roman" w:eastAsia="宋体" w:cs="Times New Roman"/>
                      <w:spacing w:val="-6"/>
                      <w:sz w:val="21"/>
                      <w:szCs w:val="21"/>
                      <w:vertAlign w:val="baseline"/>
                      <w:lang w:val="en-US" w:eastAsia="zh-CN" w:bidi="ar-SA"/>
                    </w:rPr>
                    <w:t>Sr</w:t>
                  </w:r>
                </w:p>
              </w:tc>
              <w:tc>
                <w:tcPr>
                  <w:tcW w:w="661" w:type="pct"/>
                  <w:vAlign w:val="center"/>
                </w:tcPr>
                <w:p w14:paraId="2766AB83">
                  <w:pPr>
                    <w:keepNext w:val="0"/>
                    <w:keepLines w:val="0"/>
                    <w:widowControl/>
                    <w:suppressLineNumbers w:val="0"/>
                    <w:jc w:val="center"/>
                    <w:textAlignment w:val="bottom"/>
                    <w:rPr>
                      <w:spacing w:val="-11"/>
                      <w:sz w:val="21"/>
                      <w:szCs w:val="21"/>
                    </w:rPr>
                  </w:pPr>
                  <w:r>
                    <w:rPr>
                      <w:rFonts w:hint="default" w:ascii="Times New Roman" w:hAnsi="Times New Roman" w:eastAsia="宋体" w:cs="Times New Roman"/>
                      <w:i w:val="0"/>
                      <w:iCs w:val="0"/>
                      <w:color w:val="000000"/>
                      <w:kern w:val="0"/>
                      <w:sz w:val="21"/>
                      <w:szCs w:val="21"/>
                      <w:u w:val="none"/>
                      <w:lang w:val="en-US" w:eastAsia="zh-CN" w:bidi="ar"/>
                    </w:rPr>
                    <w:t>7.40E+08</w:t>
                  </w:r>
                </w:p>
              </w:tc>
              <w:tc>
                <w:tcPr>
                  <w:tcW w:w="432" w:type="pct"/>
                  <w:shd w:val="clear" w:color="auto" w:fill="auto"/>
                  <w:vAlign w:val="center"/>
                </w:tcPr>
                <w:p w14:paraId="28CE9ABB">
                  <w:pPr>
                    <w:spacing w:line="340" w:lineRule="exact"/>
                    <w:jc w:val="center"/>
                    <w:rPr>
                      <w:rFonts w:ascii="Times New Roman" w:hAnsi="Times New Roman" w:eastAsia="宋体" w:cs="Times New Roman"/>
                      <w:bCs/>
                      <w:spacing w:val="-11"/>
                      <w:sz w:val="21"/>
                      <w:szCs w:val="21"/>
                      <w:lang w:val="en-US" w:eastAsia="zh-CN" w:bidi="ar-SA"/>
                    </w:rPr>
                  </w:pPr>
                  <w:r>
                    <w:rPr>
                      <w:bCs/>
                      <w:spacing w:val="-11"/>
                      <w:sz w:val="21"/>
                      <w:szCs w:val="21"/>
                    </w:rPr>
                    <w:t>中毒</w:t>
                  </w:r>
                </w:p>
              </w:tc>
              <w:tc>
                <w:tcPr>
                  <w:tcW w:w="555" w:type="pct"/>
                  <w:shd w:val="clear" w:color="auto" w:fill="auto"/>
                  <w:vAlign w:val="center"/>
                </w:tcPr>
                <w:p w14:paraId="1912BF1E">
                  <w:pPr>
                    <w:spacing w:line="340" w:lineRule="exact"/>
                    <w:jc w:val="center"/>
                    <w:rPr>
                      <w:rFonts w:ascii="Times New Roman" w:hAnsi="Times New Roman" w:eastAsia="宋体" w:cs="Times New Roman"/>
                      <w:spacing w:val="-11"/>
                      <w:sz w:val="21"/>
                      <w:szCs w:val="21"/>
                      <w:lang w:val="en-US" w:eastAsia="zh-CN" w:bidi="ar-SA"/>
                    </w:rPr>
                  </w:pPr>
                  <w:r>
                    <w:rPr>
                      <w:bCs/>
                      <w:spacing w:val="-11"/>
                      <w:sz w:val="21"/>
                      <w:szCs w:val="21"/>
                    </w:rPr>
                    <w:t>0.1</w:t>
                  </w:r>
                </w:p>
              </w:tc>
              <w:tc>
                <w:tcPr>
                  <w:tcW w:w="449" w:type="pct"/>
                  <w:vAlign w:val="center"/>
                </w:tcPr>
                <w:p w14:paraId="7F3AAACD">
                  <w:pPr>
                    <w:spacing w:line="340" w:lineRule="exact"/>
                    <w:jc w:val="center"/>
                    <w:rPr>
                      <w:spacing w:val="-11"/>
                      <w:sz w:val="21"/>
                      <w:szCs w:val="21"/>
                    </w:rPr>
                  </w:pPr>
                  <w:r>
                    <w:rPr>
                      <w:spacing w:val="-11"/>
                      <w:sz w:val="21"/>
                      <w:szCs w:val="21"/>
                    </w:rPr>
                    <w:t>液态</w:t>
                  </w:r>
                </w:p>
              </w:tc>
              <w:tc>
                <w:tcPr>
                  <w:tcW w:w="683" w:type="pct"/>
                  <w:vAlign w:val="center"/>
                </w:tcPr>
                <w:p w14:paraId="08B77090">
                  <w:pPr>
                    <w:spacing w:line="340" w:lineRule="exact"/>
                    <w:jc w:val="center"/>
                    <w:rPr>
                      <w:spacing w:val="-11"/>
                      <w:sz w:val="21"/>
                      <w:szCs w:val="21"/>
                    </w:rPr>
                  </w:pPr>
                  <w:r>
                    <w:rPr>
                      <w:spacing w:val="-11"/>
                      <w:sz w:val="21"/>
                      <w:szCs w:val="21"/>
                    </w:rPr>
                    <w:t>简单操作</w:t>
                  </w:r>
                </w:p>
              </w:tc>
              <w:tc>
                <w:tcPr>
                  <w:tcW w:w="479" w:type="pct"/>
                  <w:vAlign w:val="center"/>
                </w:tcPr>
                <w:p w14:paraId="006601FC">
                  <w:pPr>
                    <w:spacing w:line="340" w:lineRule="exact"/>
                    <w:jc w:val="center"/>
                    <w:rPr>
                      <w:rFonts w:hint="eastAsia" w:eastAsia="宋体"/>
                      <w:spacing w:val="-11"/>
                      <w:sz w:val="21"/>
                      <w:szCs w:val="21"/>
                      <w:lang w:val="en-US" w:eastAsia="zh-CN"/>
                    </w:rPr>
                  </w:pPr>
                  <w:r>
                    <w:rPr>
                      <w:spacing w:val="-11"/>
                      <w:sz w:val="21"/>
                      <w:szCs w:val="21"/>
                    </w:rPr>
                    <w:t>1</w:t>
                  </w:r>
                </w:p>
              </w:tc>
              <w:tc>
                <w:tcPr>
                  <w:tcW w:w="680" w:type="pct"/>
                  <w:shd w:val="clear" w:color="auto" w:fill="auto"/>
                  <w:vAlign w:val="center"/>
                </w:tcPr>
                <w:p w14:paraId="6466C077">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7.40E+0</w:t>
                  </w:r>
                  <w:r>
                    <w:rPr>
                      <w:rFonts w:hint="eastAsia" w:ascii="Times New Roman" w:hAnsi="Times New Roman" w:eastAsia="宋体" w:cs="Times New Roman"/>
                      <w:i w:val="0"/>
                      <w:iCs w:val="0"/>
                      <w:color w:val="000000"/>
                      <w:kern w:val="0"/>
                      <w:sz w:val="21"/>
                      <w:szCs w:val="21"/>
                      <w:u w:val="none"/>
                      <w:lang w:val="en-US" w:eastAsia="zh-CN" w:bidi="ar"/>
                    </w:rPr>
                    <w:t>7</w:t>
                  </w:r>
                </w:p>
              </w:tc>
            </w:tr>
            <w:tr w14:paraId="19CFF0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Merge w:val="continue"/>
                  <w:vAlign w:val="center"/>
                </w:tcPr>
                <w:p w14:paraId="75C98C81">
                  <w:pPr>
                    <w:spacing w:line="340" w:lineRule="exact"/>
                    <w:jc w:val="center"/>
                    <w:rPr>
                      <w:spacing w:val="-11"/>
                      <w:sz w:val="21"/>
                      <w:szCs w:val="21"/>
                      <w:vertAlign w:val="superscript"/>
                    </w:rPr>
                  </w:pPr>
                </w:p>
              </w:tc>
              <w:tc>
                <w:tcPr>
                  <w:tcW w:w="608" w:type="pct"/>
                  <w:vAlign w:val="center"/>
                </w:tcPr>
                <w:p w14:paraId="502031F7">
                  <w:pPr>
                    <w:spacing w:line="240" w:lineRule="auto"/>
                    <w:jc w:val="center"/>
                    <w:rPr>
                      <w:spacing w:val="-11"/>
                      <w:sz w:val="21"/>
                      <w:szCs w:val="21"/>
                      <w:vertAlign w:val="superscript"/>
                    </w:rPr>
                  </w:pPr>
                  <w:r>
                    <w:rPr>
                      <w:rFonts w:hint="default" w:ascii="Times New Roman" w:hAnsi="Times New Roman" w:eastAsia="宋体" w:cs="Times New Roman"/>
                      <w:spacing w:val="-6"/>
                      <w:sz w:val="21"/>
                      <w:szCs w:val="21"/>
                      <w:vertAlign w:val="superscript"/>
                      <w:lang w:val="en-US" w:eastAsia="zh-CN" w:bidi="ar-SA"/>
                    </w:rPr>
                    <w:t>32</w:t>
                  </w:r>
                  <w:r>
                    <w:rPr>
                      <w:rFonts w:hint="default" w:ascii="Times New Roman" w:hAnsi="Times New Roman" w:eastAsia="宋体" w:cs="Times New Roman"/>
                      <w:spacing w:val="-6"/>
                      <w:sz w:val="21"/>
                      <w:szCs w:val="21"/>
                      <w:vertAlign w:val="baseline"/>
                      <w:lang w:val="en-US" w:eastAsia="zh-CN" w:bidi="ar-SA"/>
                    </w:rPr>
                    <w:t>P</w:t>
                  </w:r>
                </w:p>
              </w:tc>
              <w:tc>
                <w:tcPr>
                  <w:tcW w:w="661" w:type="pct"/>
                  <w:vAlign w:val="center"/>
                </w:tcPr>
                <w:p w14:paraId="7E29A95E">
                  <w:pPr>
                    <w:keepNext w:val="0"/>
                    <w:keepLines w:val="0"/>
                    <w:widowControl/>
                    <w:suppressLineNumbers w:val="0"/>
                    <w:jc w:val="center"/>
                    <w:textAlignment w:val="bottom"/>
                    <w:rPr>
                      <w:spacing w:val="-11"/>
                      <w:sz w:val="21"/>
                      <w:szCs w:val="21"/>
                    </w:rPr>
                  </w:pPr>
                  <w:r>
                    <w:rPr>
                      <w:rFonts w:hint="default" w:ascii="Times New Roman" w:hAnsi="Times New Roman" w:eastAsia="宋体" w:cs="Times New Roman"/>
                      <w:i w:val="0"/>
                      <w:iCs w:val="0"/>
                      <w:color w:val="000000"/>
                      <w:kern w:val="0"/>
                      <w:sz w:val="21"/>
                      <w:szCs w:val="21"/>
                      <w:u w:val="none"/>
                      <w:lang w:val="en-US" w:eastAsia="zh-CN" w:bidi="ar"/>
                    </w:rPr>
                    <w:t>1.11E+07</w:t>
                  </w:r>
                </w:p>
              </w:tc>
              <w:tc>
                <w:tcPr>
                  <w:tcW w:w="432" w:type="pct"/>
                  <w:shd w:val="clear" w:color="auto" w:fill="auto"/>
                  <w:vAlign w:val="center"/>
                </w:tcPr>
                <w:p w14:paraId="1F5376C8">
                  <w:pPr>
                    <w:spacing w:line="340" w:lineRule="exact"/>
                    <w:jc w:val="center"/>
                    <w:rPr>
                      <w:rFonts w:ascii="Times New Roman" w:hAnsi="Times New Roman" w:eastAsia="宋体" w:cs="Times New Roman"/>
                      <w:bCs/>
                      <w:spacing w:val="-11"/>
                      <w:sz w:val="21"/>
                      <w:szCs w:val="21"/>
                      <w:lang w:val="en-US" w:eastAsia="zh-CN" w:bidi="ar-SA"/>
                    </w:rPr>
                  </w:pPr>
                  <w:r>
                    <w:rPr>
                      <w:bCs/>
                      <w:spacing w:val="-11"/>
                      <w:sz w:val="21"/>
                      <w:szCs w:val="21"/>
                    </w:rPr>
                    <w:t>中毒</w:t>
                  </w:r>
                </w:p>
              </w:tc>
              <w:tc>
                <w:tcPr>
                  <w:tcW w:w="555" w:type="pct"/>
                  <w:shd w:val="clear" w:color="auto" w:fill="auto"/>
                  <w:vAlign w:val="center"/>
                </w:tcPr>
                <w:p w14:paraId="6000A567">
                  <w:pPr>
                    <w:spacing w:line="340" w:lineRule="exact"/>
                    <w:jc w:val="center"/>
                    <w:rPr>
                      <w:rFonts w:ascii="Times New Roman" w:hAnsi="Times New Roman" w:eastAsia="宋体" w:cs="Times New Roman"/>
                      <w:spacing w:val="-11"/>
                      <w:sz w:val="21"/>
                      <w:szCs w:val="21"/>
                      <w:lang w:val="en-US" w:eastAsia="zh-CN" w:bidi="ar-SA"/>
                    </w:rPr>
                  </w:pPr>
                  <w:r>
                    <w:rPr>
                      <w:bCs/>
                      <w:spacing w:val="-11"/>
                      <w:sz w:val="21"/>
                      <w:szCs w:val="21"/>
                    </w:rPr>
                    <w:t>0.1</w:t>
                  </w:r>
                </w:p>
              </w:tc>
              <w:tc>
                <w:tcPr>
                  <w:tcW w:w="449" w:type="pct"/>
                  <w:vAlign w:val="center"/>
                </w:tcPr>
                <w:p w14:paraId="13D65CF4">
                  <w:pPr>
                    <w:spacing w:line="340" w:lineRule="exact"/>
                    <w:jc w:val="center"/>
                    <w:rPr>
                      <w:spacing w:val="-11"/>
                      <w:sz w:val="21"/>
                      <w:szCs w:val="21"/>
                    </w:rPr>
                  </w:pPr>
                  <w:r>
                    <w:rPr>
                      <w:spacing w:val="-11"/>
                      <w:sz w:val="21"/>
                      <w:szCs w:val="21"/>
                    </w:rPr>
                    <w:t>液态</w:t>
                  </w:r>
                </w:p>
              </w:tc>
              <w:tc>
                <w:tcPr>
                  <w:tcW w:w="683" w:type="pct"/>
                  <w:vAlign w:val="center"/>
                </w:tcPr>
                <w:p w14:paraId="21B8ABC6">
                  <w:pPr>
                    <w:spacing w:line="340" w:lineRule="exact"/>
                    <w:jc w:val="center"/>
                    <w:rPr>
                      <w:spacing w:val="-11"/>
                      <w:sz w:val="21"/>
                      <w:szCs w:val="21"/>
                    </w:rPr>
                  </w:pPr>
                  <w:r>
                    <w:rPr>
                      <w:spacing w:val="-11"/>
                      <w:sz w:val="21"/>
                      <w:szCs w:val="21"/>
                    </w:rPr>
                    <w:t>简单操作</w:t>
                  </w:r>
                </w:p>
              </w:tc>
              <w:tc>
                <w:tcPr>
                  <w:tcW w:w="479" w:type="pct"/>
                  <w:vAlign w:val="center"/>
                </w:tcPr>
                <w:p w14:paraId="44A28812">
                  <w:pPr>
                    <w:spacing w:line="340" w:lineRule="exact"/>
                    <w:jc w:val="center"/>
                    <w:rPr>
                      <w:rFonts w:hint="eastAsia" w:eastAsia="宋体"/>
                      <w:spacing w:val="-11"/>
                      <w:sz w:val="21"/>
                      <w:szCs w:val="21"/>
                      <w:lang w:val="en-US" w:eastAsia="zh-CN"/>
                    </w:rPr>
                  </w:pPr>
                  <w:r>
                    <w:rPr>
                      <w:spacing w:val="-11"/>
                      <w:sz w:val="21"/>
                      <w:szCs w:val="21"/>
                    </w:rPr>
                    <w:t>1</w:t>
                  </w:r>
                  <w:r>
                    <w:rPr>
                      <w:rFonts w:hint="eastAsia"/>
                      <w:spacing w:val="-11"/>
                      <w:sz w:val="21"/>
                      <w:szCs w:val="21"/>
                      <w:lang w:val="en-US" w:eastAsia="zh-CN"/>
                    </w:rPr>
                    <w:t>0</w:t>
                  </w:r>
                </w:p>
              </w:tc>
              <w:tc>
                <w:tcPr>
                  <w:tcW w:w="680" w:type="pct"/>
                  <w:shd w:val="clear" w:color="auto" w:fill="auto"/>
                  <w:vAlign w:val="center"/>
                </w:tcPr>
                <w:p w14:paraId="2A4AFCC6">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1.11E+0</w:t>
                  </w:r>
                  <w:r>
                    <w:rPr>
                      <w:rFonts w:hint="eastAsia" w:ascii="Times New Roman" w:hAnsi="Times New Roman" w:eastAsia="宋体" w:cs="Times New Roman"/>
                      <w:i w:val="0"/>
                      <w:iCs w:val="0"/>
                      <w:color w:val="000000"/>
                      <w:kern w:val="0"/>
                      <w:sz w:val="21"/>
                      <w:szCs w:val="21"/>
                      <w:u w:val="none"/>
                      <w:lang w:val="en-US" w:eastAsia="zh-CN" w:bidi="ar"/>
                    </w:rPr>
                    <w:t>5</w:t>
                  </w:r>
                </w:p>
              </w:tc>
            </w:tr>
            <w:tr w14:paraId="2DCA68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9" w:type="pct"/>
                  <w:vMerge w:val="continue"/>
                  <w:vAlign w:val="center"/>
                </w:tcPr>
                <w:p w14:paraId="5EFD5C9E">
                  <w:pPr>
                    <w:spacing w:line="340" w:lineRule="exact"/>
                    <w:jc w:val="center"/>
                    <w:rPr>
                      <w:spacing w:val="-11"/>
                      <w:sz w:val="21"/>
                      <w:szCs w:val="21"/>
                      <w:vertAlign w:val="superscript"/>
                    </w:rPr>
                  </w:pPr>
                </w:p>
              </w:tc>
              <w:tc>
                <w:tcPr>
                  <w:tcW w:w="4550" w:type="pct"/>
                  <w:gridSpan w:val="8"/>
                  <w:vAlign w:val="center"/>
                </w:tcPr>
                <w:p w14:paraId="38D71196">
                  <w:pPr>
                    <w:widowControl/>
                    <w:spacing w:line="340" w:lineRule="exact"/>
                    <w:jc w:val="center"/>
                    <w:rPr>
                      <w:spacing w:val="-11"/>
                      <w:sz w:val="21"/>
                      <w:szCs w:val="21"/>
                    </w:rPr>
                  </w:pPr>
                  <w:r>
                    <w:rPr>
                      <w:spacing w:val="-11"/>
                      <w:sz w:val="21"/>
                      <w:szCs w:val="21"/>
                    </w:rPr>
                    <w:t>负一层使用的核素均</w:t>
                  </w:r>
                  <w:r>
                    <w:rPr>
                      <w:rFonts w:hint="eastAsia"/>
                      <w:spacing w:val="-11"/>
                      <w:sz w:val="21"/>
                      <w:szCs w:val="21"/>
                      <w:lang w:val="en-US" w:eastAsia="zh-CN"/>
                    </w:rPr>
                    <w:t>来自外购成品药物</w:t>
                  </w:r>
                  <w:r>
                    <w:rPr>
                      <w:spacing w:val="-11"/>
                      <w:sz w:val="21"/>
                      <w:szCs w:val="21"/>
                    </w:rPr>
                    <w:t>，</w:t>
                  </w:r>
                  <w:r>
                    <w:rPr>
                      <w:b/>
                      <w:bCs/>
                      <w:spacing w:val="-11"/>
                      <w:sz w:val="21"/>
                      <w:szCs w:val="21"/>
                    </w:rPr>
                    <w:t>合计日等效最大操作量为</w:t>
                  </w:r>
                  <w:r>
                    <w:rPr>
                      <w:rFonts w:hint="eastAsia"/>
                      <w:b/>
                      <w:bCs/>
                      <w:spacing w:val="-11"/>
                      <w:sz w:val="21"/>
                      <w:szCs w:val="21"/>
                      <w:lang w:val="en-US" w:eastAsia="zh-CN"/>
                    </w:rPr>
                    <w:t>4.97</w:t>
                  </w:r>
                  <w:r>
                    <w:rPr>
                      <w:b/>
                      <w:bCs/>
                      <w:spacing w:val="-11"/>
                      <w:sz w:val="21"/>
                      <w:szCs w:val="21"/>
                    </w:rPr>
                    <w:t>×10</w:t>
                  </w:r>
                  <w:r>
                    <w:rPr>
                      <w:b/>
                      <w:bCs/>
                      <w:spacing w:val="-11"/>
                      <w:sz w:val="21"/>
                      <w:szCs w:val="21"/>
                      <w:vertAlign w:val="superscript"/>
                    </w:rPr>
                    <w:t>8</w:t>
                  </w:r>
                  <w:r>
                    <w:rPr>
                      <w:b/>
                      <w:bCs/>
                      <w:spacing w:val="-11"/>
                      <w:sz w:val="21"/>
                      <w:szCs w:val="21"/>
                    </w:rPr>
                    <w:t>Bq，</w:t>
                  </w:r>
                  <w:r>
                    <w:rPr>
                      <w:b/>
                      <w:bCs/>
                      <w:sz w:val="21"/>
                      <w:szCs w:val="21"/>
                    </w:rPr>
                    <w:t>工作场所级别为乙级</w:t>
                  </w:r>
                  <w:r>
                    <w:rPr>
                      <w:spacing w:val="-11"/>
                      <w:sz w:val="21"/>
                      <w:szCs w:val="21"/>
                    </w:rPr>
                    <w:t>。</w:t>
                  </w:r>
                </w:p>
              </w:tc>
            </w:tr>
          </w:tbl>
          <w:p w14:paraId="106536DE">
            <w:pPr>
              <w:spacing w:after="120" w:afterLines="50" w:line="240" w:lineRule="auto"/>
              <w:rPr>
                <w:rFonts w:eastAsia="黑体"/>
                <w:sz w:val="21"/>
                <w:szCs w:val="21"/>
              </w:rPr>
            </w:pPr>
            <w:r>
              <w:rPr>
                <w:rFonts w:eastAsia="黑体"/>
                <w:sz w:val="21"/>
                <w:szCs w:val="21"/>
              </w:rPr>
              <w:t>注：</w:t>
            </w:r>
            <w:r>
              <w:rPr>
                <w:rFonts w:eastAsia="黑体"/>
                <w:sz w:val="21"/>
                <w:szCs w:val="21"/>
                <w:lang w:bidi="ar"/>
              </w:rPr>
              <w:t>根据《关于明确核技术利用辐射安全监管有关事项的通知》（环办辐射函[2016]430号），医疗机构使用锝-99m、</w:t>
            </w:r>
            <w:r>
              <w:rPr>
                <w:rFonts w:hint="eastAsia" w:eastAsia="黑体"/>
                <w:sz w:val="21"/>
                <w:szCs w:val="21"/>
                <w:lang w:val="en-US" w:eastAsia="zh-CN" w:bidi="ar"/>
              </w:rPr>
              <w:t>氟</w:t>
            </w:r>
            <w:r>
              <w:rPr>
                <w:rFonts w:eastAsia="黑体"/>
                <w:sz w:val="21"/>
                <w:szCs w:val="21"/>
                <w:lang w:bidi="ar"/>
              </w:rPr>
              <w:t>-1</w:t>
            </w:r>
            <w:r>
              <w:rPr>
                <w:rFonts w:hint="eastAsia" w:eastAsia="黑体"/>
                <w:sz w:val="21"/>
                <w:szCs w:val="21"/>
                <w:lang w:val="en-US" w:eastAsia="zh-CN" w:bidi="ar"/>
              </w:rPr>
              <w:t>8</w:t>
            </w:r>
            <w:r>
              <w:rPr>
                <w:rFonts w:eastAsia="黑体"/>
                <w:sz w:val="21"/>
                <w:szCs w:val="21"/>
                <w:lang w:bidi="ar"/>
              </w:rPr>
              <w:t>相关活动视为“很简单的操作”。</w:t>
            </w:r>
          </w:p>
          <w:p w14:paraId="15F697A1">
            <w:pPr>
              <w:ind w:firstLine="480"/>
            </w:pPr>
            <w:r>
              <w:t>本项目</w:t>
            </w:r>
            <w:r>
              <w:rPr>
                <w:rFonts w:hint="eastAsia"/>
                <w:lang w:val="en-US" w:eastAsia="zh-CN"/>
              </w:rPr>
              <w:t>负一层核医学科为1</w:t>
            </w:r>
            <w:r>
              <w:t>个非密封放射性物质工作场所，</w:t>
            </w:r>
            <w:r>
              <w:rPr>
                <w:spacing w:val="-6"/>
              </w:rPr>
              <w:t>日等效最大操作量为</w:t>
            </w:r>
            <w:r>
              <w:rPr>
                <w:rFonts w:hint="eastAsia"/>
                <w:lang w:val="en-US" w:eastAsia="zh-CN" w:bidi="ar"/>
              </w:rPr>
              <w:t>4.97</w:t>
            </w:r>
            <w:r>
              <w:t>×10</w:t>
            </w:r>
            <w:r>
              <w:rPr>
                <w:rFonts w:hint="eastAsia"/>
                <w:vertAlign w:val="superscript"/>
                <w:lang w:val="en-US" w:eastAsia="zh-CN"/>
              </w:rPr>
              <w:t>8</w:t>
            </w:r>
            <w:r>
              <w:rPr>
                <w:spacing w:val="-6"/>
              </w:rPr>
              <w:t>Bq</w:t>
            </w:r>
            <w:r>
              <w:t>。</w:t>
            </w:r>
          </w:p>
          <w:p w14:paraId="3023AFB7">
            <w:pPr>
              <w:ind w:firstLine="482"/>
              <w:rPr>
                <w:b/>
                <w:bCs/>
              </w:rPr>
            </w:pPr>
            <w:r>
              <w:rPr>
                <w:b/>
                <w:bCs/>
              </w:rPr>
              <w:t>（三）项目组成及主</w:t>
            </w:r>
            <w:r>
              <w:rPr>
                <w:b/>
                <w:bCs/>
                <w:highlight w:val="none"/>
              </w:rPr>
              <w:t>要环境问题</w:t>
            </w:r>
          </w:p>
          <w:p w14:paraId="6418CA1B">
            <w:pPr>
              <w:ind w:firstLine="480"/>
              <w:rPr>
                <w:bCs/>
              </w:rPr>
            </w:pPr>
            <w:r>
              <w:rPr>
                <w:bCs/>
              </w:rPr>
              <w:t>本项目组成及主要的环境问题见表1-</w:t>
            </w:r>
            <w:r>
              <w:rPr>
                <w:rFonts w:hint="eastAsia"/>
                <w:bCs/>
                <w:lang w:val="en-US" w:eastAsia="zh-CN"/>
              </w:rPr>
              <w:t>9</w:t>
            </w:r>
            <w:r>
              <w:rPr>
                <w:bCs/>
              </w:rPr>
              <w:t>。</w:t>
            </w:r>
          </w:p>
          <w:p w14:paraId="1C11E7EE">
            <w:pPr>
              <w:pStyle w:val="55"/>
              <w:ind w:firstLine="0"/>
              <w:rPr>
                <w:bCs/>
              </w:rPr>
            </w:pPr>
          </w:p>
        </w:tc>
      </w:tr>
    </w:tbl>
    <w:p w14:paraId="47041003">
      <w:pPr>
        <w:sectPr>
          <w:footerReference r:id="rId7" w:type="default"/>
          <w:pgSz w:w="11907" w:h="16839"/>
          <w:pgMar w:top="1418" w:right="1588" w:bottom="1418" w:left="1588" w:header="851" w:footer="567" w:gutter="0"/>
          <w:pgBorders>
            <w:top w:val="none" w:sz="0" w:space="0"/>
            <w:left w:val="none" w:sz="0" w:space="0"/>
            <w:bottom w:val="none" w:sz="0" w:space="0"/>
            <w:right w:val="none" w:sz="0" w:space="0"/>
          </w:pgBorders>
          <w:pgNumType w:start="1"/>
          <w:cols w:space="720" w:num="1"/>
          <w:docGrid w:linePitch="360" w:charSpace="0"/>
        </w:sectPr>
      </w:pPr>
    </w:p>
    <w:p w14:paraId="01E7118B">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9</w:t>
      </w:r>
      <w:r>
        <w:rPr>
          <w:rFonts w:eastAsia="黑体"/>
          <w:bCs/>
          <w:sz w:val="21"/>
          <w:szCs w:val="21"/>
        </w:rPr>
        <w:t xml:space="preserve">  项目组成及主要的环境问题表</w:t>
      </w:r>
    </w:p>
    <w:tbl>
      <w:tblPr>
        <w:tblStyle w:val="57"/>
        <w:tblW w:w="48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861"/>
        <w:gridCol w:w="8372"/>
        <w:gridCol w:w="1074"/>
        <w:gridCol w:w="2152"/>
      </w:tblGrid>
      <w:tr w14:paraId="2359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47" w:type="pct"/>
            <w:vMerge w:val="restart"/>
            <w:vAlign w:val="center"/>
          </w:tcPr>
          <w:p w14:paraId="1898BBCB">
            <w:pPr>
              <w:spacing w:line="360" w:lineRule="exact"/>
              <w:jc w:val="center"/>
              <w:rPr>
                <w:bCs/>
                <w:sz w:val="21"/>
                <w:szCs w:val="21"/>
              </w:rPr>
            </w:pPr>
            <w:r>
              <w:rPr>
                <w:bCs/>
                <w:sz w:val="21"/>
                <w:szCs w:val="21"/>
              </w:rPr>
              <w:t>名称</w:t>
            </w:r>
          </w:p>
        </w:tc>
        <w:tc>
          <w:tcPr>
            <w:tcW w:w="3299" w:type="pct"/>
            <w:gridSpan w:val="2"/>
            <w:vMerge w:val="restart"/>
            <w:vAlign w:val="center"/>
          </w:tcPr>
          <w:p w14:paraId="36691A5D">
            <w:pPr>
              <w:spacing w:line="360" w:lineRule="exact"/>
              <w:jc w:val="center"/>
              <w:rPr>
                <w:bCs/>
                <w:sz w:val="21"/>
                <w:szCs w:val="21"/>
              </w:rPr>
            </w:pPr>
            <w:r>
              <w:rPr>
                <w:bCs/>
                <w:sz w:val="21"/>
                <w:szCs w:val="21"/>
              </w:rPr>
              <w:t>建设内容及规模</w:t>
            </w:r>
          </w:p>
        </w:tc>
        <w:tc>
          <w:tcPr>
            <w:tcW w:w="1153" w:type="pct"/>
            <w:gridSpan w:val="2"/>
            <w:vAlign w:val="center"/>
          </w:tcPr>
          <w:p w14:paraId="7925346E">
            <w:pPr>
              <w:spacing w:line="360" w:lineRule="exact"/>
              <w:jc w:val="center"/>
              <w:rPr>
                <w:bCs/>
                <w:sz w:val="21"/>
                <w:szCs w:val="21"/>
              </w:rPr>
            </w:pPr>
            <w:r>
              <w:rPr>
                <w:bCs/>
                <w:sz w:val="21"/>
                <w:szCs w:val="21"/>
              </w:rPr>
              <w:t>可能产生的环境问题</w:t>
            </w:r>
          </w:p>
        </w:tc>
      </w:tr>
      <w:tr w14:paraId="2081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47" w:type="pct"/>
            <w:vMerge w:val="continue"/>
            <w:vAlign w:val="center"/>
          </w:tcPr>
          <w:p w14:paraId="330DC825">
            <w:pPr>
              <w:spacing w:line="360" w:lineRule="exact"/>
              <w:jc w:val="center"/>
              <w:rPr>
                <w:bCs/>
                <w:sz w:val="21"/>
                <w:szCs w:val="21"/>
              </w:rPr>
            </w:pPr>
          </w:p>
        </w:tc>
        <w:tc>
          <w:tcPr>
            <w:tcW w:w="3299" w:type="pct"/>
            <w:gridSpan w:val="2"/>
            <w:vMerge w:val="continue"/>
            <w:vAlign w:val="center"/>
          </w:tcPr>
          <w:p w14:paraId="32C41201">
            <w:pPr>
              <w:spacing w:line="360" w:lineRule="exact"/>
              <w:jc w:val="center"/>
              <w:rPr>
                <w:bCs/>
                <w:sz w:val="21"/>
                <w:szCs w:val="21"/>
              </w:rPr>
            </w:pPr>
          </w:p>
        </w:tc>
        <w:tc>
          <w:tcPr>
            <w:tcW w:w="383" w:type="pct"/>
            <w:vAlign w:val="center"/>
          </w:tcPr>
          <w:p w14:paraId="26F36CAF">
            <w:pPr>
              <w:spacing w:line="360" w:lineRule="exact"/>
              <w:jc w:val="center"/>
              <w:rPr>
                <w:bCs/>
                <w:sz w:val="21"/>
                <w:szCs w:val="21"/>
              </w:rPr>
            </w:pPr>
            <w:r>
              <w:rPr>
                <w:bCs/>
                <w:sz w:val="21"/>
                <w:szCs w:val="21"/>
              </w:rPr>
              <w:t>施工期</w:t>
            </w:r>
          </w:p>
        </w:tc>
        <w:tc>
          <w:tcPr>
            <w:tcW w:w="769" w:type="pct"/>
            <w:vAlign w:val="center"/>
          </w:tcPr>
          <w:p w14:paraId="639D3184">
            <w:pPr>
              <w:spacing w:line="360" w:lineRule="exact"/>
              <w:jc w:val="center"/>
              <w:rPr>
                <w:bCs/>
                <w:sz w:val="21"/>
                <w:szCs w:val="21"/>
              </w:rPr>
            </w:pPr>
            <w:r>
              <w:rPr>
                <w:bCs/>
                <w:sz w:val="21"/>
                <w:szCs w:val="21"/>
              </w:rPr>
              <w:t>运营期</w:t>
            </w:r>
          </w:p>
        </w:tc>
      </w:tr>
      <w:tr w14:paraId="6513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Align w:val="center"/>
          </w:tcPr>
          <w:p w14:paraId="22501EBA">
            <w:pPr>
              <w:spacing w:line="360" w:lineRule="exact"/>
              <w:jc w:val="center"/>
              <w:rPr>
                <w:bCs/>
                <w:sz w:val="21"/>
                <w:szCs w:val="21"/>
              </w:rPr>
            </w:pPr>
            <w:r>
              <w:rPr>
                <w:rFonts w:hint="eastAsia"/>
                <w:bCs/>
                <w:sz w:val="21"/>
                <w:szCs w:val="21"/>
                <w:lang w:val="en-US" w:eastAsia="zh-CN"/>
              </w:rPr>
              <w:t>门诊医技楼</w:t>
            </w:r>
            <w:r>
              <w:rPr>
                <w:bCs/>
                <w:sz w:val="21"/>
                <w:szCs w:val="21"/>
              </w:rPr>
              <w:t>负</w:t>
            </w:r>
            <w:r>
              <w:rPr>
                <w:rFonts w:hint="eastAsia"/>
                <w:bCs/>
                <w:sz w:val="21"/>
                <w:szCs w:val="21"/>
                <w:lang w:val="en-US" w:eastAsia="zh-CN"/>
              </w:rPr>
              <w:t>一</w:t>
            </w:r>
            <w:r>
              <w:rPr>
                <w:bCs/>
                <w:sz w:val="21"/>
                <w:szCs w:val="21"/>
              </w:rPr>
              <w:t>层</w:t>
            </w:r>
          </w:p>
          <w:p w14:paraId="76B797C3">
            <w:pPr>
              <w:spacing w:line="360" w:lineRule="exact"/>
              <w:jc w:val="center"/>
              <w:rPr>
                <w:rFonts w:hint="eastAsia" w:eastAsia="宋体"/>
                <w:bCs/>
                <w:sz w:val="21"/>
                <w:szCs w:val="21"/>
                <w:lang w:eastAsia="zh-CN" w:bidi="ar"/>
              </w:rPr>
            </w:pPr>
            <w:r>
              <w:rPr>
                <w:rFonts w:hint="eastAsia"/>
                <w:bCs/>
                <w:sz w:val="21"/>
                <w:szCs w:val="21"/>
                <w:lang w:val="en-US" w:eastAsia="zh-CN" w:bidi="ar"/>
              </w:rPr>
              <w:t>核医学科</w:t>
            </w:r>
          </w:p>
        </w:tc>
        <w:tc>
          <w:tcPr>
            <w:tcW w:w="3299" w:type="pct"/>
            <w:gridSpan w:val="2"/>
            <w:vAlign w:val="center"/>
          </w:tcPr>
          <w:p w14:paraId="1B706C0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highlight w:val="none"/>
              </w:rPr>
            </w:pPr>
            <w:r>
              <w:rPr>
                <w:bCs/>
                <w:sz w:val="21"/>
                <w:szCs w:val="21"/>
                <w:highlight w:val="none"/>
              </w:rPr>
              <w:t>建筑面积约</w:t>
            </w:r>
            <w:r>
              <w:rPr>
                <w:rFonts w:hint="eastAsia"/>
                <w:bCs/>
                <w:sz w:val="21"/>
                <w:szCs w:val="21"/>
                <w:highlight w:val="none"/>
                <w:lang w:val="en-US" w:eastAsia="zh-CN"/>
              </w:rPr>
              <w:t>850m</w:t>
            </w:r>
            <w:r>
              <w:rPr>
                <w:bCs/>
                <w:sz w:val="21"/>
                <w:szCs w:val="21"/>
                <w:highlight w:val="none"/>
                <w:vertAlign w:val="superscript"/>
              </w:rPr>
              <w:t>2</w:t>
            </w:r>
            <w:r>
              <w:rPr>
                <w:bCs/>
                <w:sz w:val="21"/>
                <w:szCs w:val="21"/>
                <w:highlight w:val="none"/>
              </w:rPr>
              <w:t>，用于病人</w:t>
            </w:r>
            <w:r>
              <w:rPr>
                <w:rFonts w:hint="eastAsia"/>
                <w:bCs/>
                <w:sz w:val="21"/>
                <w:szCs w:val="21"/>
                <w:highlight w:val="none"/>
                <w:lang w:val="en-US" w:eastAsia="zh-CN"/>
              </w:rPr>
              <w:t>放射性</w:t>
            </w:r>
            <w:r>
              <w:rPr>
                <w:bCs/>
                <w:sz w:val="21"/>
                <w:szCs w:val="21"/>
                <w:highlight w:val="none"/>
              </w:rPr>
              <w:t>药物的影像诊断</w:t>
            </w:r>
            <w:r>
              <w:rPr>
                <w:rFonts w:hint="eastAsia"/>
                <w:bCs/>
                <w:sz w:val="21"/>
                <w:szCs w:val="21"/>
                <w:highlight w:val="none"/>
                <w:lang w:val="en-US" w:eastAsia="zh-CN"/>
              </w:rPr>
              <w:t>和治疗</w:t>
            </w:r>
            <w:r>
              <w:rPr>
                <w:bCs/>
                <w:sz w:val="21"/>
                <w:szCs w:val="21"/>
                <w:highlight w:val="none"/>
              </w:rPr>
              <w:t>，布置的功能房间包括：</w:t>
            </w:r>
            <w:r>
              <w:rPr>
                <w:rFonts w:hint="eastAsia"/>
                <w:bCs/>
                <w:sz w:val="21"/>
                <w:szCs w:val="21"/>
                <w:highlight w:val="none"/>
                <w:lang w:val="en-US" w:eastAsia="zh-CN"/>
              </w:rPr>
              <w:t>甲功室、</w:t>
            </w:r>
            <w:r>
              <w:rPr>
                <w:rFonts w:hint="eastAsia"/>
                <w:bCs/>
                <w:sz w:val="21"/>
                <w:szCs w:val="21"/>
                <w:highlight w:val="none"/>
              </w:rPr>
              <w:t>分装室（1#、2#）、ECT注射室、PET注射室、源库（1#、2#）、敷贴室（1#、2#）、放废暂存间、PET/CT机房、SPECT/CT机房、控制室、ECT注射后等候室、PET注射后等候室、ECT留观室、PET留观室、运动负荷室、抢救室、I-131服药室、Sr-89注射室、日间留观室、洁具间、卫生通过间（1#、2#）</w:t>
            </w:r>
            <w:r>
              <w:rPr>
                <w:bCs/>
                <w:sz w:val="21"/>
                <w:szCs w:val="21"/>
                <w:highlight w:val="none"/>
              </w:rPr>
              <w:t>等，其中PET/CT机房</w:t>
            </w:r>
            <w:r>
              <w:rPr>
                <w:rFonts w:hint="eastAsia"/>
                <w:sz w:val="21"/>
                <w:szCs w:val="22"/>
                <w:highlight w:val="none"/>
              </w:rPr>
              <w:t>室内面积</w:t>
            </w:r>
            <w:r>
              <w:rPr>
                <w:rFonts w:hint="eastAsia"/>
                <w:sz w:val="21"/>
                <w:szCs w:val="22"/>
                <w:highlight w:val="none"/>
                <w:lang w:val="en-US" w:eastAsia="zh-CN"/>
              </w:rPr>
              <w:t>51.12</w:t>
            </w:r>
            <w:r>
              <w:rPr>
                <w:sz w:val="21"/>
                <w:szCs w:val="22"/>
                <w:highlight w:val="none"/>
              </w:rPr>
              <w:t>m</w:t>
            </w:r>
            <w:r>
              <w:rPr>
                <w:sz w:val="21"/>
                <w:szCs w:val="22"/>
                <w:highlight w:val="none"/>
                <w:vertAlign w:val="superscript"/>
              </w:rPr>
              <w:t>2</w:t>
            </w:r>
            <w:r>
              <w:rPr>
                <w:rFonts w:hint="eastAsia"/>
                <w:sz w:val="21"/>
                <w:szCs w:val="22"/>
                <w:highlight w:val="none"/>
              </w:rPr>
              <w:t>，室内尺寸</w:t>
            </w:r>
            <w:r>
              <w:rPr>
                <w:sz w:val="21"/>
                <w:szCs w:val="22"/>
                <w:highlight w:val="none"/>
              </w:rPr>
              <w:t>长</w:t>
            </w:r>
            <w:r>
              <w:rPr>
                <w:rFonts w:hint="eastAsia"/>
                <w:sz w:val="21"/>
                <w:szCs w:val="22"/>
                <w:highlight w:val="none"/>
                <w:lang w:val="en-US" w:eastAsia="zh-CN"/>
              </w:rPr>
              <w:t>7.2</w:t>
            </w:r>
            <w:r>
              <w:rPr>
                <w:sz w:val="21"/>
                <w:szCs w:val="22"/>
                <w:highlight w:val="none"/>
              </w:rPr>
              <w:t>m×宽</w:t>
            </w:r>
            <w:r>
              <w:rPr>
                <w:rFonts w:hint="eastAsia"/>
                <w:sz w:val="21"/>
                <w:szCs w:val="22"/>
                <w:highlight w:val="none"/>
                <w:lang w:val="en-US" w:eastAsia="zh-CN"/>
              </w:rPr>
              <w:t>7.1</w:t>
            </w:r>
            <w:r>
              <w:rPr>
                <w:sz w:val="21"/>
                <w:szCs w:val="22"/>
                <w:highlight w:val="none"/>
              </w:rPr>
              <w:t>m×高</w:t>
            </w:r>
            <w:r>
              <w:rPr>
                <w:rFonts w:hint="eastAsia"/>
                <w:sz w:val="21"/>
                <w:szCs w:val="22"/>
                <w:highlight w:val="none"/>
                <w:lang w:val="en-US" w:eastAsia="zh-CN"/>
              </w:rPr>
              <w:t>4.7</w:t>
            </w:r>
            <w:r>
              <w:rPr>
                <w:sz w:val="21"/>
                <w:szCs w:val="22"/>
                <w:highlight w:val="none"/>
              </w:rPr>
              <w:t>m</w:t>
            </w:r>
            <w:r>
              <w:rPr>
                <w:rFonts w:hint="eastAsia"/>
                <w:sz w:val="21"/>
                <w:szCs w:val="22"/>
                <w:highlight w:val="none"/>
                <w:lang w:eastAsia="zh-CN"/>
              </w:rPr>
              <w:t>，</w:t>
            </w:r>
            <w:r>
              <w:rPr>
                <w:bCs/>
                <w:sz w:val="21"/>
                <w:szCs w:val="21"/>
                <w:highlight w:val="none"/>
              </w:rPr>
              <w:t>安装使用1台PET/CT（型号未定），额定管电压140kV、额定管电流900mA</w:t>
            </w:r>
            <w:r>
              <w:rPr>
                <w:rFonts w:hint="eastAsia"/>
                <w:bCs/>
                <w:sz w:val="21"/>
                <w:szCs w:val="21"/>
                <w:highlight w:val="none"/>
                <w:lang w:eastAsia="zh-CN"/>
              </w:rPr>
              <w:t>；</w:t>
            </w:r>
            <w:r>
              <w:rPr>
                <w:rFonts w:hint="eastAsia"/>
                <w:bCs/>
                <w:sz w:val="21"/>
                <w:szCs w:val="21"/>
                <w:highlight w:val="none"/>
                <w:lang w:val="en-US" w:eastAsia="zh-CN"/>
              </w:rPr>
              <w:t>SPECT</w:t>
            </w:r>
            <w:r>
              <w:rPr>
                <w:bCs/>
                <w:sz w:val="21"/>
                <w:szCs w:val="21"/>
                <w:highlight w:val="none"/>
              </w:rPr>
              <w:t>机房</w:t>
            </w:r>
            <w:r>
              <w:rPr>
                <w:rFonts w:hint="eastAsia"/>
                <w:sz w:val="21"/>
                <w:szCs w:val="22"/>
                <w:highlight w:val="none"/>
              </w:rPr>
              <w:t>室内面积</w:t>
            </w:r>
            <w:r>
              <w:rPr>
                <w:rFonts w:hint="eastAsia"/>
                <w:sz w:val="21"/>
                <w:szCs w:val="22"/>
                <w:highlight w:val="none"/>
                <w:lang w:val="en-US" w:eastAsia="zh-CN"/>
              </w:rPr>
              <w:t>46.86</w:t>
            </w:r>
            <w:r>
              <w:rPr>
                <w:sz w:val="21"/>
                <w:szCs w:val="22"/>
                <w:highlight w:val="none"/>
              </w:rPr>
              <w:t>m</w:t>
            </w:r>
            <w:r>
              <w:rPr>
                <w:sz w:val="21"/>
                <w:szCs w:val="22"/>
                <w:highlight w:val="none"/>
                <w:vertAlign w:val="superscript"/>
              </w:rPr>
              <w:t>2</w:t>
            </w:r>
            <w:r>
              <w:rPr>
                <w:rFonts w:hint="eastAsia"/>
                <w:sz w:val="21"/>
                <w:szCs w:val="22"/>
                <w:highlight w:val="none"/>
              </w:rPr>
              <w:t>，室内尺寸</w:t>
            </w:r>
            <w:r>
              <w:rPr>
                <w:sz w:val="21"/>
                <w:szCs w:val="22"/>
                <w:highlight w:val="none"/>
              </w:rPr>
              <w:t>长</w:t>
            </w:r>
            <w:r>
              <w:rPr>
                <w:rFonts w:hint="eastAsia"/>
                <w:sz w:val="21"/>
                <w:szCs w:val="22"/>
                <w:highlight w:val="none"/>
                <w:lang w:val="en-US" w:eastAsia="zh-CN"/>
              </w:rPr>
              <w:t>7.1</w:t>
            </w:r>
            <w:r>
              <w:rPr>
                <w:sz w:val="21"/>
                <w:szCs w:val="22"/>
                <w:highlight w:val="none"/>
              </w:rPr>
              <w:t>m×宽</w:t>
            </w:r>
            <w:r>
              <w:rPr>
                <w:rFonts w:hint="eastAsia"/>
                <w:sz w:val="21"/>
                <w:szCs w:val="22"/>
                <w:highlight w:val="none"/>
                <w:lang w:val="en-US" w:eastAsia="zh-CN"/>
              </w:rPr>
              <w:t>6.6</w:t>
            </w:r>
            <w:r>
              <w:rPr>
                <w:sz w:val="21"/>
                <w:szCs w:val="22"/>
                <w:highlight w:val="none"/>
              </w:rPr>
              <w:t>m×高</w:t>
            </w:r>
            <w:r>
              <w:rPr>
                <w:rFonts w:hint="eastAsia"/>
                <w:sz w:val="21"/>
                <w:szCs w:val="22"/>
                <w:highlight w:val="none"/>
                <w:lang w:val="en-US" w:eastAsia="zh-CN"/>
              </w:rPr>
              <w:t>4.7</w:t>
            </w:r>
            <w:r>
              <w:rPr>
                <w:sz w:val="21"/>
                <w:szCs w:val="22"/>
                <w:highlight w:val="none"/>
              </w:rPr>
              <w:t>m</w:t>
            </w:r>
            <w:r>
              <w:rPr>
                <w:rFonts w:hint="eastAsia"/>
                <w:sz w:val="21"/>
                <w:szCs w:val="22"/>
                <w:highlight w:val="none"/>
                <w:lang w:eastAsia="zh-CN"/>
              </w:rPr>
              <w:t>，</w:t>
            </w:r>
            <w:r>
              <w:rPr>
                <w:bCs/>
                <w:sz w:val="21"/>
                <w:szCs w:val="21"/>
                <w:highlight w:val="none"/>
              </w:rPr>
              <w:t>安装使用1台</w:t>
            </w:r>
            <w:r>
              <w:rPr>
                <w:rFonts w:hint="eastAsia"/>
                <w:bCs/>
                <w:sz w:val="21"/>
                <w:szCs w:val="21"/>
                <w:highlight w:val="none"/>
                <w:lang w:val="en-US" w:eastAsia="zh-CN"/>
              </w:rPr>
              <w:t>SPECT/CT</w:t>
            </w:r>
            <w:r>
              <w:rPr>
                <w:bCs/>
                <w:sz w:val="21"/>
                <w:szCs w:val="21"/>
                <w:highlight w:val="none"/>
              </w:rPr>
              <w:t>（型号未定），额定管电压140kV、额定管电流900mA</w:t>
            </w:r>
            <w:r>
              <w:rPr>
                <w:rFonts w:hint="eastAsia"/>
                <w:bCs/>
                <w:sz w:val="21"/>
                <w:szCs w:val="21"/>
                <w:highlight w:val="none"/>
                <w:lang w:eastAsia="zh-CN"/>
              </w:rPr>
              <w:t>，</w:t>
            </w:r>
            <w:r>
              <w:rPr>
                <w:rFonts w:hint="eastAsia"/>
                <w:bCs/>
                <w:sz w:val="21"/>
                <w:szCs w:val="21"/>
                <w:highlight w:val="none"/>
                <w:lang w:val="en-US" w:eastAsia="zh-CN"/>
              </w:rPr>
              <w:t>均</w:t>
            </w:r>
            <w:r>
              <w:rPr>
                <w:bCs/>
                <w:sz w:val="21"/>
                <w:szCs w:val="21"/>
                <w:highlight w:val="none"/>
              </w:rPr>
              <w:t>属于Ⅲ类射线装置，涉及使用的非密封放射性物质包括：</w:t>
            </w:r>
            <w:r>
              <w:rPr>
                <w:sz w:val="21"/>
                <w:szCs w:val="21"/>
                <w:highlight w:val="none"/>
                <w:vertAlign w:val="superscript"/>
              </w:rPr>
              <w:t>18</w:t>
            </w:r>
            <w:r>
              <w:rPr>
                <w:sz w:val="21"/>
                <w:szCs w:val="21"/>
                <w:highlight w:val="none"/>
              </w:rPr>
              <w:t>F、</w:t>
            </w:r>
            <w:r>
              <w:rPr>
                <w:rFonts w:hint="eastAsia"/>
                <w:sz w:val="21"/>
                <w:szCs w:val="21"/>
                <w:highlight w:val="none"/>
                <w:vertAlign w:val="superscript"/>
                <w:lang w:val="en-US" w:eastAsia="zh-CN"/>
              </w:rPr>
              <w:t>32</w:t>
            </w:r>
            <w:r>
              <w:rPr>
                <w:rFonts w:hint="eastAsia"/>
                <w:sz w:val="21"/>
                <w:szCs w:val="21"/>
                <w:highlight w:val="none"/>
                <w:lang w:val="en-US" w:eastAsia="zh-CN"/>
              </w:rPr>
              <w:t>P</w:t>
            </w:r>
            <w:r>
              <w:rPr>
                <w:sz w:val="21"/>
                <w:szCs w:val="21"/>
                <w:highlight w:val="none"/>
              </w:rPr>
              <w:t>、</w:t>
            </w:r>
            <w:r>
              <w:rPr>
                <w:sz w:val="21"/>
                <w:szCs w:val="21"/>
                <w:highlight w:val="none"/>
                <w:vertAlign w:val="superscript"/>
              </w:rPr>
              <w:t>68</w:t>
            </w:r>
            <w:r>
              <w:rPr>
                <w:sz w:val="21"/>
                <w:szCs w:val="21"/>
                <w:highlight w:val="none"/>
              </w:rPr>
              <w:t>Ga、</w:t>
            </w:r>
            <w:r>
              <w:rPr>
                <w:sz w:val="21"/>
                <w:szCs w:val="21"/>
                <w:highlight w:val="none"/>
                <w:vertAlign w:val="superscript"/>
              </w:rPr>
              <w:t>89</w:t>
            </w:r>
            <w:r>
              <w:rPr>
                <w:rFonts w:hint="eastAsia"/>
                <w:sz w:val="21"/>
                <w:szCs w:val="21"/>
                <w:highlight w:val="none"/>
                <w:lang w:val="en-US" w:eastAsia="zh-CN"/>
              </w:rPr>
              <w:t>Sr</w:t>
            </w:r>
            <w:r>
              <w:rPr>
                <w:sz w:val="21"/>
                <w:szCs w:val="21"/>
                <w:highlight w:val="none"/>
              </w:rPr>
              <w:t>、</w:t>
            </w:r>
            <w:r>
              <w:rPr>
                <w:rFonts w:hint="eastAsia"/>
                <w:sz w:val="21"/>
                <w:szCs w:val="21"/>
                <w:highlight w:val="none"/>
                <w:vertAlign w:val="superscript"/>
                <w:lang w:val="en-US" w:eastAsia="zh-CN"/>
              </w:rPr>
              <w:t>99m</w:t>
            </w:r>
            <w:r>
              <w:rPr>
                <w:rFonts w:hint="eastAsia"/>
                <w:sz w:val="21"/>
                <w:szCs w:val="21"/>
                <w:highlight w:val="none"/>
                <w:lang w:val="en-US" w:eastAsia="zh-CN"/>
              </w:rPr>
              <w:t>Tc、</w:t>
            </w:r>
            <w:r>
              <w:rPr>
                <w:sz w:val="21"/>
                <w:szCs w:val="21"/>
                <w:highlight w:val="none"/>
                <w:vertAlign w:val="superscript"/>
              </w:rPr>
              <w:t>1</w:t>
            </w:r>
            <w:r>
              <w:rPr>
                <w:rFonts w:hint="eastAsia"/>
                <w:sz w:val="21"/>
                <w:szCs w:val="21"/>
                <w:highlight w:val="none"/>
                <w:vertAlign w:val="superscript"/>
                <w:lang w:val="en-US" w:eastAsia="zh-CN"/>
              </w:rPr>
              <w:t>31</w:t>
            </w:r>
            <w:r>
              <w:rPr>
                <w:sz w:val="21"/>
                <w:szCs w:val="21"/>
                <w:highlight w:val="none"/>
              </w:rPr>
              <w:t>I，总的日等效最大操作量为</w:t>
            </w:r>
            <w:r>
              <w:rPr>
                <w:rFonts w:hint="eastAsia"/>
                <w:sz w:val="21"/>
                <w:szCs w:val="21"/>
                <w:highlight w:val="none"/>
                <w:lang w:val="en-US" w:eastAsia="zh-CN"/>
              </w:rPr>
              <w:t>4.97</w:t>
            </w:r>
            <w:r>
              <w:rPr>
                <w:sz w:val="21"/>
                <w:szCs w:val="21"/>
                <w:highlight w:val="none"/>
              </w:rPr>
              <w:t>×10</w:t>
            </w:r>
            <w:r>
              <w:rPr>
                <w:sz w:val="21"/>
                <w:szCs w:val="21"/>
                <w:highlight w:val="none"/>
                <w:vertAlign w:val="superscript"/>
              </w:rPr>
              <w:t>8</w:t>
            </w:r>
            <w:r>
              <w:rPr>
                <w:sz w:val="21"/>
                <w:szCs w:val="21"/>
                <w:highlight w:val="none"/>
              </w:rPr>
              <w:t>Bq，属于乙级非密封放射性物质工作场所。</w:t>
            </w:r>
          </w:p>
        </w:tc>
        <w:tc>
          <w:tcPr>
            <w:tcW w:w="383" w:type="pct"/>
            <w:vMerge w:val="restart"/>
            <w:vAlign w:val="center"/>
          </w:tcPr>
          <w:p w14:paraId="42EDC2A7">
            <w:pPr>
              <w:spacing w:line="360" w:lineRule="exact"/>
              <w:jc w:val="center"/>
              <w:rPr>
                <w:bCs/>
                <w:sz w:val="21"/>
                <w:szCs w:val="21"/>
              </w:rPr>
            </w:pPr>
            <w:r>
              <w:rPr>
                <w:bCs/>
                <w:sz w:val="21"/>
                <w:szCs w:val="21"/>
              </w:rPr>
              <w:t>施工废水、固体废物、噪声、</w:t>
            </w:r>
          </w:p>
          <w:p w14:paraId="365166A5">
            <w:pPr>
              <w:spacing w:line="360" w:lineRule="exact"/>
              <w:jc w:val="center"/>
              <w:rPr>
                <w:bCs/>
                <w:sz w:val="21"/>
                <w:szCs w:val="21"/>
              </w:rPr>
            </w:pPr>
            <w:r>
              <w:rPr>
                <w:bCs/>
                <w:sz w:val="21"/>
                <w:szCs w:val="21"/>
              </w:rPr>
              <w:t>扬尘等</w:t>
            </w:r>
          </w:p>
        </w:tc>
        <w:tc>
          <w:tcPr>
            <w:tcW w:w="769" w:type="pct"/>
            <w:vMerge w:val="restart"/>
            <w:vAlign w:val="center"/>
          </w:tcPr>
          <w:p w14:paraId="6BDBA9F2">
            <w:pPr>
              <w:spacing w:line="360" w:lineRule="exact"/>
              <w:jc w:val="center"/>
              <w:rPr>
                <w:bCs/>
                <w:sz w:val="21"/>
                <w:szCs w:val="21"/>
              </w:rPr>
            </w:pPr>
            <w:r>
              <w:rPr>
                <w:bCs/>
                <w:sz w:val="21"/>
                <w:szCs w:val="21"/>
              </w:rPr>
              <w:t>X/β/γ射线、轫致辐射、中子、放射性废气、放射性废水、放射性固废、β表面沾污、臭氧等</w:t>
            </w:r>
          </w:p>
        </w:tc>
      </w:tr>
      <w:tr w14:paraId="23F4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Align w:val="center"/>
          </w:tcPr>
          <w:p w14:paraId="3BEA5110">
            <w:pPr>
              <w:spacing w:line="360" w:lineRule="exact"/>
              <w:jc w:val="center"/>
              <w:rPr>
                <w:bCs/>
                <w:sz w:val="21"/>
                <w:szCs w:val="21"/>
              </w:rPr>
            </w:pPr>
            <w:r>
              <w:rPr>
                <w:rFonts w:hint="eastAsia"/>
                <w:bCs/>
                <w:sz w:val="21"/>
                <w:szCs w:val="21"/>
                <w:lang w:val="en-US" w:eastAsia="zh-CN"/>
              </w:rPr>
              <w:t>门诊医技楼四</w:t>
            </w:r>
            <w:r>
              <w:rPr>
                <w:bCs/>
                <w:sz w:val="21"/>
                <w:szCs w:val="21"/>
              </w:rPr>
              <w:t>层</w:t>
            </w:r>
          </w:p>
          <w:p w14:paraId="2734AA7B">
            <w:pPr>
              <w:spacing w:line="360" w:lineRule="exact"/>
              <w:jc w:val="center"/>
              <w:rPr>
                <w:rFonts w:hint="default" w:eastAsia="宋体"/>
                <w:bCs/>
                <w:sz w:val="21"/>
                <w:szCs w:val="21"/>
                <w:lang w:val="en-US" w:eastAsia="zh-CN" w:bidi="ar"/>
              </w:rPr>
            </w:pPr>
            <w:r>
              <w:rPr>
                <w:rFonts w:hint="eastAsia"/>
                <w:bCs/>
                <w:sz w:val="21"/>
                <w:szCs w:val="21"/>
                <w:lang w:val="en-US" w:eastAsia="zh-CN" w:bidi="ar"/>
              </w:rPr>
              <w:t>手术部和内镜中心</w:t>
            </w:r>
          </w:p>
        </w:tc>
        <w:tc>
          <w:tcPr>
            <w:tcW w:w="3299" w:type="pct"/>
            <w:gridSpan w:val="2"/>
            <w:vAlign w:val="center"/>
          </w:tcPr>
          <w:p w14:paraId="4D0A7B72">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b/>
                <w:bCs/>
                <w:color w:val="000000"/>
                <w:sz w:val="21"/>
                <w:szCs w:val="22"/>
                <w:highlight w:val="none"/>
              </w:rPr>
            </w:pPr>
            <w:r>
              <w:rPr>
                <w:rFonts w:hint="eastAsia" w:ascii="Cambria Math" w:hAnsi="Cambria Math" w:cs="Cambria Math"/>
                <w:b/>
                <w:bCs/>
                <w:color w:val="000000"/>
                <w:sz w:val="21"/>
                <w:szCs w:val="22"/>
                <w:highlight w:val="none"/>
              </w:rPr>
              <w:t>①</w:t>
            </w:r>
            <w:r>
              <w:rPr>
                <w:rFonts w:hint="eastAsia"/>
                <w:b/>
                <w:bCs/>
                <w:color w:val="000000"/>
                <w:sz w:val="21"/>
                <w:szCs w:val="22"/>
                <w:highlight w:val="none"/>
                <w:lang w:eastAsia="zh-CN"/>
              </w:rPr>
              <w:t>DSA+CT</w:t>
            </w:r>
            <w:r>
              <w:rPr>
                <w:b/>
                <w:bCs/>
                <w:color w:val="000000"/>
                <w:sz w:val="21"/>
                <w:szCs w:val="22"/>
                <w:highlight w:val="none"/>
              </w:rPr>
              <w:t>复合手术室</w:t>
            </w:r>
          </w:p>
          <w:p w14:paraId="3C42A32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eastAsia="宋体"/>
                <w:sz w:val="21"/>
                <w:szCs w:val="22"/>
                <w:highlight w:val="none"/>
                <w:lang w:val="en-US" w:eastAsia="zh-CN"/>
              </w:rPr>
            </w:pPr>
            <w:r>
              <w:rPr>
                <w:rFonts w:hint="eastAsia"/>
                <w:sz w:val="21"/>
                <w:szCs w:val="22"/>
                <w:highlight w:val="none"/>
              </w:rPr>
              <w:t>位于</w:t>
            </w:r>
            <w:r>
              <w:rPr>
                <w:rFonts w:hint="eastAsia"/>
                <w:sz w:val="21"/>
                <w:szCs w:val="22"/>
                <w:highlight w:val="none"/>
                <w:lang w:val="en-US" w:eastAsia="zh-CN"/>
              </w:rPr>
              <w:t>手术部</w:t>
            </w:r>
            <w:r>
              <w:rPr>
                <w:rFonts w:hint="eastAsia"/>
                <w:sz w:val="21"/>
                <w:szCs w:val="22"/>
                <w:highlight w:val="none"/>
              </w:rPr>
              <w:t>，由</w:t>
            </w:r>
            <w:r>
              <w:rPr>
                <w:rFonts w:hint="eastAsia"/>
                <w:sz w:val="21"/>
                <w:szCs w:val="22"/>
                <w:highlight w:val="none"/>
                <w:lang w:eastAsia="zh-CN"/>
              </w:rPr>
              <w:t>DSA+CT</w:t>
            </w:r>
            <w:r>
              <w:rPr>
                <w:rFonts w:hint="eastAsia"/>
                <w:sz w:val="21"/>
                <w:szCs w:val="22"/>
                <w:highlight w:val="none"/>
                <w:lang w:val="en-US" w:eastAsia="zh-CN"/>
              </w:rPr>
              <w:t>复合</w:t>
            </w:r>
            <w:r>
              <w:rPr>
                <w:rFonts w:hint="eastAsia"/>
                <w:sz w:val="21"/>
                <w:szCs w:val="22"/>
                <w:highlight w:val="none"/>
              </w:rPr>
              <w:t>手术室和CT</w:t>
            </w:r>
            <w:r>
              <w:rPr>
                <w:rFonts w:hint="eastAsia"/>
                <w:sz w:val="21"/>
                <w:szCs w:val="22"/>
                <w:highlight w:val="none"/>
                <w:lang w:val="en-US" w:eastAsia="zh-CN"/>
              </w:rPr>
              <w:t>设备间</w:t>
            </w:r>
            <w:r>
              <w:rPr>
                <w:rFonts w:hint="eastAsia"/>
                <w:sz w:val="21"/>
                <w:szCs w:val="22"/>
                <w:highlight w:val="none"/>
              </w:rPr>
              <w:t>组成，其中：</w:t>
            </w:r>
            <w:r>
              <w:rPr>
                <w:rFonts w:hint="eastAsia"/>
                <w:sz w:val="21"/>
                <w:szCs w:val="22"/>
                <w:highlight w:val="none"/>
                <w:lang w:eastAsia="zh-CN"/>
              </w:rPr>
              <w:t>DSA+CT</w:t>
            </w:r>
            <w:r>
              <w:rPr>
                <w:rFonts w:hint="eastAsia"/>
                <w:sz w:val="21"/>
                <w:szCs w:val="22"/>
                <w:highlight w:val="none"/>
                <w:lang w:val="en-US" w:eastAsia="zh-CN"/>
              </w:rPr>
              <w:t>复合</w:t>
            </w:r>
            <w:r>
              <w:rPr>
                <w:rFonts w:hint="eastAsia"/>
                <w:sz w:val="21"/>
                <w:szCs w:val="22"/>
                <w:highlight w:val="none"/>
              </w:rPr>
              <w:t>手术室室内面积</w:t>
            </w:r>
            <w:r>
              <w:rPr>
                <w:rFonts w:hint="eastAsia"/>
                <w:sz w:val="21"/>
                <w:szCs w:val="22"/>
                <w:highlight w:val="none"/>
                <w:lang w:val="en-US" w:eastAsia="zh-CN"/>
              </w:rPr>
              <w:t>61.84</w:t>
            </w:r>
            <w:r>
              <w:rPr>
                <w:sz w:val="21"/>
                <w:szCs w:val="22"/>
                <w:highlight w:val="none"/>
              </w:rPr>
              <w:t>m</w:t>
            </w:r>
            <w:r>
              <w:rPr>
                <w:sz w:val="21"/>
                <w:szCs w:val="22"/>
                <w:highlight w:val="none"/>
                <w:vertAlign w:val="superscript"/>
              </w:rPr>
              <w:t>2</w:t>
            </w:r>
            <w:r>
              <w:rPr>
                <w:rFonts w:hint="eastAsia"/>
                <w:sz w:val="21"/>
                <w:szCs w:val="22"/>
                <w:highlight w:val="none"/>
              </w:rPr>
              <w:t>，室内尺寸</w:t>
            </w:r>
            <w:r>
              <w:rPr>
                <w:sz w:val="21"/>
                <w:szCs w:val="22"/>
                <w:highlight w:val="none"/>
              </w:rPr>
              <w:t>长</w:t>
            </w:r>
            <w:r>
              <w:rPr>
                <w:rFonts w:hint="eastAsia"/>
                <w:sz w:val="21"/>
                <w:szCs w:val="22"/>
                <w:highlight w:val="none"/>
                <w:lang w:val="en-US" w:eastAsia="zh-CN"/>
              </w:rPr>
              <w:t>9.23</w:t>
            </w:r>
            <w:r>
              <w:rPr>
                <w:sz w:val="21"/>
                <w:szCs w:val="22"/>
                <w:highlight w:val="none"/>
              </w:rPr>
              <w:t>m×宽</w:t>
            </w:r>
            <w:r>
              <w:rPr>
                <w:rFonts w:hint="eastAsia"/>
                <w:sz w:val="21"/>
                <w:szCs w:val="22"/>
                <w:highlight w:val="none"/>
                <w:lang w:val="en-US" w:eastAsia="zh-CN"/>
              </w:rPr>
              <w:t>6.7</w:t>
            </w:r>
            <w:r>
              <w:rPr>
                <w:sz w:val="21"/>
                <w:szCs w:val="22"/>
                <w:highlight w:val="none"/>
              </w:rPr>
              <w:t>m×高</w:t>
            </w:r>
            <w:r>
              <w:rPr>
                <w:rFonts w:hint="eastAsia"/>
                <w:sz w:val="21"/>
                <w:szCs w:val="22"/>
                <w:highlight w:val="none"/>
                <w:lang w:val="en-US" w:eastAsia="zh-CN"/>
              </w:rPr>
              <w:t>4.3</w:t>
            </w:r>
            <w:r>
              <w:rPr>
                <w:sz w:val="21"/>
                <w:szCs w:val="22"/>
                <w:highlight w:val="none"/>
              </w:rPr>
              <w:t>m</w:t>
            </w:r>
            <w:r>
              <w:rPr>
                <w:rFonts w:hint="eastAsia"/>
                <w:sz w:val="21"/>
                <w:szCs w:val="22"/>
                <w:highlight w:val="none"/>
              </w:rPr>
              <w:t>。</w:t>
            </w:r>
            <w:r>
              <w:rPr>
                <w:rFonts w:hint="eastAsia"/>
                <w:sz w:val="21"/>
                <w:szCs w:val="22"/>
                <w:highlight w:val="none"/>
                <w:lang w:val="en-US" w:eastAsia="zh-CN"/>
              </w:rPr>
              <w:t>设有</w:t>
            </w:r>
            <w:r>
              <w:rPr>
                <w:bCs/>
                <w:sz w:val="21"/>
                <w:szCs w:val="22"/>
                <w:highlight w:val="none"/>
              </w:rPr>
              <w:t>观察窗</w:t>
            </w:r>
            <w:r>
              <w:rPr>
                <w:rFonts w:hint="eastAsia"/>
                <w:bCs/>
                <w:sz w:val="21"/>
                <w:szCs w:val="22"/>
                <w:highlight w:val="none"/>
              </w:rPr>
              <w:t>1扇；</w:t>
            </w:r>
            <w:r>
              <w:rPr>
                <w:bCs/>
                <w:sz w:val="21"/>
                <w:szCs w:val="22"/>
                <w:highlight w:val="none"/>
              </w:rPr>
              <w:t>患者通道</w:t>
            </w:r>
            <w:r>
              <w:rPr>
                <w:rFonts w:hint="eastAsia"/>
                <w:bCs/>
                <w:sz w:val="21"/>
                <w:szCs w:val="22"/>
                <w:highlight w:val="none"/>
                <w:lang w:val="en-US" w:eastAsia="zh-CN"/>
              </w:rPr>
              <w:t>门</w:t>
            </w:r>
            <w:r>
              <w:rPr>
                <w:bCs/>
                <w:sz w:val="21"/>
                <w:szCs w:val="22"/>
                <w:highlight w:val="none"/>
              </w:rPr>
              <w:t>、医生通道</w:t>
            </w:r>
            <w:r>
              <w:rPr>
                <w:rFonts w:hint="eastAsia"/>
                <w:bCs/>
                <w:sz w:val="21"/>
                <w:szCs w:val="22"/>
                <w:highlight w:val="none"/>
                <w:lang w:val="en-US" w:eastAsia="zh-CN"/>
              </w:rPr>
              <w:t>门</w:t>
            </w:r>
            <w:r>
              <w:rPr>
                <w:rFonts w:hint="eastAsia"/>
                <w:bCs/>
                <w:sz w:val="21"/>
                <w:szCs w:val="22"/>
                <w:highlight w:val="none"/>
                <w:lang w:eastAsia="zh-CN"/>
              </w:rPr>
              <w:t>、</w:t>
            </w:r>
            <w:r>
              <w:rPr>
                <w:rFonts w:hint="eastAsia"/>
                <w:bCs/>
                <w:sz w:val="21"/>
                <w:szCs w:val="22"/>
                <w:highlight w:val="none"/>
              </w:rPr>
              <w:t>CT通道</w:t>
            </w:r>
            <w:r>
              <w:rPr>
                <w:rFonts w:hint="eastAsia"/>
                <w:bCs/>
                <w:sz w:val="21"/>
                <w:szCs w:val="22"/>
                <w:highlight w:val="none"/>
                <w:lang w:val="en-US" w:eastAsia="zh-CN"/>
              </w:rPr>
              <w:t>门和</w:t>
            </w:r>
            <w:r>
              <w:rPr>
                <w:bCs/>
                <w:sz w:val="21"/>
                <w:szCs w:val="22"/>
                <w:highlight w:val="none"/>
              </w:rPr>
              <w:t>污物通道</w:t>
            </w:r>
            <w:r>
              <w:rPr>
                <w:rFonts w:hint="eastAsia"/>
                <w:bCs/>
                <w:sz w:val="21"/>
                <w:szCs w:val="22"/>
                <w:highlight w:val="none"/>
                <w:lang w:val="en-US" w:eastAsia="zh-CN"/>
              </w:rPr>
              <w:t>门</w:t>
            </w:r>
            <w:r>
              <w:rPr>
                <w:bCs/>
                <w:sz w:val="21"/>
                <w:szCs w:val="22"/>
                <w:highlight w:val="none"/>
              </w:rPr>
              <w:t>各</w:t>
            </w:r>
            <w:r>
              <w:rPr>
                <w:rFonts w:hint="eastAsia"/>
                <w:bCs/>
                <w:sz w:val="21"/>
                <w:szCs w:val="22"/>
                <w:highlight w:val="none"/>
                <w:lang w:val="en-US" w:eastAsia="zh-CN"/>
              </w:rPr>
              <w:t>1</w:t>
            </w:r>
            <w:r>
              <w:rPr>
                <w:bCs/>
                <w:sz w:val="21"/>
                <w:szCs w:val="22"/>
                <w:highlight w:val="none"/>
              </w:rPr>
              <w:t>扇</w:t>
            </w:r>
            <w:r>
              <w:rPr>
                <w:rFonts w:hint="eastAsia"/>
                <w:bCs/>
                <w:sz w:val="21"/>
                <w:szCs w:val="22"/>
                <w:highlight w:val="none"/>
              </w:rPr>
              <w:t>（共</w:t>
            </w:r>
            <w:r>
              <w:rPr>
                <w:rFonts w:hint="eastAsia"/>
                <w:bCs/>
                <w:sz w:val="21"/>
                <w:szCs w:val="22"/>
                <w:highlight w:val="none"/>
                <w:lang w:val="en-US" w:eastAsia="zh-CN"/>
              </w:rPr>
              <w:t>4</w:t>
            </w:r>
            <w:r>
              <w:rPr>
                <w:rFonts w:hint="eastAsia"/>
                <w:bCs/>
                <w:sz w:val="21"/>
                <w:szCs w:val="22"/>
                <w:highlight w:val="none"/>
              </w:rPr>
              <w:t>扇）；</w:t>
            </w:r>
            <w:r>
              <w:rPr>
                <w:rFonts w:hint="eastAsia"/>
                <w:sz w:val="21"/>
                <w:szCs w:val="22"/>
                <w:highlight w:val="none"/>
              </w:rPr>
              <w:t>CT</w:t>
            </w:r>
            <w:r>
              <w:rPr>
                <w:rFonts w:hint="eastAsia"/>
                <w:sz w:val="21"/>
                <w:szCs w:val="22"/>
                <w:highlight w:val="none"/>
                <w:lang w:val="en-US" w:eastAsia="zh-CN"/>
              </w:rPr>
              <w:t>设备间</w:t>
            </w:r>
            <w:r>
              <w:rPr>
                <w:rFonts w:hint="eastAsia"/>
                <w:sz w:val="21"/>
                <w:szCs w:val="22"/>
                <w:highlight w:val="none"/>
              </w:rPr>
              <w:t>室内面积</w:t>
            </w:r>
            <w:r>
              <w:rPr>
                <w:rFonts w:hint="eastAsia"/>
                <w:sz w:val="21"/>
                <w:szCs w:val="22"/>
                <w:highlight w:val="none"/>
                <w:lang w:val="en-US" w:eastAsia="zh-CN"/>
              </w:rPr>
              <w:t>13.56</w:t>
            </w:r>
            <w:r>
              <w:rPr>
                <w:sz w:val="21"/>
                <w:szCs w:val="22"/>
                <w:highlight w:val="none"/>
              </w:rPr>
              <w:t>m</w:t>
            </w:r>
            <w:r>
              <w:rPr>
                <w:sz w:val="21"/>
                <w:szCs w:val="22"/>
                <w:highlight w:val="none"/>
                <w:vertAlign w:val="superscript"/>
              </w:rPr>
              <w:t>2</w:t>
            </w:r>
            <w:r>
              <w:rPr>
                <w:rFonts w:hint="eastAsia"/>
                <w:sz w:val="21"/>
                <w:szCs w:val="22"/>
                <w:highlight w:val="none"/>
              </w:rPr>
              <w:t>，室内尺寸</w:t>
            </w:r>
            <w:r>
              <w:rPr>
                <w:sz w:val="21"/>
                <w:szCs w:val="22"/>
                <w:highlight w:val="none"/>
              </w:rPr>
              <w:t>长</w:t>
            </w:r>
            <w:r>
              <w:rPr>
                <w:rFonts w:hint="eastAsia"/>
                <w:sz w:val="21"/>
                <w:szCs w:val="22"/>
                <w:highlight w:val="none"/>
                <w:lang w:val="en-US" w:eastAsia="zh-CN"/>
              </w:rPr>
              <w:t>5.65</w:t>
            </w:r>
            <w:r>
              <w:rPr>
                <w:sz w:val="21"/>
                <w:szCs w:val="22"/>
                <w:highlight w:val="none"/>
              </w:rPr>
              <w:t>m×宽</w:t>
            </w:r>
            <w:r>
              <w:rPr>
                <w:rFonts w:hint="eastAsia"/>
                <w:sz w:val="21"/>
                <w:szCs w:val="22"/>
                <w:highlight w:val="none"/>
                <w:lang w:val="en-US" w:eastAsia="zh-CN"/>
              </w:rPr>
              <w:t>2.4</w:t>
            </w:r>
            <w:r>
              <w:rPr>
                <w:sz w:val="21"/>
                <w:szCs w:val="22"/>
                <w:highlight w:val="none"/>
              </w:rPr>
              <w:t>m×高</w:t>
            </w:r>
            <w:r>
              <w:rPr>
                <w:rFonts w:hint="eastAsia"/>
                <w:sz w:val="21"/>
                <w:szCs w:val="22"/>
                <w:highlight w:val="none"/>
                <w:lang w:val="en-US" w:eastAsia="zh-CN"/>
              </w:rPr>
              <w:t>4.3</w:t>
            </w:r>
            <w:r>
              <w:rPr>
                <w:sz w:val="21"/>
                <w:szCs w:val="22"/>
                <w:highlight w:val="none"/>
              </w:rPr>
              <w:t>m</w:t>
            </w:r>
            <w:r>
              <w:rPr>
                <w:rFonts w:hint="eastAsia"/>
                <w:sz w:val="21"/>
                <w:szCs w:val="22"/>
                <w:highlight w:val="none"/>
              </w:rPr>
              <w:t>。</w:t>
            </w:r>
            <w:r>
              <w:rPr>
                <w:rFonts w:hint="eastAsia"/>
                <w:sz w:val="21"/>
                <w:szCs w:val="22"/>
                <w:highlight w:val="none"/>
                <w:lang w:val="en-US" w:eastAsia="zh-CN"/>
              </w:rPr>
              <w:t>设房间门和</w:t>
            </w:r>
            <w:r>
              <w:rPr>
                <w:rFonts w:hint="eastAsia"/>
                <w:bCs/>
                <w:sz w:val="21"/>
                <w:szCs w:val="22"/>
                <w:highlight w:val="none"/>
              </w:rPr>
              <w:t>CT通道</w:t>
            </w:r>
            <w:r>
              <w:rPr>
                <w:rFonts w:hint="eastAsia"/>
                <w:bCs/>
                <w:sz w:val="21"/>
                <w:szCs w:val="22"/>
                <w:highlight w:val="none"/>
                <w:lang w:val="en-US" w:eastAsia="zh-CN"/>
              </w:rPr>
              <w:t>门</w:t>
            </w:r>
            <w:r>
              <w:rPr>
                <w:rFonts w:hint="eastAsia"/>
                <w:bCs/>
                <w:sz w:val="21"/>
                <w:szCs w:val="22"/>
                <w:highlight w:val="none"/>
              </w:rPr>
              <w:t>（与</w:t>
            </w:r>
            <w:r>
              <w:rPr>
                <w:rFonts w:hint="eastAsia"/>
                <w:sz w:val="21"/>
                <w:szCs w:val="22"/>
                <w:highlight w:val="none"/>
                <w:lang w:eastAsia="zh-CN"/>
              </w:rPr>
              <w:t>DSA+CT</w:t>
            </w:r>
            <w:r>
              <w:rPr>
                <w:rFonts w:hint="eastAsia"/>
                <w:sz w:val="21"/>
                <w:szCs w:val="22"/>
                <w:highlight w:val="none"/>
                <w:lang w:val="en-US" w:eastAsia="zh-CN"/>
              </w:rPr>
              <w:t>复合</w:t>
            </w:r>
            <w:r>
              <w:rPr>
                <w:rFonts w:hint="eastAsia"/>
                <w:sz w:val="21"/>
                <w:szCs w:val="22"/>
                <w:highlight w:val="none"/>
              </w:rPr>
              <w:t>手术室共用</w:t>
            </w:r>
            <w:r>
              <w:rPr>
                <w:rFonts w:hint="eastAsia"/>
                <w:bCs/>
                <w:sz w:val="21"/>
                <w:szCs w:val="22"/>
                <w:highlight w:val="none"/>
              </w:rPr>
              <w:t>）</w:t>
            </w:r>
            <w:r>
              <w:rPr>
                <w:rFonts w:hint="eastAsia"/>
                <w:bCs/>
                <w:sz w:val="21"/>
                <w:szCs w:val="22"/>
                <w:highlight w:val="none"/>
                <w:lang w:val="en-US" w:eastAsia="zh-CN"/>
              </w:rPr>
              <w:t>各1扇（共2扇）。</w:t>
            </w:r>
          </w:p>
          <w:p w14:paraId="6C30B7D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sz w:val="21"/>
                <w:szCs w:val="22"/>
                <w:highlight w:val="none"/>
              </w:rPr>
            </w:pPr>
            <w:r>
              <w:rPr>
                <w:bCs/>
                <w:sz w:val="21"/>
                <w:szCs w:val="22"/>
                <w:highlight w:val="none"/>
              </w:rPr>
              <w:t>拟</w:t>
            </w:r>
            <w:r>
              <w:rPr>
                <w:sz w:val="21"/>
                <w:szCs w:val="22"/>
                <w:highlight w:val="none"/>
              </w:rPr>
              <w:t>在</w:t>
            </w:r>
            <w:r>
              <w:rPr>
                <w:rFonts w:hint="eastAsia"/>
                <w:sz w:val="21"/>
                <w:szCs w:val="22"/>
                <w:highlight w:val="none"/>
                <w:lang w:eastAsia="zh-CN"/>
              </w:rPr>
              <w:t>DSA+CT</w:t>
            </w:r>
            <w:r>
              <w:rPr>
                <w:rFonts w:hint="eastAsia"/>
                <w:sz w:val="21"/>
                <w:szCs w:val="22"/>
                <w:highlight w:val="none"/>
                <w:lang w:val="en-US" w:eastAsia="zh-CN"/>
              </w:rPr>
              <w:t>复合</w:t>
            </w:r>
            <w:r>
              <w:rPr>
                <w:sz w:val="21"/>
                <w:szCs w:val="22"/>
                <w:highlight w:val="none"/>
              </w:rPr>
              <w:t>手术室内新增使用1台</w:t>
            </w:r>
            <w:r>
              <w:rPr>
                <w:rFonts w:hint="eastAsia"/>
                <w:sz w:val="21"/>
                <w:szCs w:val="22"/>
                <w:highlight w:val="none"/>
                <w:lang w:val="en-US" w:eastAsia="zh-CN"/>
              </w:rPr>
              <w:t>DSA+CT复合手术设备</w:t>
            </w:r>
            <w:r>
              <w:rPr>
                <w:sz w:val="21"/>
                <w:szCs w:val="22"/>
                <w:highlight w:val="none"/>
              </w:rPr>
              <w:t>（型号未定），</w:t>
            </w:r>
            <w:r>
              <w:rPr>
                <w:rFonts w:hint="eastAsia"/>
                <w:sz w:val="21"/>
                <w:szCs w:val="22"/>
                <w:highlight w:val="none"/>
              </w:rPr>
              <w:t>其中DSA部分额定管电压125kV、额定管电流1000mA，CT部分额定管电压140kV、额定管电流1300mA</w:t>
            </w:r>
            <w:r>
              <w:rPr>
                <w:sz w:val="21"/>
                <w:szCs w:val="22"/>
                <w:highlight w:val="none"/>
              </w:rPr>
              <w:t>，属于Ⅱ类</w:t>
            </w:r>
            <w:r>
              <w:rPr>
                <w:rFonts w:hint="eastAsia"/>
                <w:sz w:val="21"/>
                <w:szCs w:val="22"/>
                <w:highlight w:val="none"/>
                <w:lang w:val="en-US" w:eastAsia="zh-CN"/>
              </w:rPr>
              <w:t>+</w:t>
            </w:r>
            <w:r>
              <w:rPr>
                <w:rFonts w:hint="default" w:ascii="Times New Roman" w:hAnsi="Times New Roman" w:eastAsia="宋体" w:cs="Times New Roman"/>
                <w:spacing w:val="0"/>
                <w:sz w:val="21"/>
                <w:szCs w:val="21"/>
                <w:highlight w:val="none"/>
                <w:lang w:bidi="ar"/>
              </w:rPr>
              <w:t>Ⅲ类</w:t>
            </w:r>
            <w:r>
              <w:rPr>
                <w:sz w:val="21"/>
                <w:szCs w:val="22"/>
                <w:highlight w:val="none"/>
              </w:rPr>
              <w:t>射线装置</w:t>
            </w:r>
            <w:r>
              <w:rPr>
                <w:rFonts w:hint="eastAsia"/>
                <w:sz w:val="21"/>
                <w:szCs w:val="22"/>
                <w:highlight w:val="none"/>
              </w:rPr>
              <w:t>。</w:t>
            </w:r>
          </w:p>
          <w:p w14:paraId="1FF9744C">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b/>
                <w:bCs/>
                <w:sz w:val="21"/>
                <w:szCs w:val="22"/>
                <w:highlight w:val="none"/>
              </w:rPr>
            </w:pPr>
            <w:r>
              <w:rPr>
                <w:rFonts w:hint="eastAsia" w:ascii="Cambria Math" w:hAnsi="Cambria Math" w:cs="Cambria Math"/>
                <w:b/>
                <w:bCs/>
                <w:sz w:val="21"/>
                <w:szCs w:val="22"/>
                <w:highlight w:val="none"/>
              </w:rPr>
              <w:t>②</w:t>
            </w:r>
            <w:r>
              <w:rPr>
                <w:b/>
                <w:bCs/>
                <w:color w:val="000000"/>
                <w:sz w:val="21"/>
                <w:szCs w:val="22"/>
                <w:highlight w:val="none"/>
              </w:rPr>
              <w:t>DSA手术室</w:t>
            </w:r>
          </w:p>
          <w:p w14:paraId="0B60417E">
            <w:pPr>
              <w:pStyle w:val="20"/>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sz w:val="21"/>
                <w:szCs w:val="22"/>
                <w:highlight w:val="none"/>
              </w:rPr>
            </w:pPr>
            <w:r>
              <w:rPr>
                <w:rFonts w:hint="eastAsia"/>
                <w:sz w:val="21"/>
                <w:szCs w:val="22"/>
                <w:highlight w:val="none"/>
              </w:rPr>
              <w:t>位于</w:t>
            </w:r>
            <w:r>
              <w:rPr>
                <w:rFonts w:hint="eastAsia"/>
                <w:sz w:val="21"/>
                <w:szCs w:val="22"/>
                <w:highlight w:val="none"/>
                <w:lang w:val="en-US" w:eastAsia="zh-CN"/>
              </w:rPr>
              <w:t>手术部</w:t>
            </w:r>
            <w:r>
              <w:rPr>
                <w:rFonts w:hint="eastAsia"/>
                <w:sz w:val="21"/>
                <w:szCs w:val="22"/>
                <w:highlight w:val="none"/>
              </w:rPr>
              <w:t>，</w:t>
            </w:r>
            <w:r>
              <w:rPr>
                <w:color w:val="000000"/>
                <w:sz w:val="21"/>
                <w:szCs w:val="22"/>
                <w:highlight w:val="none"/>
              </w:rPr>
              <w:t>建设</w:t>
            </w:r>
            <w:r>
              <w:rPr>
                <w:rFonts w:hint="eastAsia"/>
                <w:color w:val="000000"/>
                <w:sz w:val="21"/>
                <w:szCs w:val="22"/>
                <w:highlight w:val="none"/>
                <w:lang w:val="en-US" w:eastAsia="zh-CN"/>
              </w:rPr>
              <w:t>3</w:t>
            </w:r>
            <w:r>
              <w:rPr>
                <w:color w:val="000000"/>
                <w:sz w:val="21"/>
                <w:szCs w:val="22"/>
                <w:highlight w:val="none"/>
              </w:rPr>
              <w:t>间DSA手术室（</w:t>
            </w:r>
            <w:r>
              <w:rPr>
                <w:rFonts w:hint="eastAsia"/>
                <w:color w:val="000000"/>
                <w:sz w:val="21"/>
                <w:szCs w:val="22"/>
                <w:highlight w:val="none"/>
                <w:lang w:val="en-US" w:eastAsia="zh-CN"/>
              </w:rPr>
              <w:t>OR09、OR10</w:t>
            </w:r>
            <w:r>
              <w:rPr>
                <w:rFonts w:hint="eastAsia"/>
                <w:color w:val="000000"/>
                <w:sz w:val="21"/>
                <w:szCs w:val="22"/>
                <w:highlight w:val="none"/>
              </w:rPr>
              <w:t>和</w:t>
            </w:r>
            <w:r>
              <w:rPr>
                <w:rFonts w:hint="eastAsia"/>
                <w:color w:val="000000"/>
                <w:sz w:val="21"/>
                <w:szCs w:val="22"/>
                <w:highlight w:val="none"/>
                <w:lang w:val="en-US" w:eastAsia="zh-CN"/>
              </w:rPr>
              <w:t>OR11</w:t>
            </w:r>
            <w:r>
              <w:rPr>
                <w:color w:val="000000"/>
                <w:sz w:val="21"/>
                <w:szCs w:val="22"/>
                <w:highlight w:val="none"/>
              </w:rPr>
              <w:t>）</w:t>
            </w:r>
            <w:r>
              <w:rPr>
                <w:rFonts w:hint="eastAsia"/>
                <w:color w:val="000000"/>
                <w:sz w:val="21"/>
                <w:szCs w:val="22"/>
                <w:highlight w:val="none"/>
              </w:rPr>
              <w:t>，</w:t>
            </w:r>
            <w:r>
              <w:rPr>
                <w:rFonts w:hint="eastAsia"/>
                <w:color w:val="000000"/>
                <w:sz w:val="21"/>
                <w:szCs w:val="22"/>
                <w:highlight w:val="none"/>
                <w:lang w:val="en-US" w:eastAsia="zh-CN"/>
              </w:rPr>
              <w:t>3间</w:t>
            </w:r>
            <w:r>
              <w:rPr>
                <w:rFonts w:hint="eastAsia"/>
                <w:sz w:val="21"/>
                <w:szCs w:val="22"/>
                <w:highlight w:val="none"/>
              </w:rPr>
              <w:t>DSA手术室室内面积</w:t>
            </w:r>
            <w:r>
              <w:rPr>
                <w:rFonts w:hint="eastAsia"/>
                <w:sz w:val="21"/>
                <w:szCs w:val="22"/>
                <w:highlight w:val="none"/>
                <w:lang w:val="en-US" w:eastAsia="zh-CN"/>
              </w:rPr>
              <w:t>均为47.6</w:t>
            </w:r>
            <w:r>
              <w:rPr>
                <w:sz w:val="21"/>
                <w:szCs w:val="22"/>
                <w:highlight w:val="none"/>
              </w:rPr>
              <w:t>m</w:t>
            </w:r>
            <w:r>
              <w:rPr>
                <w:sz w:val="21"/>
                <w:szCs w:val="22"/>
                <w:highlight w:val="none"/>
                <w:vertAlign w:val="superscript"/>
              </w:rPr>
              <w:t>2</w:t>
            </w:r>
            <w:r>
              <w:rPr>
                <w:rFonts w:hint="eastAsia"/>
                <w:sz w:val="21"/>
                <w:szCs w:val="22"/>
                <w:highlight w:val="none"/>
              </w:rPr>
              <w:t>，室内尺寸</w:t>
            </w:r>
            <w:r>
              <w:rPr>
                <w:sz w:val="21"/>
                <w:szCs w:val="22"/>
                <w:highlight w:val="none"/>
              </w:rPr>
              <w:t>长</w:t>
            </w:r>
            <w:r>
              <w:rPr>
                <w:rFonts w:hint="eastAsia"/>
                <w:sz w:val="21"/>
                <w:szCs w:val="22"/>
                <w:highlight w:val="none"/>
                <w:lang w:val="en-US" w:eastAsia="zh-CN"/>
              </w:rPr>
              <w:t>7.0</w:t>
            </w:r>
            <w:r>
              <w:rPr>
                <w:sz w:val="21"/>
                <w:szCs w:val="22"/>
                <w:highlight w:val="none"/>
              </w:rPr>
              <w:t>m×宽</w:t>
            </w:r>
            <w:r>
              <w:rPr>
                <w:rFonts w:hint="eastAsia"/>
                <w:sz w:val="21"/>
                <w:szCs w:val="22"/>
                <w:highlight w:val="none"/>
                <w:lang w:val="en-US" w:eastAsia="zh-CN"/>
              </w:rPr>
              <w:t>6.8</w:t>
            </w:r>
            <w:r>
              <w:rPr>
                <w:sz w:val="21"/>
                <w:szCs w:val="22"/>
                <w:highlight w:val="none"/>
              </w:rPr>
              <w:t>m×高</w:t>
            </w:r>
            <w:r>
              <w:rPr>
                <w:rFonts w:hint="eastAsia"/>
                <w:sz w:val="21"/>
                <w:szCs w:val="22"/>
                <w:highlight w:val="none"/>
                <w:lang w:val="en-US" w:eastAsia="zh-CN"/>
              </w:rPr>
              <w:t>4.3</w:t>
            </w:r>
            <w:r>
              <w:rPr>
                <w:sz w:val="21"/>
                <w:szCs w:val="22"/>
                <w:highlight w:val="none"/>
              </w:rPr>
              <w:t>m。</w:t>
            </w:r>
            <w:r>
              <w:rPr>
                <w:rFonts w:hint="eastAsia"/>
                <w:color w:val="000000"/>
                <w:sz w:val="21"/>
                <w:szCs w:val="22"/>
                <w:highlight w:val="none"/>
                <w:lang w:val="en-US" w:eastAsia="zh-CN"/>
              </w:rPr>
              <w:t>建筑情况基本</w:t>
            </w:r>
            <w:r>
              <w:rPr>
                <w:color w:val="000000"/>
                <w:sz w:val="21"/>
                <w:szCs w:val="22"/>
                <w:highlight w:val="none"/>
              </w:rPr>
              <w:t>一致</w:t>
            </w:r>
            <w:r>
              <w:rPr>
                <w:rFonts w:hint="eastAsia"/>
                <w:color w:val="000000"/>
                <w:sz w:val="21"/>
                <w:szCs w:val="22"/>
                <w:highlight w:val="none"/>
              </w:rPr>
              <w:t>：</w:t>
            </w:r>
            <w:r>
              <w:rPr>
                <w:rFonts w:hint="eastAsia"/>
                <w:sz w:val="21"/>
                <w:szCs w:val="22"/>
                <w:highlight w:val="none"/>
                <w:lang w:val="en-US" w:eastAsia="zh-CN"/>
              </w:rPr>
              <w:t>设有</w:t>
            </w:r>
            <w:r>
              <w:rPr>
                <w:bCs/>
                <w:sz w:val="21"/>
                <w:szCs w:val="22"/>
                <w:highlight w:val="none"/>
              </w:rPr>
              <w:t>观察窗</w:t>
            </w:r>
            <w:r>
              <w:rPr>
                <w:rFonts w:hint="eastAsia"/>
                <w:bCs/>
                <w:sz w:val="21"/>
                <w:szCs w:val="22"/>
                <w:highlight w:val="none"/>
              </w:rPr>
              <w:t>1扇；</w:t>
            </w:r>
            <w:r>
              <w:rPr>
                <w:bCs/>
                <w:sz w:val="21"/>
                <w:szCs w:val="22"/>
                <w:highlight w:val="none"/>
              </w:rPr>
              <w:t>患者通道</w:t>
            </w:r>
            <w:r>
              <w:rPr>
                <w:rFonts w:hint="eastAsia"/>
                <w:bCs/>
                <w:sz w:val="21"/>
                <w:szCs w:val="22"/>
                <w:highlight w:val="none"/>
                <w:lang w:val="en-US" w:eastAsia="zh-CN"/>
              </w:rPr>
              <w:t>门</w:t>
            </w:r>
            <w:r>
              <w:rPr>
                <w:bCs/>
                <w:sz w:val="21"/>
                <w:szCs w:val="22"/>
                <w:highlight w:val="none"/>
              </w:rPr>
              <w:t>、医生通道</w:t>
            </w:r>
            <w:r>
              <w:rPr>
                <w:rFonts w:hint="eastAsia"/>
                <w:bCs/>
                <w:sz w:val="21"/>
                <w:szCs w:val="22"/>
                <w:highlight w:val="none"/>
                <w:lang w:val="en-US" w:eastAsia="zh-CN"/>
              </w:rPr>
              <w:t>门</w:t>
            </w:r>
            <w:r>
              <w:rPr>
                <w:bCs/>
                <w:sz w:val="21"/>
                <w:szCs w:val="22"/>
                <w:highlight w:val="none"/>
              </w:rPr>
              <w:t>和污物通道</w:t>
            </w:r>
            <w:r>
              <w:rPr>
                <w:rFonts w:hint="eastAsia"/>
                <w:bCs/>
                <w:sz w:val="21"/>
                <w:szCs w:val="22"/>
                <w:highlight w:val="none"/>
                <w:lang w:val="en-US" w:eastAsia="zh-CN"/>
              </w:rPr>
              <w:t>门</w:t>
            </w:r>
            <w:r>
              <w:rPr>
                <w:bCs/>
                <w:sz w:val="21"/>
                <w:szCs w:val="22"/>
                <w:highlight w:val="none"/>
              </w:rPr>
              <w:t>各</w:t>
            </w:r>
            <w:r>
              <w:rPr>
                <w:rFonts w:hint="eastAsia"/>
                <w:bCs/>
                <w:sz w:val="21"/>
                <w:szCs w:val="22"/>
                <w:highlight w:val="none"/>
                <w:lang w:val="en-US" w:eastAsia="zh-CN"/>
              </w:rPr>
              <w:t>1</w:t>
            </w:r>
            <w:r>
              <w:rPr>
                <w:bCs/>
                <w:sz w:val="21"/>
                <w:szCs w:val="22"/>
                <w:highlight w:val="none"/>
              </w:rPr>
              <w:t>扇</w:t>
            </w:r>
            <w:r>
              <w:rPr>
                <w:rFonts w:hint="eastAsia"/>
                <w:bCs/>
                <w:sz w:val="21"/>
                <w:szCs w:val="22"/>
                <w:highlight w:val="none"/>
              </w:rPr>
              <w:t>（共3扇）。</w:t>
            </w:r>
            <w:r>
              <w:rPr>
                <w:bCs/>
                <w:sz w:val="21"/>
                <w:szCs w:val="22"/>
                <w:highlight w:val="none"/>
              </w:rPr>
              <w:t>拟</w:t>
            </w:r>
            <w:r>
              <w:rPr>
                <w:sz w:val="21"/>
                <w:szCs w:val="22"/>
                <w:highlight w:val="none"/>
              </w:rPr>
              <w:t>在每个手术室内各新增使用1台数字减影血管造影机（DSA、型号未定），额定管电压均为1</w:t>
            </w:r>
            <w:r>
              <w:rPr>
                <w:rFonts w:hint="eastAsia"/>
                <w:sz w:val="21"/>
                <w:szCs w:val="22"/>
                <w:highlight w:val="none"/>
              </w:rPr>
              <w:t>25</w:t>
            </w:r>
            <w:r>
              <w:rPr>
                <w:sz w:val="21"/>
                <w:szCs w:val="22"/>
                <w:highlight w:val="none"/>
              </w:rPr>
              <w:t>kV，额定管电流均为</w:t>
            </w:r>
            <w:r>
              <w:rPr>
                <w:rFonts w:hint="eastAsia"/>
                <w:sz w:val="21"/>
                <w:szCs w:val="22"/>
                <w:highlight w:val="none"/>
              </w:rPr>
              <w:t>1</w:t>
            </w:r>
            <w:r>
              <w:rPr>
                <w:sz w:val="21"/>
                <w:szCs w:val="22"/>
                <w:highlight w:val="none"/>
              </w:rPr>
              <w:t>000mA，属于Ⅱ类射线装置。</w:t>
            </w:r>
          </w:p>
          <w:p w14:paraId="4599F84F">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b/>
                <w:bCs/>
                <w:sz w:val="21"/>
                <w:szCs w:val="22"/>
                <w:highlight w:val="none"/>
              </w:rPr>
            </w:pPr>
            <w:r>
              <w:rPr>
                <w:rFonts w:hint="eastAsia"/>
                <w:b/>
                <w:bCs/>
                <w:color w:val="000000"/>
                <w:sz w:val="21"/>
                <w:szCs w:val="22"/>
                <w:highlight w:val="none"/>
                <w:lang w:val="en-US" w:eastAsia="zh-CN"/>
              </w:rPr>
              <w:t>③ERCP</w:t>
            </w:r>
            <w:r>
              <w:rPr>
                <w:b/>
                <w:bCs/>
                <w:color w:val="000000"/>
                <w:sz w:val="21"/>
                <w:szCs w:val="22"/>
                <w:highlight w:val="none"/>
              </w:rPr>
              <w:t>室</w:t>
            </w:r>
          </w:p>
          <w:p w14:paraId="46A5A5F5">
            <w:pPr>
              <w:pStyle w:val="20"/>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highlight w:val="none"/>
              </w:rPr>
            </w:pPr>
            <w:r>
              <w:rPr>
                <w:rFonts w:hint="eastAsia"/>
                <w:sz w:val="21"/>
                <w:szCs w:val="22"/>
                <w:highlight w:val="none"/>
              </w:rPr>
              <w:t>位于</w:t>
            </w:r>
            <w:r>
              <w:rPr>
                <w:rFonts w:hint="eastAsia"/>
                <w:sz w:val="21"/>
                <w:szCs w:val="22"/>
                <w:highlight w:val="none"/>
                <w:lang w:val="en-US" w:eastAsia="zh-CN"/>
              </w:rPr>
              <w:t>内镜中心</w:t>
            </w:r>
            <w:r>
              <w:rPr>
                <w:rFonts w:hint="eastAsia"/>
                <w:sz w:val="21"/>
                <w:szCs w:val="22"/>
                <w:highlight w:val="none"/>
              </w:rPr>
              <w:t>，</w:t>
            </w:r>
            <w:r>
              <w:rPr>
                <w:color w:val="000000"/>
                <w:sz w:val="21"/>
                <w:szCs w:val="22"/>
                <w:highlight w:val="none"/>
              </w:rPr>
              <w:t>建设</w:t>
            </w:r>
            <w:r>
              <w:rPr>
                <w:rFonts w:hint="eastAsia"/>
                <w:color w:val="000000"/>
                <w:sz w:val="21"/>
                <w:szCs w:val="22"/>
                <w:highlight w:val="none"/>
                <w:lang w:val="en-US" w:eastAsia="zh-CN"/>
              </w:rPr>
              <w:t>1</w:t>
            </w:r>
            <w:r>
              <w:rPr>
                <w:color w:val="000000"/>
                <w:sz w:val="21"/>
                <w:szCs w:val="22"/>
                <w:highlight w:val="none"/>
              </w:rPr>
              <w:t>间</w:t>
            </w:r>
            <w:r>
              <w:rPr>
                <w:rFonts w:hint="eastAsia"/>
                <w:color w:val="000000"/>
                <w:sz w:val="21"/>
                <w:szCs w:val="22"/>
                <w:highlight w:val="none"/>
                <w:lang w:val="en-US" w:eastAsia="zh-CN"/>
              </w:rPr>
              <w:t>ERCP</w:t>
            </w:r>
            <w:r>
              <w:rPr>
                <w:color w:val="000000"/>
                <w:sz w:val="21"/>
                <w:szCs w:val="22"/>
                <w:highlight w:val="none"/>
              </w:rPr>
              <w:t>室</w:t>
            </w:r>
            <w:r>
              <w:rPr>
                <w:rFonts w:hint="eastAsia"/>
                <w:color w:val="000000"/>
                <w:sz w:val="21"/>
                <w:szCs w:val="22"/>
                <w:highlight w:val="none"/>
              </w:rPr>
              <w:t>，</w:t>
            </w:r>
            <w:r>
              <w:rPr>
                <w:rFonts w:hint="eastAsia"/>
                <w:sz w:val="21"/>
                <w:szCs w:val="22"/>
                <w:highlight w:val="none"/>
              </w:rPr>
              <w:t>室内面积</w:t>
            </w:r>
            <w:r>
              <w:rPr>
                <w:rFonts w:hint="eastAsia"/>
                <w:sz w:val="21"/>
                <w:szCs w:val="22"/>
                <w:highlight w:val="none"/>
                <w:lang w:val="en-US" w:eastAsia="zh-CN"/>
              </w:rPr>
              <w:t>为26.78</w:t>
            </w:r>
            <w:r>
              <w:rPr>
                <w:sz w:val="21"/>
                <w:szCs w:val="22"/>
                <w:highlight w:val="none"/>
              </w:rPr>
              <w:t>m</w:t>
            </w:r>
            <w:r>
              <w:rPr>
                <w:sz w:val="21"/>
                <w:szCs w:val="22"/>
                <w:highlight w:val="none"/>
                <w:vertAlign w:val="superscript"/>
              </w:rPr>
              <w:t>2</w:t>
            </w:r>
            <w:r>
              <w:rPr>
                <w:rFonts w:hint="eastAsia"/>
                <w:sz w:val="21"/>
                <w:szCs w:val="22"/>
                <w:highlight w:val="none"/>
              </w:rPr>
              <w:t>，室内尺寸</w:t>
            </w:r>
            <w:r>
              <w:rPr>
                <w:sz w:val="21"/>
                <w:szCs w:val="22"/>
                <w:highlight w:val="none"/>
              </w:rPr>
              <w:t>长</w:t>
            </w:r>
            <w:r>
              <w:rPr>
                <w:rFonts w:hint="eastAsia"/>
                <w:sz w:val="21"/>
                <w:szCs w:val="22"/>
                <w:highlight w:val="none"/>
                <w:lang w:val="en-US" w:eastAsia="zh-CN"/>
              </w:rPr>
              <w:t>5.4</w:t>
            </w:r>
            <w:r>
              <w:rPr>
                <w:sz w:val="21"/>
                <w:szCs w:val="22"/>
                <w:highlight w:val="none"/>
              </w:rPr>
              <w:t>m×宽</w:t>
            </w:r>
            <w:r>
              <w:rPr>
                <w:rFonts w:hint="eastAsia"/>
                <w:sz w:val="21"/>
                <w:szCs w:val="22"/>
                <w:highlight w:val="none"/>
                <w:lang w:val="en-US" w:eastAsia="zh-CN"/>
              </w:rPr>
              <w:t>4.96</w:t>
            </w:r>
            <w:r>
              <w:rPr>
                <w:sz w:val="21"/>
                <w:szCs w:val="22"/>
                <w:highlight w:val="none"/>
              </w:rPr>
              <w:t>m×高</w:t>
            </w:r>
            <w:r>
              <w:rPr>
                <w:rFonts w:hint="eastAsia"/>
                <w:sz w:val="21"/>
                <w:szCs w:val="22"/>
                <w:highlight w:val="none"/>
                <w:lang w:val="en-US" w:eastAsia="zh-CN"/>
              </w:rPr>
              <w:t>4.3</w:t>
            </w:r>
            <w:r>
              <w:rPr>
                <w:sz w:val="21"/>
                <w:szCs w:val="22"/>
                <w:highlight w:val="none"/>
              </w:rPr>
              <w:t>m。</w:t>
            </w:r>
            <w:r>
              <w:rPr>
                <w:rFonts w:hint="eastAsia"/>
                <w:sz w:val="21"/>
                <w:szCs w:val="22"/>
                <w:highlight w:val="none"/>
                <w:lang w:val="en-US" w:eastAsia="zh-CN"/>
              </w:rPr>
              <w:t>设有</w:t>
            </w:r>
            <w:r>
              <w:rPr>
                <w:bCs/>
                <w:sz w:val="21"/>
                <w:szCs w:val="22"/>
                <w:highlight w:val="none"/>
              </w:rPr>
              <w:t>观察窗</w:t>
            </w:r>
            <w:r>
              <w:rPr>
                <w:rFonts w:hint="eastAsia"/>
                <w:bCs/>
                <w:sz w:val="21"/>
                <w:szCs w:val="22"/>
                <w:highlight w:val="none"/>
              </w:rPr>
              <w:t>1扇；</w:t>
            </w:r>
            <w:r>
              <w:rPr>
                <w:bCs/>
                <w:sz w:val="21"/>
                <w:szCs w:val="22"/>
                <w:highlight w:val="none"/>
              </w:rPr>
              <w:t>患者通道</w:t>
            </w:r>
            <w:r>
              <w:rPr>
                <w:rFonts w:hint="eastAsia"/>
                <w:bCs/>
                <w:sz w:val="21"/>
                <w:szCs w:val="22"/>
                <w:highlight w:val="none"/>
                <w:lang w:val="en-US" w:eastAsia="zh-CN"/>
              </w:rPr>
              <w:t>门</w:t>
            </w:r>
            <w:r>
              <w:rPr>
                <w:bCs/>
                <w:sz w:val="21"/>
                <w:szCs w:val="22"/>
                <w:highlight w:val="none"/>
              </w:rPr>
              <w:t>、医生通道</w:t>
            </w:r>
            <w:r>
              <w:rPr>
                <w:rFonts w:hint="eastAsia"/>
                <w:bCs/>
                <w:sz w:val="21"/>
                <w:szCs w:val="22"/>
                <w:highlight w:val="none"/>
                <w:lang w:val="en-US" w:eastAsia="zh-CN"/>
              </w:rPr>
              <w:t>门</w:t>
            </w:r>
            <w:r>
              <w:rPr>
                <w:bCs/>
                <w:sz w:val="21"/>
                <w:szCs w:val="22"/>
                <w:highlight w:val="none"/>
              </w:rPr>
              <w:t>和</w:t>
            </w:r>
            <w:r>
              <w:rPr>
                <w:rFonts w:hint="eastAsia"/>
                <w:bCs/>
                <w:sz w:val="21"/>
                <w:szCs w:val="22"/>
                <w:highlight w:val="none"/>
                <w:lang w:val="en-US" w:eastAsia="zh-CN"/>
              </w:rPr>
              <w:t>准备室门</w:t>
            </w:r>
            <w:r>
              <w:rPr>
                <w:bCs/>
                <w:sz w:val="21"/>
                <w:szCs w:val="22"/>
                <w:highlight w:val="none"/>
              </w:rPr>
              <w:t>各</w:t>
            </w:r>
            <w:r>
              <w:rPr>
                <w:rFonts w:hint="eastAsia"/>
                <w:bCs/>
                <w:sz w:val="21"/>
                <w:szCs w:val="22"/>
                <w:highlight w:val="none"/>
                <w:lang w:val="en-US" w:eastAsia="zh-CN"/>
              </w:rPr>
              <w:t>1</w:t>
            </w:r>
            <w:r>
              <w:rPr>
                <w:bCs/>
                <w:sz w:val="21"/>
                <w:szCs w:val="22"/>
                <w:highlight w:val="none"/>
              </w:rPr>
              <w:t>扇</w:t>
            </w:r>
            <w:r>
              <w:rPr>
                <w:rFonts w:hint="eastAsia"/>
                <w:bCs/>
                <w:sz w:val="21"/>
                <w:szCs w:val="22"/>
                <w:highlight w:val="none"/>
              </w:rPr>
              <w:t>（共3扇）。</w:t>
            </w:r>
            <w:r>
              <w:rPr>
                <w:bCs/>
                <w:sz w:val="21"/>
                <w:szCs w:val="22"/>
                <w:highlight w:val="none"/>
              </w:rPr>
              <w:t>拟</w:t>
            </w:r>
            <w:r>
              <w:rPr>
                <w:sz w:val="21"/>
                <w:szCs w:val="22"/>
                <w:highlight w:val="none"/>
              </w:rPr>
              <w:t>在</w:t>
            </w:r>
            <w:r>
              <w:rPr>
                <w:rFonts w:hint="eastAsia"/>
                <w:sz w:val="21"/>
                <w:szCs w:val="22"/>
                <w:highlight w:val="none"/>
                <w:lang w:val="en-US" w:eastAsia="zh-CN"/>
              </w:rPr>
              <w:t>ERCP</w:t>
            </w:r>
            <w:r>
              <w:rPr>
                <w:sz w:val="21"/>
                <w:szCs w:val="22"/>
                <w:highlight w:val="none"/>
              </w:rPr>
              <w:t>室内新增使用1台</w:t>
            </w:r>
            <w:r>
              <w:rPr>
                <w:rFonts w:hint="eastAsia"/>
                <w:sz w:val="21"/>
                <w:szCs w:val="22"/>
                <w:highlight w:val="none"/>
                <w:lang w:val="en-US" w:eastAsia="zh-CN"/>
              </w:rPr>
              <w:t>ERCP</w:t>
            </w:r>
            <w:r>
              <w:rPr>
                <w:sz w:val="21"/>
                <w:szCs w:val="22"/>
                <w:highlight w:val="none"/>
              </w:rPr>
              <w:t>（型号未定），额定管电压为1</w:t>
            </w:r>
            <w:r>
              <w:rPr>
                <w:rFonts w:hint="eastAsia"/>
                <w:sz w:val="21"/>
                <w:szCs w:val="22"/>
                <w:highlight w:val="none"/>
              </w:rPr>
              <w:t>25</w:t>
            </w:r>
            <w:r>
              <w:rPr>
                <w:sz w:val="21"/>
                <w:szCs w:val="22"/>
                <w:highlight w:val="none"/>
              </w:rPr>
              <w:t>kV，额定管电流为</w:t>
            </w:r>
            <w:r>
              <w:rPr>
                <w:rFonts w:hint="eastAsia"/>
                <w:sz w:val="21"/>
                <w:szCs w:val="22"/>
                <w:highlight w:val="none"/>
              </w:rPr>
              <w:t>1</w:t>
            </w:r>
            <w:r>
              <w:rPr>
                <w:sz w:val="21"/>
                <w:szCs w:val="22"/>
                <w:highlight w:val="none"/>
              </w:rPr>
              <w:t>000mA，属于Ⅱ类射线装置。</w:t>
            </w:r>
          </w:p>
        </w:tc>
        <w:tc>
          <w:tcPr>
            <w:tcW w:w="383" w:type="pct"/>
            <w:vMerge w:val="continue"/>
            <w:vAlign w:val="center"/>
          </w:tcPr>
          <w:p w14:paraId="1746682B">
            <w:pPr>
              <w:spacing w:line="360" w:lineRule="exact"/>
              <w:jc w:val="center"/>
              <w:rPr>
                <w:bCs/>
                <w:sz w:val="21"/>
                <w:szCs w:val="21"/>
              </w:rPr>
            </w:pPr>
          </w:p>
        </w:tc>
        <w:tc>
          <w:tcPr>
            <w:tcW w:w="769" w:type="pct"/>
            <w:vAlign w:val="center"/>
          </w:tcPr>
          <w:p w14:paraId="5E5DB962">
            <w:pPr>
              <w:spacing w:line="240" w:lineRule="auto"/>
              <w:jc w:val="center"/>
              <w:rPr>
                <w:bCs/>
                <w:sz w:val="21"/>
                <w:szCs w:val="21"/>
              </w:rPr>
            </w:pPr>
            <w:r>
              <w:rPr>
                <w:bCs/>
                <w:spacing w:val="-6"/>
                <w:sz w:val="21"/>
                <w:szCs w:val="21"/>
              </w:rPr>
              <w:t>X射线、臭氧、医疗废物</w:t>
            </w:r>
          </w:p>
        </w:tc>
      </w:tr>
      <w:tr w14:paraId="1474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Align w:val="center"/>
          </w:tcPr>
          <w:p w14:paraId="16BA6E7C">
            <w:pPr>
              <w:spacing w:line="360" w:lineRule="exact"/>
              <w:jc w:val="center"/>
              <w:rPr>
                <w:bCs/>
                <w:sz w:val="21"/>
                <w:szCs w:val="21"/>
              </w:rPr>
            </w:pPr>
            <w:r>
              <w:rPr>
                <w:bCs/>
                <w:sz w:val="21"/>
                <w:szCs w:val="21"/>
              </w:rPr>
              <w:t>辅助工程</w:t>
            </w:r>
          </w:p>
        </w:tc>
        <w:tc>
          <w:tcPr>
            <w:tcW w:w="3299" w:type="pct"/>
            <w:gridSpan w:val="2"/>
            <w:vAlign w:val="center"/>
          </w:tcPr>
          <w:p w14:paraId="092D53CF">
            <w:pPr>
              <w:spacing w:line="360" w:lineRule="exact"/>
              <w:jc w:val="left"/>
            </w:pPr>
            <w:r>
              <w:rPr>
                <w:bCs/>
                <w:sz w:val="21"/>
                <w:szCs w:val="21"/>
              </w:rPr>
              <w:t>配套办公室、会议室、阅片室、值班室等辅助用房等。</w:t>
            </w:r>
          </w:p>
        </w:tc>
        <w:tc>
          <w:tcPr>
            <w:tcW w:w="383" w:type="pct"/>
            <w:vMerge w:val="continue"/>
            <w:vAlign w:val="center"/>
          </w:tcPr>
          <w:p w14:paraId="2AF4DEA1">
            <w:pPr>
              <w:spacing w:line="360" w:lineRule="exact"/>
              <w:jc w:val="center"/>
              <w:rPr>
                <w:bCs/>
                <w:sz w:val="21"/>
                <w:szCs w:val="21"/>
              </w:rPr>
            </w:pPr>
          </w:p>
        </w:tc>
        <w:tc>
          <w:tcPr>
            <w:tcW w:w="769" w:type="pct"/>
            <w:vAlign w:val="center"/>
          </w:tcPr>
          <w:p w14:paraId="0F0D8355">
            <w:pPr>
              <w:spacing w:line="360" w:lineRule="exact"/>
              <w:jc w:val="center"/>
              <w:rPr>
                <w:bCs/>
                <w:sz w:val="21"/>
                <w:szCs w:val="21"/>
              </w:rPr>
            </w:pPr>
            <w:r>
              <w:rPr>
                <w:bCs/>
                <w:sz w:val="21"/>
                <w:szCs w:val="21"/>
              </w:rPr>
              <w:t>生活污水、固体废物</w:t>
            </w:r>
          </w:p>
        </w:tc>
      </w:tr>
      <w:tr w14:paraId="6FD8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Merge w:val="restart"/>
            <w:vAlign w:val="center"/>
          </w:tcPr>
          <w:p w14:paraId="451F5F24">
            <w:pPr>
              <w:spacing w:line="360" w:lineRule="exact"/>
              <w:jc w:val="center"/>
              <w:rPr>
                <w:bCs/>
                <w:sz w:val="21"/>
                <w:szCs w:val="21"/>
              </w:rPr>
            </w:pPr>
            <w:r>
              <w:rPr>
                <w:bCs/>
                <w:sz w:val="21"/>
                <w:szCs w:val="21"/>
              </w:rPr>
              <w:t>环保工程</w:t>
            </w:r>
          </w:p>
        </w:tc>
        <w:tc>
          <w:tcPr>
            <w:tcW w:w="307" w:type="pct"/>
            <w:vAlign w:val="center"/>
          </w:tcPr>
          <w:p w14:paraId="5F91BEC5">
            <w:pPr>
              <w:spacing w:line="360" w:lineRule="exact"/>
              <w:jc w:val="center"/>
              <w:rPr>
                <w:bCs/>
                <w:sz w:val="21"/>
                <w:szCs w:val="21"/>
              </w:rPr>
            </w:pPr>
            <w:r>
              <w:rPr>
                <w:bCs/>
                <w:sz w:val="21"/>
                <w:szCs w:val="21"/>
              </w:rPr>
              <w:t>放射性废水</w:t>
            </w:r>
          </w:p>
        </w:tc>
        <w:tc>
          <w:tcPr>
            <w:tcW w:w="2991" w:type="pct"/>
            <w:vAlign w:val="center"/>
          </w:tcPr>
          <w:p w14:paraId="75506B79">
            <w:pPr>
              <w:spacing w:line="360" w:lineRule="exact"/>
              <w:rPr>
                <w:bCs/>
                <w:sz w:val="21"/>
                <w:szCs w:val="21"/>
              </w:rPr>
            </w:pPr>
            <w:r>
              <w:rPr>
                <w:rFonts w:hint="eastAsia"/>
                <w:bCs/>
                <w:sz w:val="21"/>
                <w:szCs w:val="21"/>
              </w:rPr>
              <w:t>衰变池区域位于院区西侧绿化带地下，建筑面积179.52m</w:t>
            </w:r>
            <w:r>
              <w:rPr>
                <w:rFonts w:hint="eastAsia"/>
                <w:bCs/>
                <w:sz w:val="21"/>
                <w:szCs w:val="21"/>
                <w:vertAlign w:val="superscript"/>
              </w:rPr>
              <w:t>2</w:t>
            </w:r>
            <w:r>
              <w:rPr>
                <w:rFonts w:hint="eastAsia"/>
                <w:bCs/>
                <w:sz w:val="21"/>
                <w:szCs w:val="21"/>
              </w:rPr>
              <w:t>，用于整个核医学科放射性废水的收集、衰变和排放。衰变池设计为三格，每格有效容积约为1</w:t>
            </w:r>
            <w:r>
              <w:rPr>
                <w:rFonts w:hint="eastAsia"/>
                <w:bCs/>
                <w:sz w:val="21"/>
                <w:szCs w:val="21"/>
                <w:lang w:val="en-US" w:eastAsia="zh-CN"/>
              </w:rPr>
              <w:t>22.5</w:t>
            </w:r>
            <w:r>
              <w:rPr>
                <w:rFonts w:hint="eastAsia"/>
                <w:bCs/>
                <w:sz w:val="21"/>
                <w:szCs w:val="21"/>
              </w:rPr>
              <w:t>m</w:t>
            </w:r>
            <w:r>
              <w:rPr>
                <w:rFonts w:hint="eastAsia"/>
                <w:bCs/>
                <w:sz w:val="21"/>
                <w:szCs w:val="21"/>
                <w:vertAlign w:val="superscript"/>
              </w:rPr>
              <w:t>3</w:t>
            </w:r>
            <w:r>
              <w:rPr>
                <w:rFonts w:hint="eastAsia"/>
                <w:bCs/>
                <w:sz w:val="21"/>
                <w:szCs w:val="21"/>
              </w:rPr>
              <w:t>，三格总有效容积为3</w:t>
            </w:r>
            <w:r>
              <w:rPr>
                <w:rFonts w:hint="eastAsia"/>
                <w:bCs/>
                <w:sz w:val="21"/>
                <w:szCs w:val="21"/>
                <w:lang w:val="en-US" w:eastAsia="zh-CN"/>
              </w:rPr>
              <w:t>67.5</w:t>
            </w:r>
            <w:r>
              <w:rPr>
                <w:rFonts w:hint="eastAsia"/>
                <w:bCs/>
                <w:sz w:val="21"/>
                <w:szCs w:val="21"/>
              </w:rPr>
              <w:t>m</w:t>
            </w:r>
            <w:r>
              <w:rPr>
                <w:rFonts w:hint="eastAsia"/>
                <w:bCs/>
                <w:sz w:val="21"/>
                <w:szCs w:val="21"/>
                <w:vertAlign w:val="superscript"/>
              </w:rPr>
              <w:t>3</w:t>
            </w:r>
            <w:r>
              <w:rPr>
                <w:rFonts w:hint="eastAsia"/>
                <w:bCs/>
                <w:sz w:val="21"/>
                <w:szCs w:val="21"/>
              </w:rPr>
              <w:t>。衰变池采用三池间歇式贮存衰变法，轮流接纳含有放射性同位素的污水并定期提升排放。衰变池及沉淀池的四周池壁、底面及池盖均拟采用300mm混凝土（抗渗等级为P6）+涂抹20mm防水砂浆。</w:t>
            </w:r>
          </w:p>
        </w:tc>
        <w:tc>
          <w:tcPr>
            <w:tcW w:w="383" w:type="pct"/>
            <w:vMerge w:val="continue"/>
            <w:vAlign w:val="center"/>
          </w:tcPr>
          <w:p w14:paraId="2937EDFB">
            <w:pPr>
              <w:spacing w:line="360" w:lineRule="exact"/>
              <w:jc w:val="center"/>
              <w:rPr>
                <w:bCs/>
                <w:sz w:val="21"/>
                <w:szCs w:val="21"/>
              </w:rPr>
            </w:pPr>
          </w:p>
        </w:tc>
        <w:tc>
          <w:tcPr>
            <w:tcW w:w="769" w:type="pct"/>
            <w:vMerge w:val="restart"/>
            <w:vAlign w:val="center"/>
          </w:tcPr>
          <w:p w14:paraId="61B174BF">
            <w:pPr>
              <w:spacing w:line="360" w:lineRule="exact"/>
              <w:jc w:val="center"/>
              <w:rPr>
                <w:bCs/>
                <w:sz w:val="21"/>
                <w:szCs w:val="21"/>
              </w:rPr>
            </w:pPr>
            <w:r>
              <w:rPr>
                <w:bCs/>
                <w:sz w:val="21"/>
                <w:szCs w:val="21"/>
              </w:rPr>
              <w:t>放射性废水、放射性固废、放射性废气</w:t>
            </w:r>
          </w:p>
        </w:tc>
      </w:tr>
      <w:tr w14:paraId="6E4C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Merge w:val="continue"/>
            <w:vAlign w:val="center"/>
          </w:tcPr>
          <w:p w14:paraId="67EE7F62">
            <w:pPr>
              <w:spacing w:line="360" w:lineRule="exact"/>
              <w:jc w:val="center"/>
              <w:rPr>
                <w:bCs/>
                <w:sz w:val="21"/>
                <w:szCs w:val="21"/>
              </w:rPr>
            </w:pPr>
          </w:p>
        </w:tc>
        <w:tc>
          <w:tcPr>
            <w:tcW w:w="307" w:type="pct"/>
            <w:vAlign w:val="center"/>
          </w:tcPr>
          <w:p w14:paraId="4399B1FC">
            <w:pPr>
              <w:spacing w:line="360" w:lineRule="exact"/>
              <w:jc w:val="center"/>
              <w:rPr>
                <w:bCs/>
                <w:sz w:val="21"/>
                <w:szCs w:val="21"/>
              </w:rPr>
            </w:pPr>
            <w:r>
              <w:rPr>
                <w:bCs/>
                <w:sz w:val="21"/>
                <w:szCs w:val="21"/>
              </w:rPr>
              <w:t>放射性固废</w:t>
            </w:r>
          </w:p>
        </w:tc>
        <w:tc>
          <w:tcPr>
            <w:tcW w:w="2991" w:type="pct"/>
            <w:vAlign w:val="center"/>
          </w:tcPr>
          <w:p w14:paraId="7A4DF326">
            <w:pPr>
              <w:spacing w:line="360" w:lineRule="exact"/>
              <w:rPr>
                <w:bCs/>
                <w:sz w:val="21"/>
                <w:szCs w:val="21"/>
              </w:rPr>
            </w:pPr>
            <w:r>
              <w:rPr>
                <w:bCs/>
                <w:sz w:val="21"/>
                <w:szCs w:val="21"/>
              </w:rPr>
              <w:t>负一层配套建设放废暂存间，面积</w:t>
            </w:r>
            <w:r>
              <w:rPr>
                <w:rFonts w:hint="eastAsia"/>
                <w:bCs/>
                <w:sz w:val="21"/>
                <w:szCs w:val="21"/>
                <w:lang w:val="en-US" w:eastAsia="zh-CN"/>
              </w:rPr>
              <w:t>约</w:t>
            </w:r>
            <w:r>
              <w:rPr>
                <w:bCs/>
                <w:sz w:val="21"/>
                <w:szCs w:val="21"/>
              </w:rPr>
              <w:t>为</w:t>
            </w:r>
            <w:r>
              <w:rPr>
                <w:rFonts w:hint="eastAsia"/>
                <w:bCs/>
                <w:sz w:val="21"/>
                <w:szCs w:val="21"/>
              </w:rPr>
              <w:t>7.</w:t>
            </w:r>
            <w:r>
              <w:rPr>
                <w:rFonts w:hint="eastAsia"/>
                <w:bCs/>
                <w:sz w:val="21"/>
                <w:szCs w:val="21"/>
                <w:lang w:val="en-US" w:eastAsia="zh-CN"/>
              </w:rPr>
              <w:t>0</w:t>
            </w:r>
            <w:r>
              <w:rPr>
                <w:bCs/>
                <w:sz w:val="21"/>
                <w:szCs w:val="21"/>
              </w:rPr>
              <w:t>m</w:t>
            </w:r>
            <w:r>
              <w:rPr>
                <w:bCs/>
                <w:sz w:val="21"/>
                <w:szCs w:val="21"/>
                <w:vertAlign w:val="superscript"/>
              </w:rPr>
              <w:t>2</w:t>
            </w:r>
            <w:r>
              <w:rPr>
                <w:bCs/>
                <w:sz w:val="21"/>
                <w:szCs w:val="21"/>
              </w:rPr>
              <w:t>。</w:t>
            </w:r>
          </w:p>
        </w:tc>
        <w:tc>
          <w:tcPr>
            <w:tcW w:w="383" w:type="pct"/>
            <w:vMerge w:val="continue"/>
            <w:vAlign w:val="center"/>
          </w:tcPr>
          <w:p w14:paraId="1B75FA82">
            <w:pPr>
              <w:spacing w:line="360" w:lineRule="exact"/>
              <w:jc w:val="center"/>
              <w:rPr>
                <w:bCs/>
                <w:sz w:val="21"/>
                <w:szCs w:val="21"/>
              </w:rPr>
            </w:pPr>
          </w:p>
        </w:tc>
        <w:tc>
          <w:tcPr>
            <w:tcW w:w="769" w:type="pct"/>
            <w:vMerge w:val="continue"/>
            <w:vAlign w:val="center"/>
          </w:tcPr>
          <w:p w14:paraId="181810E4">
            <w:pPr>
              <w:spacing w:line="360" w:lineRule="exact"/>
              <w:jc w:val="center"/>
              <w:rPr>
                <w:bCs/>
                <w:sz w:val="21"/>
                <w:szCs w:val="21"/>
              </w:rPr>
            </w:pPr>
          </w:p>
        </w:tc>
      </w:tr>
      <w:tr w14:paraId="45FA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Merge w:val="continue"/>
            <w:vAlign w:val="center"/>
          </w:tcPr>
          <w:p w14:paraId="0EE75697">
            <w:pPr>
              <w:spacing w:line="360" w:lineRule="exact"/>
              <w:jc w:val="center"/>
              <w:rPr>
                <w:bCs/>
                <w:sz w:val="21"/>
                <w:szCs w:val="21"/>
              </w:rPr>
            </w:pPr>
          </w:p>
        </w:tc>
        <w:tc>
          <w:tcPr>
            <w:tcW w:w="307" w:type="pct"/>
            <w:vAlign w:val="center"/>
          </w:tcPr>
          <w:p w14:paraId="5BF18AFD">
            <w:pPr>
              <w:spacing w:line="360" w:lineRule="exact"/>
              <w:jc w:val="center"/>
              <w:rPr>
                <w:bCs/>
                <w:sz w:val="21"/>
                <w:szCs w:val="21"/>
              </w:rPr>
            </w:pPr>
            <w:r>
              <w:rPr>
                <w:bCs/>
                <w:sz w:val="21"/>
                <w:szCs w:val="21"/>
              </w:rPr>
              <w:t>放射性废气</w:t>
            </w:r>
          </w:p>
        </w:tc>
        <w:tc>
          <w:tcPr>
            <w:tcW w:w="2991" w:type="pct"/>
            <w:vAlign w:val="center"/>
          </w:tcPr>
          <w:p w14:paraId="5C6DE539">
            <w:pPr>
              <w:widowControl/>
              <w:spacing w:line="360" w:lineRule="exact"/>
              <w:rPr>
                <w:sz w:val="21"/>
                <w:szCs w:val="21"/>
              </w:rPr>
            </w:pPr>
            <w:r>
              <w:rPr>
                <w:bCs/>
                <w:sz w:val="21"/>
                <w:szCs w:val="21"/>
              </w:rPr>
              <w:t>负一层拟设置</w:t>
            </w:r>
            <w:r>
              <w:rPr>
                <w:rFonts w:hint="eastAsia"/>
                <w:bCs/>
                <w:sz w:val="21"/>
                <w:szCs w:val="21"/>
                <w:lang w:val="en-US" w:eastAsia="zh-CN"/>
              </w:rPr>
              <w:t>4</w:t>
            </w:r>
            <w:r>
              <w:rPr>
                <w:bCs/>
                <w:sz w:val="21"/>
                <w:szCs w:val="21"/>
              </w:rPr>
              <w:t>套放射性废气排风管道系统</w:t>
            </w:r>
            <w:r>
              <w:rPr>
                <w:rFonts w:hint="eastAsia"/>
                <w:bCs/>
                <w:sz w:val="21"/>
                <w:szCs w:val="21"/>
                <w:lang w:eastAsia="zh-CN"/>
              </w:rPr>
              <w:t>。</w:t>
            </w:r>
            <w:r>
              <w:rPr>
                <w:bCs/>
                <w:sz w:val="21"/>
                <w:szCs w:val="21"/>
              </w:rPr>
              <w:t>手套箱、自动分药仪为</w:t>
            </w:r>
            <w:r>
              <w:rPr>
                <w:rFonts w:hint="eastAsia"/>
                <w:bCs/>
                <w:sz w:val="21"/>
                <w:szCs w:val="21"/>
                <w:lang w:val="en-US" w:eastAsia="zh-CN"/>
              </w:rPr>
              <w:t>局部排风</w:t>
            </w:r>
            <w:r>
              <w:rPr>
                <w:bCs/>
                <w:sz w:val="21"/>
                <w:szCs w:val="21"/>
              </w:rPr>
              <w:t>，放射性废气经两级过滤后楼顶排放</w:t>
            </w:r>
            <w:r>
              <w:rPr>
                <w:rFonts w:hint="eastAsia"/>
                <w:bCs/>
                <w:sz w:val="21"/>
                <w:szCs w:val="21"/>
                <w:lang w:eastAsia="zh-CN"/>
              </w:rPr>
              <w:t>；</w:t>
            </w:r>
            <w:r>
              <w:rPr>
                <w:rFonts w:hint="eastAsia"/>
                <w:bCs/>
                <w:sz w:val="21"/>
                <w:szCs w:val="21"/>
                <w:lang w:val="en-US" w:eastAsia="zh-CN"/>
              </w:rPr>
              <w:t>其他</w:t>
            </w:r>
            <w:r>
              <w:rPr>
                <w:bCs/>
                <w:sz w:val="21"/>
                <w:szCs w:val="21"/>
              </w:rPr>
              <w:t>涉放场所</w:t>
            </w:r>
            <w:r>
              <w:rPr>
                <w:rFonts w:hint="eastAsia"/>
                <w:bCs/>
                <w:sz w:val="21"/>
                <w:szCs w:val="21"/>
                <w:lang w:val="en-US" w:eastAsia="zh-CN"/>
              </w:rPr>
              <w:t>采用全面排风经</w:t>
            </w:r>
            <w:r>
              <w:rPr>
                <w:bCs/>
                <w:sz w:val="21"/>
                <w:szCs w:val="21"/>
              </w:rPr>
              <w:t>一级过滤后楼顶排放。</w:t>
            </w:r>
            <w:r>
              <w:rPr>
                <w:rFonts w:hint="eastAsia"/>
                <w:bCs/>
                <w:sz w:val="21"/>
                <w:szCs w:val="21"/>
                <w:highlight w:val="none"/>
              </w:rPr>
              <w:t>排风口位于楼顶</w:t>
            </w:r>
            <w:r>
              <w:rPr>
                <w:rFonts w:hint="eastAsia"/>
                <w:bCs/>
                <w:sz w:val="21"/>
                <w:szCs w:val="21"/>
                <w:highlight w:val="none"/>
                <w:lang w:val="en-US" w:eastAsia="zh-CN"/>
              </w:rPr>
              <w:t>西</w:t>
            </w:r>
            <w:r>
              <w:rPr>
                <w:rFonts w:hint="eastAsia"/>
                <w:bCs/>
                <w:sz w:val="21"/>
                <w:szCs w:val="21"/>
                <w:highlight w:val="none"/>
              </w:rPr>
              <w:t>侧，并尽量远离邻近高层建筑，距离地面高度大于</w:t>
            </w:r>
            <w:r>
              <w:rPr>
                <w:rFonts w:hint="eastAsia"/>
                <w:bCs/>
                <w:sz w:val="21"/>
                <w:szCs w:val="21"/>
                <w:highlight w:val="none"/>
                <w:lang w:val="en-US" w:eastAsia="zh-CN"/>
              </w:rPr>
              <w:t>90</w:t>
            </w:r>
            <w:r>
              <w:rPr>
                <w:rFonts w:hint="eastAsia"/>
                <w:bCs/>
                <w:sz w:val="21"/>
                <w:szCs w:val="21"/>
                <w:highlight w:val="none"/>
              </w:rPr>
              <w:t>m</w:t>
            </w:r>
            <w:r>
              <w:rPr>
                <w:bCs/>
                <w:sz w:val="21"/>
                <w:szCs w:val="21"/>
                <w:highlight w:val="none"/>
              </w:rPr>
              <w:t>。</w:t>
            </w:r>
          </w:p>
        </w:tc>
        <w:tc>
          <w:tcPr>
            <w:tcW w:w="383" w:type="pct"/>
            <w:vMerge w:val="continue"/>
            <w:vAlign w:val="center"/>
          </w:tcPr>
          <w:p w14:paraId="7EFFA953">
            <w:pPr>
              <w:spacing w:line="360" w:lineRule="exact"/>
              <w:jc w:val="center"/>
              <w:rPr>
                <w:bCs/>
                <w:sz w:val="21"/>
                <w:szCs w:val="21"/>
              </w:rPr>
            </w:pPr>
          </w:p>
        </w:tc>
        <w:tc>
          <w:tcPr>
            <w:tcW w:w="769" w:type="pct"/>
            <w:vMerge w:val="continue"/>
            <w:vAlign w:val="center"/>
          </w:tcPr>
          <w:p w14:paraId="310FCB64">
            <w:pPr>
              <w:spacing w:line="360" w:lineRule="exact"/>
              <w:jc w:val="center"/>
              <w:rPr>
                <w:bCs/>
                <w:sz w:val="21"/>
                <w:szCs w:val="21"/>
              </w:rPr>
            </w:pPr>
          </w:p>
        </w:tc>
      </w:tr>
      <w:tr w14:paraId="4F04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Align w:val="center"/>
          </w:tcPr>
          <w:p w14:paraId="371CFC9B">
            <w:pPr>
              <w:spacing w:line="360" w:lineRule="exact"/>
              <w:jc w:val="center"/>
              <w:rPr>
                <w:bCs/>
                <w:sz w:val="21"/>
                <w:szCs w:val="21"/>
              </w:rPr>
            </w:pPr>
            <w:r>
              <w:rPr>
                <w:bCs/>
                <w:sz w:val="21"/>
                <w:szCs w:val="21"/>
              </w:rPr>
              <w:t>公用工程</w:t>
            </w:r>
          </w:p>
        </w:tc>
        <w:tc>
          <w:tcPr>
            <w:tcW w:w="3299" w:type="pct"/>
            <w:gridSpan w:val="2"/>
            <w:vAlign w:val="center"/>
          </w:tcPr>
          <w:p w14:paraId="6E13A730">
            <w:pPr>
              <w:spacing w:line="360" w:lineRule="exact"/>
              <w:jc w:val="left"/>
              <w:rPr>
                <w:bCs/>
                <w:sz w:val="21"/>
                <w:szCs w:val="21"/>
              </w:rPr>
            </w:pPr>
            <w:r>
              <w:rPr>
                <w:bCs/>
                <w:sz w:val="21"/>
                <w:szCs w:val="21"/>
              </w:rPr>
              <w:t>配电、供电和通讯系统及污水处理系统等。</w:t>
            </w:r>
          </w:p>
        </w:tc>
        <w:tc>
          <w:tcPr>
            <w:tcW w:w="383" w:type="pct"/>
            <w:vMerge w:val="continue"/>
            <w:vAlign w:val="center"/>
          </w:tcPr>
          <w:p w14:paraId="0301D753">
            <w:pPr>
              <w:spacing w:line="360" w:lineRule="exact"/>
              <w:jc w:val="center"/>
              <w:rPr>
                <w:bCs/>
                <w:sz w:val="21"/>
                <w:szCs w:val="21"/>
              </w:rPr>
            </w:pPr>
          </w:p>
        </w:tc>
        <w:tc>
          <w:tcPr>
            <w:tcW w:w="769" w:type="pct"/>
            <w:vAlign w:val="center"/>
          </w:tcPr>
          <w:p w14:paraId="78AE3A6E">
            <w:pPr>
              <w:spacing w:line="360" w:lineRule="exact"/>
              <w:jc w:val="center"/>
              <w:rPr>
                <w:bCs/>
                <w:sz w:val="21"/>
                <w:szCs w:val="21"/>
              </w:rPr>
            </w:pPr>
            <w:r>
              <w:rPr>
                <w:bCs/>
                <w:sz w:val="21"/>
                <w:szCs w:val="21"/>
              </w:rPr>
              <w:t>/</w:t>
            </w:r>
          </w:p>
        </w:tc>
      </w:tr>
      <w:tr w14:paraId="5E15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vAlign w:val="center"/>
          </w:tcPr>
          <w:p w14:paraId="7A98837B">
            <w:pPr>
              <w:spacing w:line="360" w:lineRule="exact"/>
              <w:jc w:val="center"/>
              <w:rPr>
                <w:bCs/>
                <w:sz w:val="21"/>
                <w:szCs w:val="21"/>
              </w:rPr>
            </w:pPr>
            <w:r>
              <w:rPr>
                <w:bCs/>
                <w:sz w:val="21"/>
                <w:szCs w:val="21"/>
              </w:rPr>
              <w:t>依托工程</w:t>
            </w:r>
          </w:p>
        </w:tc>
        <w:tc>
          <w:tcPr>
            <w:tcW w:w="3299" w:type="pct"/>
            <w:gridSpan w:val="2"/>
            <w:vAlign w:val="center"/>
          </w:tcPr>
          <w:p w14:paraId="47F9098F">
            <w:pPr>
              <w:spacing w:line="360" w:lineRule="exact"/>
              <w:rPr>
                <w:sz w:val="21"/>
                <w:szCs w:val="21"/>
              </w:rPr>
            </w:pPr>
            <w:r>
              <w:rPr>
                <w:sz w:val="21"/>
                <w:szCs w:val="21"/>
              </w:rPr>
              <w:t>①</w:t>
            </w:r>
            <w:r>
              <w:rPr>
                <w:bCs/>
                <w:sz w:val="21"/>
                <w:szCs w:val="21"/>
              </w:rPr>
              <w:t>医护人员及病人产生的少量生活废水依托医院地埋式污水处理站</w:t>
            </w:r>
            <w:r>
              <w:rPr>
                <w:sz w:val="21"/>
                <w:szCs w:val="21"/>
              </w:rPr>
              <w:t>（设计处理规模为</w:t>
            </w:r>
            <w:r>
              <w:rPr>
                <w:rFonts w:hint="eastAsia"/>
                <w:sz w:val="21"/>
                <w:szCs w:val="21"/>
                <w:lang w:val="en-US" w:eastAsia="zh-CN"/>
              </w:rPr>
              <w:t>12</w:t>
            </w:r>
            <w:r>
              <w:rPr>
                <w:sz w:val="21"/>
                <w:szCs w:val="21"/>
              </w:rPr>
              <w:t>00m</w:t>
            </w:r>
            <w:r>
              <w:rPr>
                <w:sz w:val="21"/>
                <w:szCs w:val="21"/>
                <w:vertAlign w:val="superscript"/>
              </w:rPr>
              <w:t>3</w:t>
            </w:r>
            <w:r>
              <w:rPr>
                <w:sz w:val="21"/>
                <w:szCs w:val="21"/>
              </w:rPr>
              <w:t>/d）</w:t>
            </w:r>
            <w:r>
              <w:rPr>
                <w:bCs/>
                <w:sz w:val="21"/>
                <w:szCs w:val="21"/>
              </w:rPr>
              <w:t>处理达标后排入市政污水管网。</w:t>
            </w:r>
          </w:p>
          <w:p w14:paraId="37F080CD">
            <w:pPr>
              <w:spacing w:line="360" w:lineRule="exact"/>
              <w:rPr>
                <w:bCs/>
                <w:sz w:val="21"/>
                <w:szCs w:val="21"/>
              </w:rPr>
            </w:pPr>
            <w:r>
              <w:rPr>
                <w:sz w:val="21"/>
                <w:szCs w:val="21"/>
              </w:rPr>
              <w:t>②项目产生的生活垃圾和医疗废物分别依托医院的生活垃圾暂存间及医疗垃圾暂存间进行暂存收集，生活垃圾及时交由市政环卫清运，医疗废物依托医院医疗垃圾处理系统，定期交有资质单位统一处理。</w:t>
            </w:r>
          </w:p>
        </w:tc>
        <w:tc>
          <w:tcPr>
            <w:tcW w:w="383" w:type="pct"/>
            <w:vAlign w:val="center"/>
          </w:tcPr>
          <w:p w14:paraId="208A07C0">
            <w:pPr>
              <w:spacing w:line="360" w:lineRule="exact"/>
              <w:jc w:val="center"/>
              <w:rPr>
                <w:bCs/>
                <w:sz w:val="21"/>
                <w:szCs w:val="21"/>
              </w:rPr>
            </w:pPr>
            <w:r>
              <w:rPr>
                <w:bCs/>
                <w:sz w:val="21"/>
                <w:szCs w:val="21"/>
              </w:rPr>
              <w:t>/</w:t>
            </w:r>
          </w:p>
        </w:tc>
        <w:tc>
          <w:tcPr>
            <w:tcW w:w="769" w:type="pct"/>
            <w:vAlign w:val="center"/>
          </w:tcPr>
          <w:p w14:paraId="6A580AF8">
            <w:pPr>
              <w:spacing w:line="360" w:lineRule="exact"/>
              <w:jc w:val="center"/>
              <w:rPr>
                <w:bCs/>
                <w:sz w:val="21"/>
                <w:szCs w:val="21"/>
              </w:rPr>
            </w:pPr>
            <w:r>
              <w:rPr>
                <w:bCs/>
                <w:sz w:val="21"/>
                <w:szCs w:val="21"/>
              </w:rPr>
              <w:t>生活垃圾、</w:t>
            </w:r>
          </w:p>
          <w:p w14:paraId="4EA9AB1A">
            <w:pPr>
              <w:spacing w:line="360" w:lineRule="exact"/>
              <w:jc w:val="center"/>
              <w:rPr>
                <w:bCs/>
                <w:sz w:val="21"/>
                <w:szCs w:val="21"/>
              </w:rPr>
            </w:pPr>
            <w:r>
              <w:rPr>
                <w:bCs/>
                <w:sz w:val="21"/>
                <w:szCs w:val="21"/>
              </w:rPr>
              <w:t>医疗废物</w:t>
            </w:r>
          </w:p>
        </w:tc>
      </w:tr>
    </w:tbl>
    <w:p w14:paraId="09D4D2FC">
      <w:pPr>
        <w:pStyle w:val="55"/>
        <w:ind w:firstLine="240"/>
        <w:sectPr>
          <w:pgSz w:w="16839" w:h="11907" w:orient="landscape"/>
          <w:pgMar w:top="1440" w:right="1106" w:bottom="1440" w:left="1276" w:header="851" w:footer="567" w:gutter="0"/>
          <w:pgBorders>
            <w:top w:val="none" w:sz="0" w:space="0"/>
            <w:left w:val="none" w:sz="0" w:space="0"/>
            <w:bottom w:val="none" w:sz="0" w:space="0"/>
            <w:right w:val="none" w:sz="0" w:space="0"/>
          </w:pgBorders>
          <w:cols w:space="720" w:num="1"/>
          <w:docGrid w:linePitch="360" w:charSpace="0"/>
        </w:sectPr>
      </w:pP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3CBB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4AECF42">
            <w:pPr>
              <w:ind w:firstLine="482"/>
              <w:rPr>
                <w:b/>
                <w:bCs/>
              </w:rPr>
            </w:pPr>
            <w:r>
              <w:rPr>
                <w:b/>
                <w:bCs/>
              </w:rPr>
              <w:t>（</w:t>
            </w:r>
            <w:r>
              <w:rPr>
                <w:rFonts w:hint="eastAsia"/>
                <w:b/>
                <w:bCs/>
              </w:rPr>
              <w:t>四</w:t>
            </w:r>
            <w:r>
              <w:rPr>
                <w:b/>
                <w:bCs/>
              </w:rPr>
              <w:t>）</w:t>
            </w:r>
            <w:r>
              <w:rPr>
                <w:rFonts w:hint="eastAsia"/>
                <w:b/>
                <w:bCs/>
              </w:rPr>
              <w:t>项目主要原辅材料及设备组成</w:t>
            </w:r>
          </w:p>
          <w:p w14:paraId="0151FC49">
            <w:pPr>
              <w:autoSpaceDE w:val="0"/>
              <w:autoSpaceDN w:val="0"/>
              <w:adjustRightInd w:val="0"/>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highlight w:val="none"/>
                <w14:textFill>
                  <w14:solidFill>
                    <w14:schemeClr w14:val="tx1"/>
                  </w14:solidFill>
                </w14:textFill>
              </w:rPr>
              <w:t>主要原辅材料及设备组成详见</w:t>
            </w: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0</w:t>
            </w:r>
            <w:r>
              <w:rPr>
                <w:rFonts w:hint="eastAsia"/>
                <w:color w:val="000000" w:themeColor="text1"/>
                <w:highlight w:val="none"/>
                <w14:textFill>
                  <w14:solidFill>
                    <w14:schemeClr w14:val="tx1"/>
                  </w14:solidFill>
                </w14:textFill>
              </w:rPr>
              <w:t>和表1-1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w:t>
            </w:r>
          </w:p>
          <w:p w14:paraId="41481FD0">
            <w:pPr>
              <w:spacing w:before="120" w:beforeLines="50" w:line="240" w:lineRule="auto"/>
              <w:jc w:val="center"/>
              <w:rPr>
                <w:rFonts w:eastAsia="黑体"/>
                <w:bCs/>
                <w:sz w:val="21"/>
                <w:szCs w:val="21"/>
              </w:rPr>
            </w:pPr>
            <w:r>
              <w:rPr>
                <w:rFonts w:eastAsia="黑体"/>
                <w:bCs/>
                <w:sz w:val="21"/>
                <w:szCs w:val="21"/>
              </w:rPr>
              <w:t>表</w:t>
            </w:r>
            <w:r>
              <w:rPr>
                <w:rFonts w:hint="eastAsia" w:eastAsia="黑体"/>
                <w:bCs/>
                <w:sz w:val="21"/>
                <w:szCs w:val="21"/>
              </w:rPr>
              <w:t>1-1</w:t>
            </w:r>
            <w:r>
              <w:rPr>
                <w:rFonts w:hint="eastAsia" w:eastAsia="黑体"/>
                <w:bCs/>
                <w:sz w:val="21"/>
                <w:szCs w:val="21"/>
                <w:lang w:val="en-US" w:eastAsia="zh-CN"/>
              </w:rPr>
              <w:t>0</w:t>
            </w:r>
            <w:r>
              <w:rPr>
                <w:rFonts w:eastAsia="黑体"/>
                <w:bCs/>
                <w:sz w:val="21"/>
                <w:szCs w:val="21"/>
              </w:rPr>
              <w:t xml:space="preserve">  主要原辅材料一览表</w:t>
            </w:r>
          </w:p>
          <w:tbl>
            <w:tblPr>
              <w:tblStyle w:val="58"/>
              <w:tblW w:w="498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4"/>
              <w:gridCol w:w="1283"/>
              <w:gridCol w:w="2370"/>
              <w:gridCol w:w="1778"/>
              <w:gridCol w:w="1197"/>
            </w:tblGrid>
            <w:tr w14:paraId="72F87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3" w:type="pct"/>
                  <w:tcBorders>
                    <w:left w:val="nil"/>
                  </w:tcBorders>
                  <w:vAlign w:val="center"/>
                </w:tcPr>
                <w:p w14:paraId="06F9373F">
                  <w:pPr>
                    <w:spacing w:line="360" w:lineRule="exact"/>
                    <w:jc w:val="center"/>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名称</w:t>
                  </w:r>
                </w:p>
              </w:tc>
              <w:tc>
                <w:tcPr>
                  <w:tcW w:w="758" w:type="pct"/>
                  <w:vAlign w:val="center"/>
                </w:tcPr>
                <w:p w14:paraId="21C9322C">
                  <w:pPr>
                    <w:spacing w:line="360" w:lineRule="exact"/>
                    <w:jc w:val="center"/>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年消耗量</w:t>
                  </w:r>
                </w:p>
              </w:tc>
              <w:tc>
                <w:tcPr>
                  <w:tcW w:w="1400" w:type="pct"/>
                  <w:vAlign w:val="center"/>
                </w:tcPr>
                <w:p w14:paraId="3E9683FF">
                  <w:pPr>
                    <w:spacing w:line="360" w:lineRule="exact"/>
                    <w:jc w:val="center"/>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规格</w:t>
                  </w:r>
                </w:p>
              </w:tc>
              <w:tc>
                <w:tcPr>
                  <w:tcW w:w="1050" w:type="pct"/>
                  <w:vAlign w:val="center"/>
                </w:tcPr>
                <w:p w14:paraId="2F52A873">
                  <w:pPr>
                    <w:spacing w:line="360" w:lineRule="exact"/>
                    <w:jc w:val="center"/>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存储位置</w:t>
                  </w:r>
                </w:p>
              </w:tc>
              <w:tc>
                <w:tcPr>
                  <w:tcW w:w="707" w:type="pct"/>
                  <w:tcBorders>
                    <w:right w:val="nil"/>
                  </w:tcBorders>
                  <w:vAlign w:val="center"/>
                </w:tcPr>
                <w:p w14:paraId="11152350">
                  <w:pPr>
                    <w:spacing w:line="360" w:lineRule="exact"/>
                    <w:jc w:val="center"/>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来源</w:t>
                  </w:r>
                </w:p>
              </w:tc>
            </w:tr>
            <w:tr w14:paraId="7EB02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3" w:type="pct"/>
                  <w:tcBorders>
                    <w:left w:val="nil"/>
                  </w:tcBorders>
                  <w:vAlign w:val="center"/>
                </w:tcPr>
                <w:p w14:paraId="1707FD5C">
                  <w:pPr>
                    <w:spacing w:line="360" w:lineRule="exact"/>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注射用水</w:t>
                  </w:r>
                </w:p>
              </w:tc>
              <w:tc>
                <w:tcPr>
                  <w:tcW w:w="758" w:type="pct"/>
                  <w:vAlign w:val="center"/>
                </w:tcPr>
                <w:p w14:paraId="288F66CC">
                  <w:pPr>
                    <w:spacing w:line="360" w:lineRule="exact"/>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500L</w:t>
                  </w:r>
                </w:p>
              </w:tc>
              <w:tc>
                <w:tcPr>
                  <w:tcW w:w="1400" w:type="pct"/>
                  <w:vAlign w:val="center"/>
                </w:tcPr>
                <w:p w14:paraId="206778AD">
                  <w:pPr>
                    <w:spacing w:line="360" w:lineRule="exact"/>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0.9%生理盐水</w:t>
                  </w:r>
                </w:p>
              </w:tc>
              <w:tc>
                <w:tcPr>
                  <w:tcW w:w="1050" w:type="pct"/>
                </w:tcPr>
                <w:p w14:paraId="3C8D5326">
                  <w:pPr>
                    <w:spacing w:line="360" w:lineRule="exact"/>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耗材库</w:t>
                  </w:r>
                </w:p>
              </w:tc>
              <w:tc>
                <w:tcPr>
                  <w:tcW w:w="707" w:type="pct"/>
                  <w:tcBorders>
                    <w:right w:val="nil"/>
                  </w:tcBorders>
                  <w:vAlign w:val="center"/>
                </w:tcPr>
                <w:p w14:paraId="14BBAB87">
                  <w:pPr>
                    <w:spacing w:line="360" w:lineRule="exact"/>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自制</w:t>
                  </w:r>
                </w:p>
              </w:tc>
            </w:tr>
            <w:tr w14:paraId="58B91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3" w:type="pct"/>
                  <w:tcBorders>
                    <w:left w:val="nil"/>
                  </w:tcBorders>
                  <w:vAlign w:val="center"/>
                </w:tcPr>
                <w:p w14:paraId="04A82271">
                  <w:pPr>
                    <w:spacing w:line="360" w:lineRule="exact"/>
                    <w:jc w:val="center"/>
                    <w:rPr>
                      <w:sz w:val="21"/>
                      <w:szCs w:val="21"/>
                    </w:rPr>
                  </w:pPr>
                  <w:r>
                    <w:rPr>
                      <w:color w:val="000000"/>
                      <w:sz w:val="21"/>
                      <w:szCs w:val="21"/>
                    </w:rPr>
                    <w:t>无水葡萄糖</w:t>
                  </w:r>
                </w:p>
              </w:tc>
              <w:tc>
                <w:tcPr>
                  <w:tcW w:w="758" w:type="pct"/>
                  <w:vAlign w:val="center"/>
                </w:tcPr>
                <w:p w14:paraId="413DF27D">
                  <w:pPr>
                    <w:spacing w:line="360" w:lineRule="exact"/>
                    <w:jc w:val="center"/>
                    <w:rPr>
                      <w:sz w:val="21"/>
                      <w:szCs w:val="21"/>
                    </w:rPr>
                  </w:pPr>
                  <w:r>
                    <w:rPr>
                      <w:color w:val="000000"/>
                      <w:sz w:val="21"/>
                      <w:szCs w:val="21"/>
                    </w:rPr>
                    <w:t>20瓶</w:t>
                  </w:r>
                </w:p>
              </w:tc>
              <w:tc>
                <w:tcPr>
                  <w:tcW w:w="1400" w:type="pct"/>
                  <w:vAlign w:val="center"/>
                </w:tcPr>
                <w:p w14:paraId="008C6A0C">
                  <w:pPr>
                    <w:spacing w:line="360" w:lineRule="exact"/>
                    <w:jc w:val="center"/>
                    <w:rPr>
                      <w:color w:val="000000" w:themeColor="text1"/>
                      <w:sz w:val="21"/>
                      <w:szCs w:val="21"/>
                      <w14:textFill>
                        <w14:solidFill>
                          <w14:schemeClr w14:val="tx1"/>
                        </w14:solidFill>
                      </w14:textFill>
                    </w:rPr>
                  </w:pPr>
                  <w:r>
                    <w:rPr>
                      <w:color w:val="000000"/>
                      <w:sz w:val="21"/>
                      <w:szCs w:val="21"/>
                    </w:rPr>
                    <w:t>500g/瓶</w:t>
                  </w:r>
                </w:p>
              </w:tc>
              <w:tc>
                <w:tcPr>
                  <w:tcW w:w="1050" w:type="pct"/>
                </w:tcPr>
                <w:p w14:paraId="25CD1086">
                  <w:pPr>
                    <w:spacing w:line="360" w:lineRule="exact"/>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耗材库</w:t>
                  </w:r>
                </w:p>
              </w:tc>
              <w:tc>
                <w:tcPr>
                  <w:tcW w:w="707" w:type="pct"/>
                  <w:tcBorders>
                    <w:right w:val="nil"/>
                  </w:tcBorders>
                  <w:vAlign w:val="center"/>
                </w:tcPr>
                <w:p w14:paraId="46FFA711">
                  <w:pPr>
                    <w:spacing w:line="360" w:lineRule="exact"/>
                    <w:jc w:val="center"/>
                    <w:rPr>
                      <w:color w:val="000000" w:themeColor="text1"/>
                      <w:sz w:val="21"/>
                      <w:szCs w:val="21"/>
                      <w14:textFill>
                        <w14:solidFill>
                          <w14:schemeClr w14:val="tx1"/>
                        </w14:solidFill>
                      </w14:textFill>
                    </w:rPr>
                  </w:pPr>
                  <w:r>
                    <w:rPr>
                      <w:color w:val="000000"/>
                      <w:sz w:val="21"/>
                      <w:szCs w:val="21"/>
                    </w:rPr>
                    <w:t>外购</w:t>
                  </w:r>
                </w:p>
              </w:tc>
            </w:tr>
            <w:tr w14:paraId="3EF88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3" w:type="pct"/>
                  <w:tcBorders>
                    <w:left w:val="nil"/>
                  </w:tcBorders>
                  <w:shd w:val="clear" w:color="auto" w:fill="auto"/>
                  <w:vAlign w:val="center"/>
                </w:tcPr>
                <w:p w14:paraId="4C03F743">
                  <w:pPr>
                    <w:snapToGrid w:val="0"/>
                    <w:spacing w:line="240" w:lineRule="auto"/>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造影剂</w:t>
                  </w:r>
                </w:p>
              </w:tc>
              <w:tc>
                <w:tcPr>
                  <w:tcW w:w="758" w:type="pct"/>
                  <w:shd w:val="clear" w:color="auto" w:fill="auto"/>
                  <w:vAlign w:val="center"/>
                </w:tcPr>
                <w:p w14:paraId="16EF1B32">
                  <w:pPr>
                    <w:adjustRightInd w:val="0"/>
                    <w:spacing w:line="240" w:lineRule="auto"/>
                    <w:jc w:val="center"/>
                    <w:textAlignment w:val="baseline"/>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630</w:t>
                  </w:r>
                  <w:r>
                    <w:rPr>
                      <w:color w:val="auto"/>
                      <w:sz w:val="21"/>
                      <w:szCs w:val="21"/>
                      <w:highlight w:val="none"/>
                    </w:rPr>
                    <w:t>L</w:t>
                  </w:r>
                  <w:r>
                    <w:rPr>
                      <w:rFonts w:hint="eastAsia"/>
                      <w:color w:val="auto"/>
                      <w:sz w:val="21"/>
                      <w:szCs w:val="21"/>
                      <w:highlight w:val="none"/>
                    </w:rPr>
                    <w:t>/a</w:t>
                  </w:r>
                </w:p>
              </w:tc>
              <w:tc>
                <w:tcPr>
                  <w:tcW w:w="1400" w:type="pct"/>
                  <w:shd w:val="clear" w:color="auto" w:fill="auto"/>
                  <w:vAlign w:val="center"/>
                </w:tcPr>
                <w:p w14:paraId="190DD804">
                  <w:pPr>
                    <w:spacing w:line="360" w:lineRule="exact"/>
                    <w:jc w:val="center"/>
                    <w:rPr>
                      <w:rFonts w:ascii="Times New Roman" w:hAnsi="Times New Roman" w:eastAsia="宋体" w:cs="Times New Roman"/>
                      <w:color w:val="auto"/>
                      <w:sz w:val="21"/>
                      <w:szCs w:val="21"/>
                      <w:highlight w:val="none"/>
                      <w:lang w:val="en-US" w:eastAsia="zh-CN" w:bidi="ar-SA"/>
                    </w:rPr>
                  </w:pPr>
                  <w:r>
                    <w:rPr>
                      <w:color w:val="000000"/>
                      <w:sz w:val="21"/>
                      <w:szCs w:val="21"/>
                    </w:rPr>
                    <w:t>100mL/瓶</w:t>
                  </w:r>
                </w:p>
              </w:tc>
              <w:tc>
                <w:tcPr>
                  <w:tcW w:w="1050" w:type="pct"/>
                  <w:shd w:val="clear" w:color="auto" w:fill="auto"/>
                  <w:vAlign w:val="center"/>
                </w:tcPr>
                <w:p w14:paraId="25691A2B">
                  <w:pPr>
                    <w:snapToGrid w:val="0"/>
                    <w:spacing w:line="240" w:lineRule="auto"/>
                    <w:jc w:val="center"/>
                    <w:rPr>
                      <w:rFonts w:hint="default" w:ascii="Times New Roman" w:hAnsi="Times New Roman" w:eastAsia="宋体" w:cs="Times New Roman"/>
                      <w:color w:val="auto"/>
                      <w:sz w:val="21"/>
                      <w:szCs w:val="21"/>
                      <w:highlight w:val="none"/>
                      <w:lang w:val="en-US" w:eastAsia="zh-CN" w:bidi="ar-SA"/>
                    </w:rPr>
                  </w:pPr>
                  <w:r>
                    <w:rPr>
                      <w:rFonts w:hint="eastAsia" w:cs="Times New Roman"/>
                      <w:color w:val="auto"/>
                      <w:sz w:val="21"/>
                      <w:szCs w:val="21"/>
                      <w:highlight w:val="none"/>
                      <w:lang w:val="en-US" w:eastAsia="zh-CN" w:bidi="ar-SA"/>
                    </w:rPr>
                    <w:t>各手术室药柜</w:t>
                  </w:r>
                </w:p>
              </w:tc>
              <w:tc>
                <w:tcPr>
                  <w:tcW w:w="707" w:type="pct"/>
                  <w:tcBorders>
                    <w:right w:val="nil"/>
                  </w:tcBorders>
                  <w:vAlign w:val="center"/>
                </w:tcPr>
                <w:p w14:paraId="09D21443">
                  <w:pPr>
                    <w:spacing w:line="360" w:lineRule="exact"/>
                    <w:jc w:val="center"/>
                    <w:rPr>
                      <w:color w:val="000000"/>
                      <w:sz w:val="21"/>
                      <w:szCs w:val="21"/>
                    </w:rPr>
                  </w:pPr>
                  <w:r>
                    <w:rPr>
                      <w:color w:val="auto"/>
                      <w:sz w:val="21"/>
                      <w:szCs w:val="21"/>
                      <w:highlight w:val="none"/>
                    </w:rPr>
                    <w:t>外购</w:t>
                  </w:r>
                </w:p>
              </w:tc>
            </w:tr>
            <w:tr w14:paraId="190B7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4" w:type="dxa"/>
                  <w:tcBorders>
                    <w:left w:val="nil"/>
                  </w:tcBorders>
                  <w:shd w:val="clear" w:color="auto" w:fill="auto"/>
                  <w:vAlign w:val="center"/>
                </w:tcPr>
                <w:p w14:paraId="17F42CB9">
                  <w:pPr>
                    <w:snapToGrid w:val="0"/>
                    <w:spacing w:line="240" w:lineRule="auto"/>
                    <w:jc w:val="center"/>
                    <w:rPr>
                      <w:rFonts w:hint="eastAsia" w:eastAsia="宋体"/>
                      <w:color w:val="auto"/>
                      <w:sz w:val="21"/>
                      <w:szCs w:val="21"/>
                      <w:highlight w:val="none"/>
                      <w:lang w:val="en-US" w:eastAsia="zh-CN"/>
                    </w:rPr>
                  </w:pPr>
                  <w:r>
                    <w:rPr>
                      <w:sz w:val="21"/>
                      <w:szCs w:val="21"/>
                    </w:rPr>
                    <w:t>电(度)</w:t>
                  </w:r>
                </w:p>
              </w:tc>
              <w:tc>
                <w:tcPr>
                  <w:tcW w:w="1283" w:type="dxa"/>
                  <w:shd w:val="clear" w:color="auto" w:fill="auto"/>
                  <w:vAlign w:val="center"/>
                </w:tcPr>
                <w:p w14:paraId="58873AFE">
                  <w:pPr>
                    <w:snapToGrid w:val="0"/>
                    <w:spacing w:line="240" w:lineRule="auto"/>
                    <w:jc w:val="center"/>
                    <w:rPr>
                      <w:rFonts w:hint="eastAsia"/>
                      <w:color w:val="auto"/>
                      <w:sz w:val="21"/>
                      <w:szCs w:val="21"/>
                      <w:highlight w:val="none"/>
                      <w:lang w:val="en-US" w:eastAsia="zh-CN"/>
                    </w:rPr>
                  </w:pPr>
                  <w:r>
                    <w:rPr>
                      <w:rFonts w:hint="eastAsia"/>
                      <w:sz w:val="21"/>
                      <w:szCs w:val="21"/>
                    </w:rPr>
                    <w:t>9</w:t>
                  </w:r>
                  <w:r>
                    <w:rPr>
                      <w:sz w:val="21"/>
                      <w:szCs w:val="21"/>
                    </w:rPr>
                    <w:t>000kW·h/a</w:t>
                  </w:r>
                </w:p>
              </w:tc>
              <w:tc>
                <w:tcPr>
                  <w:tcW w:w="1400" w:type="pct"/>
                  <w:shd w:val="clear" w:color="auto" w:fill="auto"/>
                  <w:vAlign w:val="center"/>
                </w:tcPr>
                <w:p w14:paraId="13DDFE91">
                  <w:pPr>
                    <w:spacing w:line="360" w:lineRule="exact"/>
                    <w:jc w:val="center"/>
                    <w:rPr>
                      <w:rFonts w:hint="eastAsia" w:eastAsia="宋体"/>
                      <w:color w:val="000000"/>
                      <w:sz w:val="21"/>
                      <w:szCs w:val="21"/>
                      <w:lang w:val="en-US" w:eastAsia="zh-CN"/>
                    </w:rPr>
                  </w:pPr>
                  <w:r>
                    <w:rPr>
                      <w:rFonts w:hint="eastAsia"/>
                      <w:color w:val="000000"/>
                      <w:sz w:val="21"/>
                      <w:szCs w:val="21"/>
                      <w:lang w:val="en-US" w:eastAsia="zh-CN"/>
                    </w:rPr>
                    <w:t>/</w:t>
                  </w:r>
                </w:p>
              </w:tc>
              <w:tc>
                <w:tcPr>
                  <w:tcW w:w="1050" w:type="pct"/>
                  <w:shd w:val="clear" w:color="auto" w:fill="auto"/>
                  <w:vAlign w:val="center"/>
                </w:tcPr>
                <w:p w14:paraId="0382A481">
                  <w:pPr>
                    <w:snapToGrid w:val="0"/>
                    <w:spacing w:line="240" w:lineRule="auto"/>
                    <w:jc w:val="center"/>
                    <w:rPr>
                      <w:rFonts w:hint="default" w:cs="Times New Roman"/>
                      <w:color w:val="auto"/>
                      <w:sz w:val="21"/>
                      <w:szCs w:val="21"/>
                      <w:highlight w:val="none"/>
                      <w:lang w:val="en-US" w:eastAsia="zh-CN" w:bidi="ar-SA"/>
                    </w:rPr>
                  </w:pPr>
                  <w:r>
                    <w:rPr>
                      <w:rFonts w:hint="eastAsia" w:cs="Times New Roman"/>
                      <w:color w:val="auto"/>
                      <w:sz w:val="21"/>
                      <w:szCs w:val="21"/>
                      <w:highlight w:val="none"/>
                      <w:lang w:val="en-US" w:eastAsia="zh-CN" w:bidi="ar-SA"/>
                    </w:rPr>
                    <w:t>/</w:t>
                  </w:r>
                </w:p>
              </w:tc>
              <w:tc>
                <w:tcPr>
                  <w:tcW w:w="707" w:type="pct"/>
                  <w:tcBorders>
                    <w:right w:val="nil"/>
                  </w:tcBorders>
                  <w:vAlign w:val="center"/>
                </w:tcPr>
                <w:p w14:paraId="1FF80FE7">
                  <w:pPr>
                    <w:spacing w:line="360" w:lineRule="exac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市政电网</w:t>
                  </w:r>
                </w:p>
              </w:tc>
            </w:tr>
            <w:tr w14:paraId="3C900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834" w:type="dxa"/>
                  <w:tcBorders>
                    <w:left w:val="nil"/>
                  </w:tcBorders>
                  <w:shd w:val="clear" w:color="auto" w:fill="auto"/>
                  <w:vAlign w:val="center"/>
                </w:tcPr>
                <w:p w14:paraId="3D838FB9">
                  <w:pPr>
                    <w:snapToGrid w:val="0"/>
                    <w:spacing w:line="240" w:lineRule="auto"/>
                    <w:jc w:val="center"/>
                    <w:rPr>
                      <w:rFonts w:hint="default"/>
                      <w:color w:val="auto"/>
                      <w:sz w:val="21"/>
                      <w:szCs w:val="21"/>
                      <w:highlight w:val="none"/>
                      <w:lang w:val="en-US" w:eastAsia="zh-CN"/>
                    </w:rPr>
                  </w:pPr>
                  <w:r>
                    <w:rPr>
                      <w:sz w:val="21"/>
                      <w:szCs w:val="21"/>
                    </w:rPr>
                    <w:t>水</w:t>
                  </w:r>
                </w:p>
              </w:tc>
              <w:tc>
                <w:tcPr>
                  <w:tcW w:w="1283" w:type="dxa"/>
                  <w:shd w:val="clear" w:color="auto" w:fill="auto"/>
                  <w:vAlign w:val="center"/>
                </w:tcPr>
                <w:p w14:paraId="4F377D56">
                  <w:pPr>
                    <w:snapToGrid w:val="0"/>
                    <w:spacing w:line="240" w:lineRule="auto"/>
                    <w:jc w:val="center"/>
                    <w:rPr>
                      <w:rFonts w:hint="eastAsia"/>
                      <w:color w:val="auto"/>
                      <w:sz w:val="21"/>
                      <w:szCs w:val="21"/>
                      <w:highlight w:val="none"/>
                      <w:lang w:val="en-US" w:eastAsia="zh-CN"/>
                    </w:rPr>
                  </w:pPr>
                  <w:r>
                    <w:rPr>
                      <w:rFonts w:hint="eastAsia"/>
                      <w:sz w:val="21"/>
                      <w:szCs w:val="21"/>
                      <w:lang w:val="en-US" w:eastAsia="zh-CN"/>
                    </w:rPr>
                    <w:t>60</w:t>
                  </w:r>
                  <w:r>
                    <w:rPr>
                      <w:rFonts w:hint="eastAsia"/>
                      <w:sz w:val="21"/>
                      <w:szCs w:val="21"/>
                    </w:rPr>
                    <w:t>00</w:t>
                  </w:r>
                  <w:r>
                    <w:rPr>
                      <w:sz w:val="21"/>
                      <w:szCs w:val="21"/>
                    </w:rPr>
                    <w:t>m</w:t>
                  </w:r>
                  <w:r>
                    <w:rPr>
                      <w:sz w:val="21"/>
                      <w:szCs w:val="21"/>
                      <w:vertAlign w:val="superscript"/>
                    </w:rPr>
                    <w:t>3</w:t>
                  </w:r>
                  <w:r>
                    <w:rPr>
                      <w:rFonts w:hint="eastAsia"/>
                      <w:sz w:val="21"/>
                      <w:szCs w:val="21"/>
                    </w:rPr>
                    <w:t>/a</w:t>
                  </w:r>
                </w:p>
              </w:tc>
              <w:tc>
                <w:tcPr>
                  <w:tcW w:w="1400" w:type="pct"/>
                  <w:shd w:val="clear" w:color="auto" w:fill="auto"/>
                  <w:vAlign w:val="center"/>
                </w:tcPr>
                <w:p w14:paraId="4EF15AB0">
                  <w:pPr>
                    <w:spacing w:line="360" w:lineRule="exact"/>
                    <w:jc w:val="center"/>
                    <w:rPr>
                      <w:rFonts w:hint="eastAsia" w:eastAsia="宋体"/>
                      <w:color w:val="000000"/>
                      <w:sz w:val="21"/>
                      <w:szCs w:val="21"/>
                      <w:lang w:val="en-US" w:eastAsia="zh-CN"/>
                    </w:rPr>
                  </w:pPr>
                  <w:r>
                    <w:rPr>
                      <w:rFonts w:hint="eastAsia"/>
                      <w:color w:val="000000"/>
                      <w:sz w:val="21"/>
                      <w:szCs w:val="21"/>
                      <w:lang w:val="en-US" w:eastAsia="zh-CN"/>
                    </w:rPr>
                    <w:t>/</w:t>
                  </w:r>
                </w:p>
              </w:tc>
              <w:tc>
                <w:tcPr>
                  <w:tcW w:w="1050" w:type="pct"/>
                  <w:shd w:val="clear" w:color="auto" w:fill="auto"/>
                  <w:vAlign w:val="center"/>
                </w:tcPr>
                <w:p w14:paraId="278926DD">
                  <w:pPr>
                    <w:snapToGrid w:val="0"/>
                    <w:spacing w:line="240" w:lineRule="auto"/>
                    <w:jc w:val="center"/>
                    <w:rPr>
                      <w:rFonts w:hint="default" w:cs="Times New Roman"/>
                      <w:color w:val="auto"/>
                      <w:sz w:val="21"/>
                      <w:szCs w:val="21"/>
                      <w:highlight w:val="none"/>
                      <w:lang w:val="en-US" w:eastAsia="zh-CN" w:bidi="ar-SA"/>
                    </w:rPr>
                  </w:pPr>
                  <w:r>
                    <w:rPr>
                      <w:rFonts w:hint="eastAsia" w:cs="Times New Roman"/>
                      <w:color w:val="auto"/>
                      <w:sz w:val="21"/>
                      <w:szCs w:val="21"/>
                      <w:highlight w:val="none"/>
                      <w:lang w:val="en-US" w:eastAsia="zh-CN" w:bidi="ar-SA"/>
                    </w:rPr>
                    <w:t>/</w:t>
                  </w:r>
                </w:p>
              </w:tc>
              <w:tc>
                <w:tcPr>
                  <w:tcW w:w="707" w:type="pct"/>
                  <w:tcBorders>
                    <w:right w:val="nil"/>
                  </w:tcBorders>
                  <w:vAlign w:val="center"/>
                </w:tcPr>
                <w:p w14:paraId="2A03B77D">
                  <w:pPr>
                    <w:spacing w:line="360" w:lineRule="exac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自来水</w:t>
                  </w:r>
                </w:p>
              </w:tc>
            </w:tr>
          </w:tbl>
          <w:p w14:paraId="4284448A">
            <w:pPr>
              <w:spacing w:before="120" w:beforeLines="50" w:line="240" w:lineRule="auto"/>
              <w:jc w:val="center"/>
              <w:rPr>
                <w:rFonts w:eastAsia="黑体"/>
                <w:bCs/>
                <w:sz w:val="21"/>
                <w:szCs w:val="21"/>
              </w:rPr>
            </w:pPr>
            <w:r>
              <w:rPr>
                <w:rFonts w:eastAsia="黑体"/>
                <w:bCs/>
                <w:sz w:val="21"/>
                <w:szCs w:val="21"/>
              </w:rPr>
              <w:t>表</w:t>
            </w:r>
            <w:r>
              <w:rPr>
                <w:rFonts w:hint="eastAsia" w:eastAsia="黑体"/>
                <w:bCs/>
                <w:sz w:val="21"/>
                <w:szCs w:val="21"/>
              </w:rPr>
              <w:t>1-1</w:t>
            </w:r>
            <w:r>
              <w:rPr>
                <w:rFonts w:hint="eastAsia" w:eastAsia="黑体"/>
                <w:bCs/>
                <w:sz w:val="21"/>
                <w:szCs w:val="21"/>
                <w:lang w:val="en-US" w:eastAsia="zh-CN"/>
              </w:rPr>
              <w:t>1</w:t>
            </w:r>
            <w:r>
              <w:rPr>
                <w:rFonts w:eastAsia="黑体"/>
                <w:bCs/>
                <w:sz w:val="21"/>
                <w:szCs w:val="21"/>
              </w:rPr>
              <w:t xml:space="preserve">  本项目主要工艺设备表（</w:t>
            </w:r>
            <w:r>
              <w:rPr>
                <w:rFonts w:hint="eastAsia" w:eastAsia="黑体"/>
                <w:bCs/>
                <w:sz w:val="21"/>
                <w:szCs w:val="21"/>
              </w:rPr>
              <w:t>非防护设备</w:t>
            </w:r>
            <w:r>
              <w:rPr>
                <w:rFonts w:eastAsia="黑体"/>
                <w:bCs/>
                <w:sz w:val="21"/>
                <w:szCs w:val="21"/>
              </w:rPr>
              <w:t>）</w:t>
            </w:r>
          </w:p>
          <w:tbl>
            <w:tblPr>
              <w:tblStyle w:val="5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92"/>
              <w:gridCol w:w="2902"/>
            </w:tblGrid>
            <w:tr w14:paraId="646AD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291" w:type="pct"/>
                  <w:tcBorders>
                    <w:left w:val="nil"/>
                  </w:tcBorders>
                  <w:vAlign w:val="center"/>
                </w:tcPr>
                <w:p w14:paraId="67462B30">
                  <w:pPr>
                    <w:spacing w:line="360" w:lineRule="exact"/>
                    <w:jc w:val="center"/>
                    <w:rPr>
                      <w:b/>
                      <w:bCs/>
                      <w:color w:val="000000"/>
                      <w:sz w:val="21"/>
                      <w:szCs w:val="21"/>
                    </w:rPr>
                  </w:pPr>
                  <w:r>
                    <w:rPr>
                      <w:b/>
                      <w:bCs/>
                      <w:color w:val="000000"/>
                      <w:sz w:val="21"/>
                      <w:szCs w:val="21"/>
                    </w:rPr>
                    <w:t>设备名称</w:t>
                  </w:r>
                </w:p>
              </w:tc>
              <w:tc>
                <w:tcPr>
                  <w:tcW w:w="1708" w:type="pct"/>
                  <w:tcBorders>
                    <w:right w:val="nil"/>
                  </w:tcBorders>
                  <w:vAlign w:val="center"/>
                </w:tcPr>
                <w:p w14:paraId="09F3AE1A">
                  <w:pPr>
                    <w:spacing w:line="360" w:lineRule="exact"/>
                    <w:jc w:val="center"/>
                    <w:rPr>
                      <w:b/>
                      <w:bCs/>
                      <w:color w:val="000000"/>
                      <w:sz w:val="21"/>
                      <w:szCs w:val="21"/>
                    </w:rPr>
                  </w:pPr>
                  <w:r>
                    <w:rPr>
                      <w:b/>
                      <w:bCs/>
                      <w:color w:val="000000"/>
                      <w:sz w:val="21"/>
                      <w:szCs w:val="21"/>
                    </w:rPr>
                    <w:t>数量（台/套）</w:t>
                  </w:r>
                </w:p>
              </w:tc>
            </w:tr>
            <w:tr w14:paraId="45C7F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1" w:type="pct"/>
                  <w:tcBorders>
                    <w:left w:val="nil"/>
                  </w:tcBorders>
                  <w:vAlign w:val="center"/>
                </w:tcPr>
                <w:p w14:paraId="6324C514">
                  <w:pPr>
                    <w:spacing w:line="360" w:lineRule="exact"/>
                    <w:jc w:val="center"/>
                    <w:rPr>
                      <w:color w:val="000000"/>
                      <w:sz w:val="21"/>
                      <w:szCs w:val="21"/>
                    </w:rPr>
                  </w:pPr>
                  <w:r>
                    <w:rPr>
                      <w:color w:val="000000"/>
                      <w:sz w:val="21"/>
                      <w:szCs w:val="21"/>
                    </w:rPr>
                    <w:t>通风柜</w:t>
                  </w:r>
                </w:p>
              </w:tc>
              <w:tc>
                <w:tcPr>
                  <w:tcW w:w="1708" w:type="pct"/>
                  <w:tcBorders>
                    <w:right w:val="nil"/>
                  </w:tcBorders>
                  <w:vAlign w:val="center"/>
                </w:tcPr>
                <w:p w14:paraId="14A98109">
                  <w:pPr>
                    <w:spacing w:line="360" w:lineRule="exact"/>
                    <w:jc w:val="center"/>
                    <w:rPr>
                      <w:color w:val="000000"/>
                      <w:sz w:val="21"/>
                      <w:szCs w:val="21"/>
                    </w:rPr>
                  </w:pPr>
                  <w:r>
                    <w:rPr>
                      <w:color w:val="000000"/>
                      <w:sz w:val="21"/>
                      <w:szCs w:val="21"/>
                    </w:rPr>
                    <w:t>4</w:t>
                  </w:r>
                </w:p>
              </w:tc>
            </w:tr>
            <w:tr w14:paraId="6D763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1" w:type="pct"/>
                  <w:tcBorders>
                    <w:left w:val="nil"/>
                  </w:tcBorders>
                  <w:vAlign w:val="center"/>
                </w:tcPr>
                <w:p w14:paraId="237E5D9E">
                  <w:pPr>
                    <w:spacing w:line="360" w:lineRule="exact"/>
                    <w:jc w:val="center"/>
                    <w:rPr>
                      <w:bCs/>
                      <w:color w:val="000000"/>
                      <w:sz w:val="21"/>
                      <w:szCs w:val="21"/>
                    </w:rPr>
                  </w:pPr>
                  <w:r>
                    <w:rPr>
                      <w:color w:val="000000"/>
                      <w:sz w:val="21"/>
                      <w:szCs w:val="21"/>
                    </w:rPr>
                    <w:t>屏蔽工作箱</w:t>
                  </w:r>
                </w:p>
              </w:tc>
              <w:tc>
                <w:tcPr>
                  <w:tcW w:w="1708" w:type="pct"/>
                  <w:tcBorders>
                    <w:right w:val="nil"/>
                  </w:tcBorders>
                  <w:vAlign w:val="center"/>
                </w:tcPr>
                <w:p w14:paraId="41DA442D">
                  <w:pPr>
                    <w:spacing w:line="360" w:lineRule="exact"/>
                    <w:jc w:val="center"/>
                    <w:rPr>
                      <w:bCs/>
                      <w:color w:val="000000"/>
                      <w:sz w:val="21"/>
                      <w:szCs w:val="21"/>
                    </w:rPr>
                  </w:pPr>
                  <w:r>
                    <w:rPr>
                      <w:bCs/>
                      <w:color w:val="000000"/>
                      <w:sz w:val="21"/>
                      <w:szCs w:val="21"/>
                    </w:rPr>
                    <w:t>4</w:t>
                  </w:r>
                </w:p>
              </w:tc>
            </w:tr>
            <w:tr w14:paraId="6CD0E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1" w:type="pct"/>
                  <w:tcBorders>
                    <w:left w:val="nil"/>
                  </w:tcBorders>
                  <w:vAlign w:val="center"/>
                </w:tcPr>
                <w:p w14:paraId="6BB4FD5F">
                  <w:pPr>
                    <w:spacing w:line="360" w:lineRule="exact"/>
                    <w:jc w:val="center"/>
                    <w:rPr>
                      <w:bCs/>
                      <w:color w:val="000000"/>
                      <w:sz w:val="21"/>
                      <w:szCs w:val="21"/>
                    </w:rPr>
                  </w:pPr>
                  <w:r>
                    <w:rPr>
                      <w:color w:val="000000"/>
                      <w:sz w:val="21"/>
                      <w:szCs w:val="21"/>
                    </w:rPr>
                    <w:t>电子天平</w:t>
                  </w:r>
                </w:p>
              </w:tc>
              <w:tc>
                <w:tcPr>
                  <w:tcW w:w="1708" w:type="pct"/>
                  <w:tcBorders>
                    <w:right w:val="nil"/>
                  </w:tcBorders>
                  <w:vAlign w:val="center"/>
                </w:tcPr>
                <w:p w14:paraId="19690426">
                  <w:pPr>
                    <w:spacing w:line="360" w:lineRule="exact"/>
                    <w:jc w:val="center"/>
                    <w:rPr>
                      <w:bCs/>
                      <w:color w:val="000000"/>
                      <w:sz w:val="21"/>
                      <w:szCs w:val="21"/>
                    </w:rPr>
                  </w:pPr>
                  <w:r>
                    <w:rPr>
                      <w:bCs/>
                      <w:color w:val="000000"/>
                      <w:sz w:val="21"/>
                      <w:szCs w:val="21"/>
                    </w:rPr>
                    <w:t>1</w:t>
                  </w:r>
                </w:p>
              </w:tc>
            </w:tr>
            <w:tr w14:paraId="5191E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1" w:type="pct"/>
                  <w:tcBorders>
                    <w:left w:val="nil"/>
                  </w:tcBorders>
                  <w:vAlign w:val="center"/>
                </w:tcPr>
                <w:p w14:paraId="258DD56A">
                  <w:pPr>
                    <w:spacing w:line="360" w:lineRule="exact"/>
                    <w:jc w:val="center"/>
                    <w:rPr>
                      <w:bCs/>
                      <w:color w:val="000000"/>
                      <w:sz w:val="21"/>
                      <w:szCs w:val="21"/>
                    </w:rPr>
                  </w:pPr>
                  <w:r>
                    <w:rPr>
                      <w:color w:val="000000"/>
                      <w:sz w:val="21"/>
                      <w:szCs w:val="21"/>
                    </w:rPr>
                    <w:t>放射性活度计</w:t>
                  </w:r>
                </w:p>
              </w:tc>
              <w:tc>
                <w:tcPr>
                  <w:tcW w:w="1708" w:type="pct"/>
                  <w:tcBorders>
                    <w:right w:val="nil"/>
                  </w:tcBorders>
                  <w:vAlign w:val="center"/>
                </w:tcPr>
                <w:p w14:paraId="4D40FF60">
                  <w:pPr>
                    <w:spacing w:line="360" w:lineRule="exact"/>
                    <w:jc w:val="center"/>
                    <w:rPr>
                      <w:rFonts w:hint="eastAsia" w:eastAsia="宋体"/>
                      <w:bCs/>
                      <w:color w:val="000000"/>
                      <w:sz w:val="21"/>
                      <w:szCs w:val="21"/>
                      <w:lang w:eastAsia="zh-CN"/>
                    </w:rPr>
                  </w:pPr>
                  <w:r>
                    <w:rPr>
                      <w:rFonts w:hint="eastAsia"/>
                      <w:bCs/>
                      <w:color w:val="000000"/>
                      <w:sz w:val="21"/>
                      <w:szCs w:val="21"/>
                      <w:lang w:val="en-US" w:eastAsia="zh-CN"/>
                    </w:rPr>
                    <w:t>4</w:t>
                  </w:r>
                </w:p>
              </w:tc>
            </w:tr>
            <w:tr w14:paraId="399B8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1" w:type="pct"/>
                  <w:tcBorders>
                    <w:left w:val="nil"/>
                  </w:tcBorders>
                  <w:vAlign w:val="center"/>
                </w:tcPr>
                <w:p w14:paraId="6500D87C">
                  <w:pPr>
                    <w:spacing w:line="360" w:lineRule="exact"/>
                    <w:jc w:val="center"/>
                    <w:rPr>
                      <w:bCs/>
                      <w:color w:val="000000"/>
                      <w:sz w:val="21"/>
                      <w:szCs w:val="21"/>
                    </w:rPr>
                  </w:pPr>
                  <w:r>
                    <w:rPr>
                      <w:color w:val="000000"/>
                      <w:sz w:val="21"/>
                      <w:szCs w:val="21"/>
                    </w:rPr>
                    <w:t>pH</w:t>
                  </w:r>
                  <w:r>
                    <w:rPr>
                      <w:color w:val="000000"/>
                      <w:spacing w:val="-51"/>
                      <w:sz w:val="21"/>
                      <w:szCs w:val="21"/>
                    </w:rPr>
                    <w:t xml:space="preserve"> </w:t>
                  </w:r>
                  <w:r>
                    <w:rPr>
                      <w:color w:val="000000"/>
                      <w:sz w:val="21"/>
                      <w:szCs w:val="21"/>
                    </w:rPr>
                    <w:t>计</w:t>
                  </w:r>
                </w:p>
              </w:tc>
              <w:tc>
                <w:tcPr>
                  <w:tcW w:w="1708" w:type="pct"/>
                  <w:tcBorders>
                    <w:right w:val="nil"/>
                  </w:tcBorders>
                  <w:vAlign w:val="center"/>
                </w:tcPr>
                <w:p w14:paraId="6C7E053B">
                  <w:pPr>
                    <w:spacing w:line="360" w:lineRule="exact"/>
                    <w:jc w:val="center"/>
                    <w:rPr>
                      <w:bCs/>
                      <w:color w:val="000000"/>
                      <w:sz w:val="21"/>
                      <w:szCs w:val="21"/>
                    </w:rPr>
                  </w:pPr>
                  <w:r>
                    <w:rPr>
                      <w:bCs/>
                      <w:color w:val="000000"/>
                      <w:sz w:val="21"/>
                      <w:szCs w:val="21"/>
                    </w:rPr>
                    <w:t>1</w:t>
                  </w:r>
                </w:p>
              </w:tc>
            </w:tr>
          </w:tbl>
          <w:p w14:paraId="79DAD806">
            <w:pPr>
              <w:spacing w:before="120" w:beforeLines="50"/>
              <w:ind w:firstLine="482"/>
              <w:rPr>
                <w:b/>
                <w:bCs/>
              </w:rPr>
            </w:pPr>
            <w:r>
              <w:rPr>
                <w:b/>
                <w:bCs/>
              </w:rPr>
              <w:t>（</w:t>
            </w:r>
            <w:r>
              <w:rPr>
                <w:rFonts w:hint="eastAsia"/>
                <w:b/>
                <w:bCs/>
              </w:rPr>
              <w:t>五</w:t>
            </w:r>
            <w:r>
              <w:rPr>
                <w:b/>
                <w:bCs/>
              </w:rPr>
              <w:t>）项目依托环保设施情况介绍及依托可行性分析</w:t>
            </w:r>
          </w:p>
          <w:p w14:paraId="5B9E455B">
            <w:pPr>
              <w:pStyle w:val="77"/>
              <w:ind w:firstLine="480" w:firstLineChars="200"/>
              <w:rPr>
                <w:rFonts w:ascii="Times New Roman" w:eastAsia="宋体" w:cs="Times New Roman"/>
                <w:b w:val="0"/>
                <w:bCs/>
                <w:color w:val="auto"/>
                <w:kern w:val="2"/>
              </w:rPr>
            </w:pPr>
            <w:r>
              <w:rPr>
                <w:rFonts w:ascii="Times New Roman" w:eastAsia="宋体" w:cs="Times New Roman"/>
                <w:b w:val="0"/>
                <w:bCs/>
                <w:color w:val="auto"/>
                <w:kern w:val="2"/>
              </w:rPr>
              <w:t>本项目在医院内建设，项目依托环保设施及其可行性分析如下。</w:t>
            </w:r>
          </w:p>
          <w:p w14:paraId="61D7928B">
            <w:pPr>
              <w:pStyle w:val="56"/>
              <w:spacing w:after="0"/>
              <w:ind w:left="0" w:firstLine="482" w:firstLineChars="200"/>
              <w:jc w:val="both"/>
              <w:rPr>
                <w:sz w:val="24"/>
                <w:szCs w:val="24"/>
              </w:rPr>
            </w:pPr>
            <w:r>
              <w:rPr>
                <w:b/>
                <w:bCs/>
                <w:kern w:val="2"/>
                <w:sz w:val="24"/>
                <w:szCs w:val="24"/>
              </w:rPr>
              <w:t>污水处理设施:</w:t>
            </w:r>
            <w:r>
              <w:rPr>
                <w:sz w:val="24"/>
                <w:szCs w:val="24"/>
              </w:rPr>
              <w:t>建污水处理站</w:t>
            </w:r>
            <w:r>
              <w:rPr>
                <w:rFonts w:hint="eastAsia"/>
                <w:sz w:val="24"/>
                <w:szCs w:val="24"/>
                <w:lang w:val="en-US" w:eastAsia="zh-CN"/>
              </w:rPr>
              <w:t>拟建于医院东南角</w:t>
            </w:r>
            <w:r>
              <w:rPr>
                <w:sz w:val="24"/>
                <w:szCs w:val="24"/>
              </w:rPr>
              <w:t>，设计处理规模为</w:t>
            </w:r>
            <w:r>
              <w:rPr>
                <w:rFonts w:hint="eastAsia"/>
                <w:sz w:val="24"/>
                <w:szCs w:val="24"/>
                <w:lang w:val="en-US" w:eastAsia="zh-CN"/>
              </w:rPr>
              <w:t>12</w:t>
            </w:r>
            <w:r>
              <w:rPr>
                <w:sz w:val="24"/>
                <w:szCs w:val="24"/>
              </w:rPr>
              <w:t>00m</w:t>
            </w:r>
            <w:r>
              <w:rPr>
                <w:sz w:val="24"/>
                <w:szCs w:val="24"/>
                <w:vertAlign w:val="superscript"/>
              </w:rPr>
              <w:t>3</w:t>
            </w:r>
            <w:r>
              <w:rPr>
                <w:sz w:val="24"/>
                <w:szCs w:val="24"/>
              </w:rPr>
              <w:t>/d，</w:t>
            </w:r>
            <w:r>
              <w:rPr>
                <w:rFonts w:hint="eastAsia"/>
                <w:sz w:val="24"/>
                <w:szCs w:val="24"/>
                <w:lang w:eastAsia="zh-CN"/>
              </w:rPr>
              <w:t>门诊医技楼</w:t>
            </w:r>
            <w:r>
              <w:rPr>
                <w:sz w:val="24"/>
                <w:szCs w:val="24"/>
              </w:rPr>
              <w:t>建成投运后，将会增加一定的污水处理负荷，但由于本项目新增的工作人员较少，病床数较少，所增加的污水处理负荷在整个医院的污水处理负荷中占比很小，依托医院污水处理站处理达标后排入市政污水管网，</w:t>
            </w:r>
            <w:r>
              <w:rPr>
                <w:rFonts w:hint="eastAsia"/>
                <w:sz w:val="24"/>
                <w:szCs w:val="24"/>
                <w:lang w:val="en-US" w:eastAsia="zh-CN"/>
              </w:rPr>
              <w:t>经城市污水处理设施处理后排入城市环境水系</w:t>
            </w:r>
            <w:r>
              <w:rPr>
                <w:sz w:val="24"/>
                <w:szCs w:val="24"/>
              </w:rPr>
              <w:t>，因此本项目产生的生活污水、医疗废水依托医院污水处理站进行处理是可行的。</w:t>
            </w:r>
          </w:p>
          <w:p w14:paraId="261DBA36">
            <w:pPr>
              <w:pStyle w:val="56"/>
              <w:spacing w:after="0"/>
              <w:ind w:left="0" w:firstLine="482" w:firstLineChars="200"/>
              <w:jc w:val="both"/>
              <w:rPr>
                <w:kern w:val="2"/>
                <w:sz w:val="24"/>
                <w:szCs w:val="24"/>
              </w:rPr>
            </w:pPr>
            <w:r>
              <w:rPr>
                <w:b/>
                <w:bCs/>
                <w:kern w:val="2"/>
                <w:sz w:val="24"/>
                <w:szCs w:val="24"/>
              </w:rPr>
              <w:t>固废处理设施:</w:t>
            </w:r>
            <w:r>
              <w:rPr>
                <w:rFonts w:hint="eastAsia"/>
                <w:kern w:val="2"/>
                <w:sz w:val="24"/>
                <w:szCs w:val="24"/>
                <w:lang w:eastAsia="zh-CN"/>
              </w:rPr>
              <w:t>门诊医技楼</w:t>
            </w:r>
            <w:r>
              <w:rPr>
                <w:kern w:val="2"/>
                <w:sz w:val="24"/>
                <w:szCs w:val="24"/>
              </w:rPr>
              <w:t>各楼层均拟设置生活垃圾、医疗垃圾收集设施，生活垃圾、医疗垃圾定点袋装收集，每日由工作人员下班后统一运至医院生活垃圾暂存间和医疗垃圾暂存间。</w:t>
            </w:r>
            <w:r>
              <w:rPr>
                <w:kern w:val="2"/>
                <w:sz w:val="24"/>
                <w:szCs w:val="24"/>
                <w:highlight w:val="none"/>
              </w:rPr>
              <w:t>医院生活垃圾暂存间位于医院</w:t>
            </w:r>
            <w:r>
              <w:rPr>
                <w:sz w:val="24"/>
                <w:szCs w:val="22"/>
                <w:highlight w:val="none"/>
              </w:rPr>
              <w:t>东</w:t>
            </w:r>
            <w:r>
              <w:rPr>
                <w:rFonts w:hint="eastAsia"/>
                <w:sz w:val="24"/>
                <w:szCs w:val="22"/>
                <w:highlight w:val="none"/>
                <w:lang w:val="en-US" w:eastAsia="zh-CN"/>
              </w:rPr>
              <w:t>南</w:t>
            </w:r>
            <w:r>
              <w:rPr>
                <w:sz w:val="24"/>
                <w:szCs w:val="22"/>
                <w:highlight w:val="none"/>
              </w:rPr>
              <w:t>角</w:t>
            </w:r>
            <w:r>
              <w:rPr>
                <w:rFonts w:hint="eastAsia"/>
                <w:sz w:val="24"/>
                <w:szCs w:val="22"/>
                <w:highlight w:val="none"/>
                <w:lang w:val="en-US" w:eastAsia="zh-CN"/>
              </w:rPr>
              <w:t>污水处理池北侧</w:t>
            </w:r>
            <w:r>
              <w:rPr>
                <w:sz w:val="24"/>
                <w:szCs w:val="22"/>
                <w:highlight w:val="none"/>
              </w:rPr>
              <w:t>，面积约1</w:t>
            </w:r>
            <w:r>
              <w:rPr>
                <w:rFonts w:hint="eastAsia"/>
                <w:sz w:val="24"/>
                <w:szCs w:val="22"/>
                <w:highlight w:val="none"/>
                <w:lang w:val="en-US" w:eastAsia="zh-CN"/>
              </w:rPr>
              <w:t>2</w:t>
            </w:r>
            <w:r>
              <w:rPr>
                <w:sz w:val="24"/>
                <w:szCs w:val="22"/>
                <w:highlight w:val="none"/>
              </w:rPr>
              <w:t>0m</w:t>
            </w:r>
            <w:r>
              <w:rPr>
                <w:sz w:val="24"/>
                <w:szCs w:val="22"/>
                <w:highlight w:val="none"/>
                <w:vertAlign w:val="superscript"/>
              </w:rPr>
              <w:t>2</w:t>
            </w:r>
            <w:r>
              <w:rPr>
                <w:sz w:val="24"/>
                <w:szCs w:val="22"/>
                <w:highlight w:val="none"/>
              </w:rPr>
              <w:t>；</w:t>
            </w:r>
            <w:r>
              <w:rPr>
                <w:kern w:val="2"/>
                <w:sz w:val="24"/>
                <w:szCs w:val="24"/>
                <w:highlight w:val="none"/>
              </w:rPr>
              <w:t>医疗垃圾暂存间</w:t>
            </w:r>
            <w:r>
              <w:rPr>
                <w:sz w:val="24"/>
                <w:szCs w:val="22"/>
                <w:highlight w:val="none"/>
              </w:rPr>
              <w:t>位于</w:t>
            </w:r>
            <w:r>
              <w:rPr>
                <w:rFonts w:hint="eastAsia"/>
                <w:sz w:val="24"/>
                <w:szCs w:val="22"/>
                <w:highlight w:val="none"/>
                <w:lang w:val="en-US" w:eastAsia="zh-CN"/>
              </w:rPr>
              <w:t>门诊医疗楼负一层西南侧</w:t>
            </w:r>
            <w:r>
              <w:rPr>
                <w:sz w:val="24"/>
                <w:szCs w:val="22"/>
                <w:highlight w:val="none"/>
              </w:rPr>
              <w:t>，面积</w:t>
            </w:r>
            <w:r>
              <w:rPr>
                <w:rFonts w:hint="eastAsia"/>
                <w:sz w:val="24"/>
                <w:szCs w:val="22"/>
                <w:highlight w:val="none"/>
                <w:lang w:val="en-US" w:eastAsia="zh-CN"/>
              </w:rPr>
              <w:t>为</w:t>
            </w:r>
            <w:r>
              <w:rPr>
                <w:sz w:val="24"/>
                <w:szCs w:val="22"/>
                <w:highlight w:val="none"/>
              </w:rPr>
              <w:t>15</w:t>
            </w:r>
            <w:r>
              <w:rPr>
                <w:rFonts w:hint="eastAsia"/>
                <w:sz w:val="24"/>
                <w:szCs w:val="22"/>
                <w:highlight w:val="none"/>
                <w:lang w:val="en-US" w:eastAsia="zh-CN"/>
              </w:rPr>
              <w:t>1.91</w:t>
            </w:r>
            <w:r>
              <w:rPr>
                <w:sz w:val="24"/>
                <w:szCs w:val="22"/>
                <w:highlight w:val="none"/>
              </w:rPr>
              <w:t>m</w:t>
            </w:r>
            <w:r>
              <w:rPr>
                <w:sz w:val="24"/>
                <w:szCs w:val="22"/>
                <w:highlight w:val="none"/>
                <w:vertAlign w:val="superscript"/>
              </w:rPr>
              <w:t>2</w:t>
            </w:r>
            <w:r>
              <w:rPr>
                <w:sz w:val="24"/>
                <w:szCs w:val="22"/>
                <w:highlight w:val="none"/>
              </w:rPr>
              <w:t>。</w:t>
            </w:r>
            <w:r>
              <w:rPr>
                <w:sz w:val="24"/>
                <w:szCs w:val="22"/>
              </w:rPr>
              <w:t>本项目产生的</w:t>
            </w:r>
            <w:r>
              <w:rPr>
                <w:kern w:val="2"/>
                <w:sz w:val="24"/>
                <w:szCs w:val="24"/>
              </w:rPr>
              <w:t>生活垃圾依托既有的生活垃圾处理系统定期交由环卫部门清运处置；产生的医疗垃圾依托既有的医疗垃圾处理系统定期交</w:t>
            </w:r>
            <w:r>
              <w:rPr>
                <w:rFonts w:hint="eastAsia"/>
                <w:kern w:val="2"/>
                <w:sz w:val="24"/>
                <w:szCs w:val="24"/>
                <w:lang w:val="en-US" w:eastAsia="zh-CN"/>
              </w:rPr>
              <w:t>由</w:t>
            </w:r>
            <w:r>
              <w:rPr>
                <w:kern w:val="2"/>
                <w:sz w:val="24"/>
                <w:szCs w:val="24"/>
              </w:rPr>
              <w:t>有资质单位统一处置，</w:t>
            </w:r>
            <w:r>
              <w:rPr>
                <w:sz w:val="24"/>
                <w:szCs w:val="22"/>
              </w:rPr>
              <w:t>本项目固体废物产生量相对较少，</w:t>
            </w:r>
            <w:r>
              <w:rPr>
                <w:kern w:val="2"/>
                <w:sz w:val="24"/>
                <w:szCs w:val="24"/>
              </w:rPr>
              <w:t>依托医院的固废处理设施进行处理</w:t>
            </w:r>
            <w:r>
              <w:rPr>
                <w:sz w:val="24"/>
                <w:szCs w:val="24"/>
              </w:rPr>
              <w:t>是</w:t>
            </w:r>
            <w:r>
              <w:rPr>
                <w:kern w:val="2"/>
                <w:sz w:val="24"/>
                <w:szCs w:val="24"/>
              </w:rPr>
              <w:t>可行的。</w:t>
            </w:r>
          </w:p>
          <w:p w14:paraId="5D7D69AE">
            <w:pPr>
              <w:ind w:firstLine="482"/>
              <w:rPr>
                <w:b/>
                <w:bCs/>
              </w:rPr>
            </w:pPr>
            <w:r>
              <w:rPr>
                <w:b/>
                <w:bCs/>
              </w:rPr>
              <w:t>（</w:t>
            </w:r>
            <w:r>
              <w:rPr>
                <w:rFonts w:hint="eastAsia"/>
                <w:b/>
                <w:bCs/>
              </w:rPr>
              <w:t>六</w:t>
            </w:r>
            <w:r>
              <w:rPr>
                <w:b/>
                <w:bCs/>
              </w:rPr>
              <w:t>）主要技术参数</w:t>
            </w:r>
          </w:p>
          <w:p w14:paraId="2F4C1DAA">
            <w:pPr>
              <w:ind w:firstLine="480"/>
              <w:rPr>
                <w:bCs/>
              </w:rPr>
            </w:pPr>
            <w:r>
              <w:rPr>
                <w:bCs/>
              </w:rPr>
              <w:t>本项</w:t>
            </w:r>
            <w:r>
              <w:t>目涉及的非密封放射性物质主要技术参数见表1-</w:t>
            </w:r>
            <w:r>
              <w:rPr>
                <w:rFonts w:hint="eastAsia"/>
                <w:lang w:val="en-US" w:eastAsia="zh-CN"/>
              </w:rPr>
              <w:t>12</w:t>
            </w:r>
            <w:r>
              <w:rPr>
                <w:bCs/>
              </w:rPr>
              <w:t>。</w:t>
            </w:r>
          </w:p>
          <w:p w14:paraId="161ADA5A">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12</w:t>
            </w:r>
            <w:r>
              <w:rPr>
                <w:rFonts w:eastAsia="黑体"/>
                <w:bCs/>
                <w:sz w:val="21"/>
                <w:szCs w:val="21"/>
              </w:rPr>
              <w:t xml:space="preserve">  本项目非密封放射性物质主要技术参数表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697"/>
              <w:gridCol w:w="1027"/>
              <w:gridCol w:w="1258"/>
              <w:gridCol w:w="1323"/>
              <w:gridCol w:w="1755"/>
              <w:gridCol w:w="2002"/>
            </w:tblGrid>
            <w:tr w14:paraId="5C5EAA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vAlign w:val="center"/>
                </w:tcPr>
                <w:p w14:paraId="1F376F23">
                  <w:pPr>
                    <w:spacing w:line="360" w:lineRule="exact"/>
                    <w:jc w:val="center"/>
                    <w:rPr>
                      <w:spacing w:val="-6"/>
                      <w:sz w:val="21"/>
                      <w:szCs w:val="21"/>
                    </w:rPr>
                  </w:pPr>
                  <w:r>
                    <w:rPr>
                      <w:spacing w:val="-6"/>
                      <w:sz w:val="21"/>
                      <w:szCs w:val="21"/>
                    </w:rPr>
                    <w:t>序号</w:t>
                  </w:r>
                </w:p>
              </w:tc>
              <w:tc>
                <w:tcPr>
                  <w:tcW w:w="410" w:type="pct"/>
                  <w:vAlign w:val="center"/>
                </w:tcPr>
                <w:p w14:paraId="2CAF4D49">
                  <w:pPr>
                    <w:spacing w:line="360" w:lineRule="exact"/>
                    <w:jc w:val="center"/>
                    <w:rPr>
                      <w:spacing w:val="-6"/>
                      <w:sz w:val="21"/>
                      <w:szCs w:val="21"/>
                    </w:rPr>
                  </w:pPr>
                  <w:r>
                    <w:rPr>
                      <w:spacing w:val="-6"/>
                      <w:sz w:val="21"/>
                      <w:szCs w:val="21"/>
                    </w:rPr>
                    <w:t>核素</w:t>
                  </w:r>
                </w:p>
              </w:tc>
              <w:tc>
                <w:tcPr>
                  <w:tcW w:w="604" w:type="pct"/>
                  <w:vAlign w:val="center"/>
                </w:tcPr>
                <w:p w14:paraId="5C34AC81">
                  <w:pPr>
                    <w:spacing w:line="360" w:lineRule="exact"/>
                    <w:jc w:val="center"/>
                    <w:rPr>
                      <w:spacing w:val="-6"/>
                      <w:sz w:val="21"/>
                      <w:szCs w:val="21"/>
                    </w:rPr>
                  </w:pPr>
                  <w:r>
                    <w:rPr>
                      <w:spacing w:val="-6"/>
                      <w:sz w:val="21"/>
                      <w:szCs w:val="21"/>
                    </w:rPr>
                    <w:t>半衰期</w:t>
                  </w:r>
                </w:p>
              </w:tc>
              <w:tc>
                <w:tcPr>
                  <w:tcW w:w="740" w:type="pct"/>
                  <w:vAlign w:val="center"/>
                </w:tcPr>
                <w:p w14:paraId="6BCAB989">
                  <w:pPr>
                    <w:spacing w:line="360" w:lineRule="exact"/>
                    <w:jc w:val="center"/>
                    <w:rPr>
                      <w:spacing w:val="-6"/>
                      <w:sz w:val="21"/>
                      <w:szCs w:val="21"/>
                    </w:rPr>
                  </w:pPr>
                  <w:r>
                    <w:rPr>
                      <w:spacing w:val="-6"/>
                      <w:sz w:val="21"/>
                      <w:szCs w:val="21"/>
                    </w:rPr>
                    <w:t>衰变方式</w:t>
                  </w:r>
                </w:p>
              </w:tc>
              <w:tc>
                <w:tcPr>
                  <w:tcW w:w="778" w:type="pct"/>
                  <w:vAlign w:val="center"/>
                </w:tcPr>
                <w:p w14:paraId="5B3CB374">
                  <w:pPr>
                    <w:spacing w:line="360" w:lineRule="exact"/>
                    <w:jc w:val="center"/>
                    <w:rPr>
                      <w:spacing w:val="-6"/>
                      <w:sz w:val="21"/>
                      <w:szCs w:val="21"/>
                    </w:rPr>
                  </w:pPr>
                  <w:r>
                    <w:rPr>
                      <w:spacing w:val="-6"/>
                      <w:sz w:val="21"/>
                      <w:szCs w:val="21"/>
                    </w:rPr>
                    <w:t>主要粒子能量(MeV)</w:t>
                  </w:r>
                </w:p>
              </w:tc>
              <w:tc>
                <w:tcPr>
                  <w:tcW w:w="1032" w:type="pct"/>
                  <w:vAlign w:val="center"/>
                </w:tcPr>
                <w:p w14:paraId="42BD5E8E">
                  <w:pPr>
                    <w:spacing w:line="360" w:lineRule="exact"/>
                    <w:jc w:val="center"/>
                    <w:rPr>
                      <w:spacing w:val="-6"/>
                      <w:sz w:val="21"/>
                      <w:szCs w:val="21"/>
                    </w:rPr>
                  </w:pPr>
                  <w:r>
                    <w:rPr>
                      <w:spacing w:val="-6"/>
                      <w:sz w:val="21"/>
                      <w:szCs w:val="21"/>
                    </w:rPr>
                    <w:t>主要γ射线能量（MeV）</w:t>
                  </w:r>
                </w:p>
              </w:tc>
              <w:tc>
                <w:tcPr>
                  <w:tcW w:w="1177" w:type="pct"/>
                  <w:vAlign w:val="center"/>
                </w:tcPr>
                <w:p w14:paraId="75E13943">
                  <w:pPr>
                    <w:spacing w:line="360" w:lineRule="exact"/>
                    <w:jc w:val="center"/>
                    <w:rPr>
                      <w:spacing w:val="-6"/>
                      <w:sz w:val="21"/>
                      <w:szCs w:val="21"/>
                    </w:rPr>
                  </w:pPr>
                  <w:r>
                    <w:rPr>
                      <w:spacing w:val="-6"/>
                      <w:sz w:val="21"/>
                      <w:szCs w:val="21"/>
                    </w:rPr>
                    <w:t>周围剂量当量率常数(μSv·m</w:t>
                  </w:r>
                  <w:r>
                    <w:rPr>
                      <w:spacing w:val="-6"/>
                      <w:sz w:val="21"/>
                      <w:szCs w:val="21"/>
                      <w:vertAlign w:val="superscript"/>
                    </w:rPr>
                    <w:t>2</w:t>
                  </w:r>
                  <w:r>
                    <w:rPr>
                      <w:spacing w:val="-6"/>
                      <w:sz w:val="21"/>
                      <w:szCs w:val="21"/>
                    </w:rPr>
                    <w:t>/MBq·h)</w:t>
                  </w:r>
                </w:p>
              </w:tc>
            </w:tr>
            <w:tr w14:paraId="6BBF3E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vAlign w:val="center"/>
                </w:tcPr>
                <w:p w14:paraId="22256AAB">
                  <w:pPr>
                    <w:widowControl/>
                    <w:spacing w:line="360" w:lineRule="exact"/>
                    <w:jc w:val="center"/>
                    <w:rPr>
                      <w:rFonts w:hint="eastAsia" w:eastAsia="宋体"/>
                      <w:spacing w:val="-6"/>
                      <w:sz w:val="21"/>
                      <w:szCs w:val="21"/>
                      <w:lang w:eastAsia="zh-CN"/>
                    </w:rPr>
                  </w:pPr>
                  <w:r>
                    <w:rPr>
                      <w:rFonts w:hint="eastAsia"/>
                      <w:sz w:val="21"/>
                      <w:szCs w:val="21"/>
                      <w:lang w:val="en-US" w:eastAsia="zh-CN" w:bidi="ar"/>
                    </w:rPr>
                    <w:t>1</w:t>
                  </w:r>
                </w:p>
              </w:tc>
              <w:tc>
                <w:tcPr>
                  <w:tcW w:w="410" w:type="pct"/>
                  <w:vAlign w:val="center"/>
                </w:tcPr>
                <w:p w14:paraId="1079F9A4">
                  <w:pPr>
                    <w:spacing w:line="360" w:lineRule="exact"/>
                    <w:jc w:val="center"/>
                    <w:rPr>
                      <w:spacing w:val="-6"/>
                      <w:sz w:val="21"/>
                      <w:szCs w:val="21"/>
                    </w:rPr>
                  </w:pPr>
                  <w:r>
                    <w:rPr>
                      <w:bCs/>
                      <w:spacing w:val="-6"/>
                      <w:sz w:val="21"/>
                      <w:szCs w:val="21"/>
                      <w:vertAlign w:val="superscript"/>
                    </w:rPr>
                    <w:t>18</w:t>
                  </w:r>
                  <w:r>
                    <w:rPr>
                      <w:bCs/>
                      <w:spacing w:val="-6"/>
                      <w:sz w:val="21"/>
                      <w:szCs w:val="21"/>
                    </w:rPr>
                    <w:t>F</w:t>
                  </w:r>
                </w:p>
              </w:tc>
              <w:tc>
                <w:tcPr>
                  <w:tcW w:w="604" w:type="pct"/>
                  <w:vAlign w:val="center"/>
                </w:tcPr>
                <w:p w14:paraId="326AC20D">
                  <w:pPr>
                    <w:spacing w:line="360" w:lineRule="exact"/>
                    <w:jc w:val="center"/>
                    <w:rPr>
                      <w:spacing w:val="-6"/>
                      <w:sz w:val="21"/>
                      <w:szCs w:val="21"/>
                    </w:rPr>
                  </w:pPr>
                  <w:r>
                    <w:rPr>
                      <w:spacing w:val="-6"/>
                      <w:sz w:val="21"/>
                      <w:szCs w:val="21"/>
                    </w:rPr>
                    <w:t>109.8min</w:t>
                  </w:r>
                </w:p>
              </w:tc>
              <w:tc>
                <w:tcPr>
                  <w:tcW w:w="740" w:type="pct"/>
                  <w:vAlign w:val="center"/>
                </w:tcPr>
                <w:p w14:paraId="44A32C69">
                  <w:pPr>
                    <w:spacing w:line="360" w:lineRule="exact"/>
                    <w:jc w:val="center"/>
                    <w:rPr>
                      <w:spacing w:val="-6"/>
                      <w:sz w:val="21"/>
                      <w:szCs w:val="21"/>
                    </w:rPr>
                  </w:pPr>
                  <w:r>
                    <w:rPr>
                      <w:spacing w:val="-6"/>
                      <w:sz w:val="21"/>
                      <w:szCs w:val="21"/>
                    </w:rPr>
                    <w:t>β</w:t>
                  </w:r>
                  <w:r>
                    <w:rPr>
                      <w:spacing w:val="-6"/>
                      <w:sz w:val="21"/>
                      <w:szCs w:val="21"/>
                      <w:vertAlign w:val="superscript"/>
                    </w:rPr>
                    <w:t>+</w:t>
                  </w:r>
                  <w:r>
                    <w:rPr>
                      <w:spacing w:val="-6"/>
                      <w:sz w:val="21"/>
                      <w:szCs w:val="21"/>
                    </w:rPr>
                    <w:t>，EC</w:t>
                  </w:r>
                </w:p>
              </w:tc>
              <w:tc>
                <w:tcPr>
                  <w:tcW w:w="778" w:type="pct"/>
                  <w:vAlign w:val="center"/>
                </w:tcPr>
                <w:p w14:paraId="42EBA11F">
                  <w:pPr>
                    <w:spacing w:line="360" w:lineRule="exact"/>
                    <w:jc w:val="center"/>
                    <w:rPr>
                      <w:spacing w:val="-6"/>
                      <w:sz w:val="21"/>
                      <w:szCs w:val="21"/>
                    </w:rPr>
                  </w:pPr>
                  <w:r>
                    <w:rPr>
                      <w:spacing w:val="-6"/>
                      <w:sz w:val="21"/>
                      <w:szCs w:val="21"/>
                    </w:rPr>
                    <w:t>0.63</w:t>
                  </w:r>
                </w:p>
              </w:tc>
              <w:tc>
                <w:tcPr>
                  <w:tcW w:w="1032" w:type="pct"/>
                  <w:vAlign w:val="center"/>
                </w:tcPr>
                <w:p w14:paraId="6490E818">
                  <w:pPr>
                    <w:spacing w:line="360" w:lineRule="exact"/>
                    <w:jc w:val="center"/>
                    <w:rPr>
                      <w:spacing w:val="-6"/>
                      <w:sz w:val="21"/>
                      <w:szCs w:val="21"/>
                    </w:rPr>
                  </w:pPr>
                  <w:r>
                    <w:rPr>
                      <w:spacing w:val="-6"/>
                      <w:sz w:val="21"/>
                      <w:szCs w:val="21"/>
                    </w:rPr>
                    <w:t>0.511</w:t>
                  </w:r>
                </w:p>
              </w:tc>
              <w:tc>
                <w:tcPr>
                  <w:tcW w:w="1177" w:type="pct"/>
                  <w:vAlign w:val="center"/>
                </w:tcPr>
                <w:p w14:paraId="2624C5A6">
                  <w:pPr>
                    <w:spacing w:line="360" w:lineRule="exact"/>
                    <w:jc w:val="center"/>
                    <w:rPr>
                      <w:spacing w:val="-6"/>
                      <w:sz w:val="21"/>
                      <w:szCs w:val="21"/>
                    </w:rPr>
                  </w:pPr>
                  <w:r>
                    <w:rPr>
                      <w:spacing w:val="-6"/>
                      <w:sz w:val="21"/>
                      <w:szCs w:val="21"/>
                    </w:rPr>
                    <w:t>0.143</w:t>
                  </w:r>
                </w:p>
              </w:tc>
            </w:tr>
            <w:tr w14:paraId="5B2D00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shd w:val="clear" w:color="auto" w:fill="auto"/>
                  <w:vAlign w:val="center"/>
                </w:tcPr>
                <w:p w14:paraId="581FFD75">
                  <w:pPr>
                    <w:widowControl/>
                    <w:spacing w:line="360" w:lineRule="exact"/>
                    <w:jc w:val="center"/>
                    <w:rPr>
                      <w:rFonts w:hint="eastAsia" w:ascii="Times New Roman" w:hAnsi="Times New Roman" w:eastAsia="宋体" w:cs="Times New Roman"/>
                      <w:spacing w:val="-6"/>
                      <w:sz w:val="21"/>
                      <w:szCs w:val="21"/>
                      <w:lang w:val="en-US" w:eastAsia="zh-CN" w:bidi="ar-SA"/>
                    </w:rPr>
                  </w:pPr>
                  <w:r>
                    <w:rPr>
                      <w:rFonts w:hint="eastAsia"/>
                      <w:sz w:val="21"/>
                      <w:szCs w:val="21"/>
                      <w:lang w:val="en-US" w:eastAsia="zh-CN" w:bidi="ar"/>
                    </w:rPr>
                    <w:t>2</w:t>
                  </w:r>
                </w:p>
              </w:tc>
              <w:tc>
                <w:tcPr>
                  <w:tcW w:w="410" w:type="pct"/>
                  <w:vAlign w:val="center"/>
                </w:tcPr>
                <w:p w14:paraId="3BAA08DB">
                  <w:pPr>
                    <w:spacing w:line="360" w:lineRule="exact"/>
                    <w:jc w:val="center"/>
                    <w:rPr>
                      <w:bCs/>
                      <w:spacing w:val="-6"/>
                      <w:sz w:val="21"/>
                      <w:szCs w:val="21"/>
                      <w:vertAlign w:val="superscript"/>
                    </w:rPr>
                  </w:pPr>
                  <w:r>
                    <w:rPr>
                      <w:rFonts w:hint="eastAsia" w:cs="Times New Roman" w:eastAsiaTheme="minorEastAsia"/>
                      <w:color w:val="auto"/>
                      <w:sz w:val="21"/>
                      <w:szCs w:val="21"/>
                      <w:highlight w:val="none"/>
                      <w:vertAlign w:val="superscript"/>
                      <w:lang w:val="en-US" w:eastAsia="zh-CN"/>
                    </w:rPr>
                    <w:t>32</w:t>
                  </w:r>
                  <w:r>
                    <w:rPr>
                      <w:rFonts w:hint="eastAsia" w:cs="Times New Roman" w:eastAsiaTheme="minorEastAsia"/>
                      <w:color w:val="auto"/>
                      <w:sz w:val="21"/>
                      <w:szCs w:val="21"/>
                      <w:highlight w:val="none"/>
                      <w:vertAlign w:val="baseline"/>
                      <w:lang w:val="en-US" w:eastAsia="zh-CN"/>
                    </w:rPr>
                    <w:t>P</w:t>
                  </w:r>
                </w:p>
              </w:tc>
              <w:tc>
                <w:tcPr>
                  <w:tcW w:w="604" w:type="pct"/>
                  <w:vAlign w:val="center"/>
                </w:tcPr>
                <w:p w14:paraId="6762A56C">
                  <w:pPr>
                    <w:spacing w:line="360" w:lineRule="exact"/>
                    <w:jc w:val="center"/>
                    <w:rPr>
                      <w:spacing w:val="-6"/>
                      <w:sz w:val="21"/>
                      <w:szCs w:val="21"/>
                    </w:rPr>
                  </w:pPr>
                  <w:r>
                    <w:rPr>
                      <w:rFonts w:hint="eastAsia" w:cs="Times New Roman"/>
                      <w:b w:val="0"/>
                      <w:bCs w:val="0"/>
                      <w:color w:val="auto"/>
                      <w:kern w:val="0"/>
                      <w:sz w:val="21"/>
                      <w:szCs w:val="21"/>
                      <w:highlight w:val="none"/>
                      <w:lang w:val="en-US" w:eastAsia="zh-CN"/>
                    </w:rPr>
                    <w:t>14.26 d</w:t>
                  </w:r>
                </w:p>
              </w:tc>
              <w:tc>
                <w:tcPr>
                  <w:tcW w:w="740" w:type="pct"/>
                  <w:vAlign w:val="center"/>
                </w:tcPr>
                <w:p w14:paraId="27D9E8B8">
                  <w:pPr>
                    <w:spacing w:line="360" w:lineRule="exact"/>
                    <w:jc w:val="center"/>
                    <w:rPr>
                      <w:spacing w:val="-6"/>
                      <w:sz w:val="21"/>
                      <w:szCs w:val="21"/>
                    </w:rPr>
                  </w:pPr>
                  <w:r>
                    <w:rPr>
                      <w:rFonts w:hint="default" w:ascii="Times New Roman" w:hAnsi="Times New Roman" w:eastAsia="宋体" w:cs="Times New Roman"/>
                      <w:b w:val="0"/>
                      <w:bCs/>
                      <w:color w:val="auto"/>
                      <w:kern w:val="0"/>
                      <w:sz w:val="21"/>
                      <w:szCs w:val="21"/>
                      <w:highlight w:val="none"/>
                      <w:lang w:val="en-US" w:eastAsia="zh-CN"/>
                    </w:rPr>
                    <w:t>β</w:t>
                  </w:r>
                  <w:r>
                    <w:rPr>
                      <w:rFonts w:hint="default" w:ascii="Times New Roman" w:hAnsi="Times New Roman" w:eastAsia="宋体" w:cs="Times New Roman"/>
                      <w:b w:val="0"/>
                      <w:bCs/>
                      <w:color w:val="auto"/>
                      <w:kern w:val="0"/>
                      <w:sz w:val="21"/>
                      <w:szCs w:val="21"/>
                      <w:highlight w:val="none"/>
                      <w:vertAlign w:val="superscript"/>
                      <w:lang w:val="en-US" w:eastAsia="zh-CN"/>
                    </w:rPr>
                    <w:t>-</w:t>
                  </w:r>
                </w:p>
              </w:tc>
              <w:tc>
                <w:tcPr>
                  <w:tcW w:w="778" w:type="pct"/>
                  <w:shd w:val="clear" w:color="auto" w:fill="auto"/>
                  <w:vAlign w:val="center"/>
                </w:tcPr>
                <w:p w14:paraId="6070AB77">
                  <w:pPr>
                    <w:spacing w:line="320" w:lineRule="exact"/>
                    <w:jc w:val="center"/>
                    <w:rPr>
                      <w:rFonts w:hint="default" w:ascii="Times New Roman" w:hAnsi="Times New Roman" w:eastAsia="宋体" w:cs="Times New Roman"/>
                      <w:b w:val="0"/>
                      <w:bCs/>
                      <w:kern w:val="0"/>
                      <w:sz w:val="21"/>
                      <w:szCs w:val="21"/>
                      <w:lang w:val="en-US" w:eastAsia="zh-CN" w:bidi="ar-SA"/>
                    </w:rPr>
                  </w:pPr>
                  <w:r>
                    <w:rPr>
                      <w:rFonts w:hint="eastAsia" w:cs="Times New Roman"/>
                      <w:b w:val="0"/>
                      <w:bCs/>
                      <w:kern w:val="0"/>
                      <w:sz w:val="21"/>
                      <w:szCs w:val="21"/>
                      <w:lang w:val="en-US" w:eastAsia="zh-CN" w:bidi="ar-SA"/>
                    </w:rPr>
                    <w:t>1.71</w:t>
                  </w:r>
                </w:p>
              </w:tc>
              <w:tc>
                <w:tcPr>
                  <w:tcW w:w="1032" w:type="pct"/>
                  <w:shd w:val="clear" w:color="auto" w:fill="auto"/>
                  <w:vAlign w:val="center"/>
                </w:tcPr>
                <w:p w14:paraId="0710E9A4">
                  <w:pPr>
                    <w:spacing w:line="320" w:lineRule="exact"/>
                    <w:jc w:val="center"/>
                    <w:rPr>
                      <w:rFonts w:hint="default" w:ascii="Times New Roman" w:hAnsi="Times New Roman" w:eastAsia="宋体" w:cs="Times New Roman"/>
                      <w:b w:val="0"/>
                      <w:bCs/>
                      <w:kern w:val="0"/>
                      <w:sz w:val="21"/>
                      <w:szCs w:val="21"/>
                      <w:lang w:val="en-US" w:eastAsia="zh-CN" w:bidi="ar-SA"/>
                    </w:rPr>
                  </w:pPr>
                  <w:r>
                    <w:rPr>
                      <w:rFonts w:hint="eastAsia" w:cs="Times New Roman"/>
                      <w:b w:val="0"/>
                      <w:bCs/>
                      <w:kern w:val="0"/>
                      <w:sz w:val="21"/>
                      <w:szCs w:val="21"/>
                      <w:lang w:val="en-US" w:eastAsia="zh-CN"/>
                    </w:rPr>
                    <w:t>/</w:t>
                  </w:r>
                </w:p>
              </w:tc>
              <w:tc>
                <w:tcPr>
                  <w:tcW w:w="1177" w:type="pct"/>
                  <w:vAlign w:val="center"/>
                </w:tcPr>
                <w:p w14:paraId="22B56AEB">
                  <w:pPr>
                    <w:spacing w:line="360" w:lineRule="exact"/>
                    <w:jc w:val="center"/>
                    <w:rPr>
                      <w:rFonts w:hint="eastAsia" w:eastAsia="宋体"/>
                      <w:spacing w:val="-6"/>
                      <w:sz w:val="21"/>
                      <w:szCs w:val="21"/>
                      <w:lang w:val="en-US" w:eastAsia="zh-CN"/>
                    </w:rPr>
                  </w:pPr>
                  <w:r>
                    <w:rPr>
                      <w:rFonts w:hint="eastAsia"/>
                      <w:spacing w:val="-6"/>
                      <w:sz w:val="21"/>
                      <w:szCs w:val="21"/>
                      <w:lang w:val="en-US" w:eastAsia="zh-CN"/>
                    </w:rPr>
                    <w:t>/</w:t>
                  </w:r>
                </w:p>
              </w:tc>
            </w:tr>
            <w:tr w14:paraId="3CC1C5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shd w:val="clear" w:color="auto" w:fill="auto"/>
                  <w:vAlign w:val="center"/>
                </w:tcPr>
                <w:p w14:paraId="23F85C1D">
                  <w:pPr>
                    <w:widowControl/>
                    <w:spacing w:line="360" w:lineRule="exact"/>
                    <w:jc w:val="center"/>
                    <w:rPr>
                      <w:rFonts w:hint="eastAsia" w:ascii="Times New Roman" w:hAnsi="Times New Roman" w:eastAsia="宋体" w:cs="Times New Roman"/>
                      <w:spacing w:val="-6"/>
                      <w:sz w:val="21"/>
                      <w:szCs w:val="21"/>
                      <w:lang w:val="en-US" w:eastAsia="zh-CN" w:bidi="ar-SA"/>
                    </w:rPr>
                  </w:pPr>
                  <w:r>
                    <w:rPr>
                      <w:rFonts w:hint="eastAsia"/>
                      <w:sz w:val="21"/>
                      <w:szCs w:val="21"/>
                      <w:lang w:val="en-US" w:eastAsia="zh-CN" w:bidi="ar"/>
                    </w:rPr>
                    <w:t>3</w:t>
                  </w:r>
                </w:p>
              </w:tc>
              <w:tc>
                <w:tcPr>
                  <w:tcW w:w="410" w:type="pct"/>
                  <w:vAlign w:val="center"/>
                </w:tcPr>
                <w:p w14:paraId="09F2825B">
                  <w:pPr>
                    <w:spacing w:line="360" w:lineRule="exact"/>
                    <w:jc w:val="center"/>
                    <w:rPr>
                      <w:spacing w:val="-6"/>
                      <w:sz w:val="21"/>
                      <w:szCs w:val="21"/>
                    </w:rPr>
                  </w:pPr>
                  <w:r>
                    <w:rPr>
                      <w:spacing w:val="-6"/>
                      <w:sz w:val="21"/>
                      <w:szCs w:val="21"/>
                      <w:vertAlign w:val="superscript"/>
                    </w:rPr>
                    <w:t>68</w:t>
                  </w:r>
                  <w:r>
                    <w:rPr>
                      <w:spacing w:val="-6"/>
                      <w:sz w:val="21"/>
                      <w:szCs w:val="21"/>
                    </w:rPr>
                    <w:t>Ga</w:t>
                  </w:r>
                </w:p>
              </w:tc>
              <w:tc>
                <w:tcPr>
                  <w:tcW w:w="604" w:type="pct"/>
                  <w:vAlign w:val="center"/>
                </w:tcPr>
                <w:p w14:paraId="377F8AEA">
                  <w:pPr>
                    <w:spacing w:line="360" w:lineRule="exact"/>
                    <w:jc w:val="center"/>
                    <w:rPr>
                      <w:spacing w:val="-6"/>
                      <w:sz w:val="21"/>
                      <w:szCs w:val="21"/>
                    </w:rPr>
                  </w:pPr>
                  <w:r>
                    <w:rPr>
                      <w:spacing w:val="-6"/>
                      <w:sz w:val="21"/>
                      <w:szCs w:val="21"/>
                    </w:rPr>
                    <w:t>68.3min</w:t>
                  </w:r>
                </w:p>
              </w:tc>
              <w:tc>
                <w:tcPr>
                  <w:tcW w:w="740" w:type="pct"/>
                  <w:vAlign w:val="center"/>
                </w:tcPr>
                <w:p w14:paraId="33011324">
                  <w:pPr>
                    <w:spacing w:line="360" w:lineRule="exact"/>
                    <w:jc w:val="center"/>
                    <w:rPr>
                      <w:spacing w:val="-6"/>
                      <w:sz w:val="21"/>
                      <w:szCs w:val="21"/>
                    </w:rPr>
                  </w:pPr>
                  <w:r>
                    <w:rPr>
                      <w:spacing w:val="-6"/>
                      <w:sz w:val="21"/>
                      <w:szCs w:val="21"/>
                    </w:rPr>
                    <w:t>β</w:t>
                  </w:r>
                  <w:r>
                    <w:rPr>
                      <w:spacing w:val="-6"/>
                      <w:sz w:val="21"/>
                      <w:szCs w:val="21"/>
                      <w:vertAlign w:val="superscript"/>
                    </w:rPr>
                    <w:t>+</w:t>
                  </w:r>
                  <w:r>
                    <w:rPr>
                      <w:spacing w:val="-6"/>
                      <w:sz w:val="21"/>
                      <w:szCs w:val="21"/>
                    </w:rPr>
                    <w:t>，EC</w:t>
                  </w:r>
                </w:p>
              </w:tc>
              <w:tc>
                <w:tcPr>
                  <w:tcW w:w="778" w:type="pct"/>
                  <w:vAlign w:val="center"/>
                </w:tcPr>
                <w:p w14:paraId="4B4827A4">
                  <w:pPr>
                    <w:spacing w:line="360" w:lineRule="exact"/>
                    <w:jc w:val="center"/>
                    <w:rPr>
                      <w:spacing w:val="-6"/>
                      <w:sz w:val="21"/>
                      <w:szCs w:val="21"/>
                    </w:rPr>
                  </w:pPr>
                  <w:r>
                    <w:rPr>
                      <w:spacing w:val="-6"/>
                      <w:sz w:val="21"/>
                      <w:szCs w:val="21"/>
                    </w:rPr>
                    <w:t>1.90</w:t>
                  </w:r>
                </w:p>
              </w:tc>
              <w:tc>
                <w:tcPr>
                  <w:tcW w:w="1032" w:type="pct"/>
                  <w:vAlign w:val="center"/>
                </w:tcPr>
                <w:p w14:paraId="2A259712">
                  <w:pPr>
                    <w:spacing w:line="360" w:lineRule="exact"/>
                    <w:jc w:val="center"/>
                    <w:rPr>
                      <w:spacing w:val="-6"/>
                      <w:sz w:val="21"/>
                      <w:szCs w:val="21"/>
                    </w:rPr>
                  </w:pPr>
                  <w:r>
                    <w:rPr>
                      <w:spacing w:val="-6"/>
                      <w:sz w:val="21"/>
                      <w:szCs w:val="21"/>
                    </w:rPr>
                    <w:t>0.511</w:t>
                  </w:r>
                </w:p>
              </w:tc>
              <w:tc>
                <w:tcPr>
                  <w:tcW w:w="1177" w:type="pct"/>
                  <w:vAlign w:val="center"/>
                </w:tcPr>
                <w:p w14:paraId="7F2154DE">
                  <w:pPr>
                    <w:spacing w:line="360" w:lineRule="exact"/>
                    <w:jc w:val="center"/>
                    <w:rPr>
                      <w:spacing w:val="-6"/>
                      <w:sz w:val="21"/>
                      <w:szCs w:val="21"/>
                    </w:rPr>
                  </w:pPr>
                  <w:r>
                    <w:rPr>
                      <w:spacing w:val="-6"/>
                      <w:sz w:val="21"/>
                      <w:szCs w:val="21"/>
                    </w:rPr>
                    <w:t>0.134</w:t>
                  </w:r>
                </w:p>
              </w:tc>
            </w:tr>
            <w:tr w14:paraId="257E24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shd w:val="clear" w:color="auto" w:fill="auto"/>
                  <w:vAlign w:val="center"/>
                </w:tcPr>
                <w:p w14:paraId="73718D1D">
                  <w:pPr>
                    <w:widowControl/>
                    <w:spacing w:line="360" w:lineRule="exact"/>
                    <w:jc w:val="center"/>
                    <w:rPr>
                      <w:rFonts w:hint="eastAsia" w:ascii="Times New Roman" w:hAnsi="Times New Roman" w:eastAsia="宋体" w:cs="Times New Roman"/>
                      <w:spacing w:val="-6"/>
                      <w:sz w:val="21"/>
                      <w:szCs w:val="21"/>
                      <w:lang w:val="en-US" w:eastAsia="zh-CN" w:bidi="ar-SA"/>
                    </w:rPr>
                  </w:pPr>
                  <w:r>
                    <w:rPr>
                      <w:rFonts w:hint="eastAsia"/>
                      <w:sz w:val="21"/>
                      <w:szCs w:val="21"/>
                      <w:lang w:val="en-US" w:eastAsia="zh-CN" w:bidi="ar"/>
                    </w:rPr>
                    <w:t>4</w:t>
                  </w:r>
                </w:p>
              </w:tc>
              <w:tc>
                <w:tcPr>
                  <w:tcW w:w="410" w:type="pct"/>
                  <w:vAlign w:val="center"/>
                </w:tcPr>
                <w:p w14:paraId="663F98A1">
                  <w:pPr>
                    <w:spacing w:line="360" w:lineRule="exact"/>
                    <w:jc w:val="center"/>
                    <w:rPr>
                      <w:spacing w:val="-6"/>
                      <w:sz w:val="21"/>
                      <w:szCs w:val="21"/>
                      <w:vertAlign w:val="superscript"/>
                    </w:rPr>
                  </w:pPr>
                  <w:r>
                    <w:rPr>
                      <w:spacing w:val="-6"/>
                      <w:sz w:val="21"/>
                      <w:szCs w:val="21"/>
                      <w:vertAlign w:val="superscript"/>
                    </w:rPr>
                    <w:t>89</w:t>
                  </w:r>
                  <w:r>
                    <w:rPr>
                      <w:spacing w:val="-6"/>
                      <w:sz w:val="21"/>
                      <w:szCs w:val="21"/>
                    </w:rPr>
                    <w:t>Sr</w:t>
                  </w:r>
                </w:p>
              </w:tc>
              <w:tc>
                <w:tcPr>
                  <w:tcW w:w="604" w:type="pct"/>
                  <w:vAlign w:val="center"/>
                </w:tcPr>
                <w:p w14:paraId="30CF4583">
                  <w:pPr>
                    <w:spacing w:line="360" w:lineRule="exact"/>
                    <w:jc w:val="center"/>
                    <w:rPr>
                      <w:spacing w:val="-6"/>
                      <w:sz w:val="21"/>
                      <w:szCs w:val="21"/>
                    </w:rPr>
                  </w:pPr>
                  <w:r>
                    <w:rPr>
                      <w:spacing w:val="-6"/>
                      <w:sz w:val="21"/>
                      <w:szCs w:val="21"/>
                    </w:rPr>
                    <w:t>50.53d</w:t>
                  </w:r>
                </w:p>
              </w:tc>
              <w:tc>
                <w:tcPr>
                  <w:tcW w:w="740" w:type="pct"/>
                  <w:vAlign w:val="center"/>
                </w:tcPr>
                <w:p w14:paraId="1AAA7115">
                  <w:pPr>
                    <w:spacing w:line="360" w:lineRule="exact"/>
                    <w:jc w:val="center"/>
                    <w:rPr>
                      <w:spacing w:val="-6"/>
                      <w:sz w:val="21"/>
                      <w:szCs w:val="21"/>
                    </w:rPr>
                  </w:pPr>
                  <w:r>
                    <w:rPr>
                      <w:spacing w:val="-6"/>
                      <w:sz w:val="21"/>
                      <w:szCs w:val="21"/>
                    </w:rPr>
                    <w:t>β</w:t>
                  </w:r>
                  <w:r>
                    <w:rPr>
                      <w:spacing w:val="-6"/>
                      <w:sz w:val="21"/>
                      <w:szCs w:val="21"/>
                      <w:vertAlign w:val="superscript"/>
                    </w:rPr>
                    <w:t>-</w:t>
                  </w:r>
                </w:p>
              </w:tc>
              <w:tc>
                <w:tcPr>
                  <w:tcW w:w="778" w:type="pct"/>
                  <w:vAlign w:val="center"/>
                </w:tcPr>
                <w:p w14:paraId="17C0F8D7">
                  <w:pPr>
                    <w:spacing w:line="360" w:lineRule="exact"/>
                    <w:jc w:val="center"/>
                    <w:rPr>
                      <w:rFonts w:hint="default" w:eastAsia="宋体"/>
                      <w:sz w:val="21"/>
                      <w:szCs w:val="21"/>
                      <w:lang w:val="en-US" w:eastAsia="zh-CN"/>
                    </w:rPr>
                  </w:pPr>
                  <w:r>
                    <w:rPr>
                      <w:rFonts w:hint="eastAsia"/>
                      <w:sz w:val="21"/>
                      <w:szCs w:val="21"/>
                      <w:lang w:val="en-US" w:eastAsia="zh-CN"/>
                    </w:rPr>
                    <w:t>0.58</w:t>
                  </w:r>
                </w:p>
              </w:tc>
              <w:tc>
                <w:tcPr>
                  <w:tcW w:w="1032" w:type="pct"/>
                  <w:vAlign w:val="center"/>
                </w:tcPr>
                <w:p w14:paraId="61170B26">
                  <w:pPr>
                    <w:spacing w:line="360" w:lineRule="exact"/>
                    <w:jc w:val="center"/>
                    <w:rPr>
                      <w:sz w:val="21"/>
                      <w:szCs w:val="21"/>
                    </w:rPr>
                  </w:pPr>
                  <w:r>
                    <w:rPr>
                      <w:spacing w:val="-6"/>
                      <w:sz w:val="21"/>
                      <w:szCs w:val="21"/>
                    </w:rPr>
                    <w:t>/</w:t>
                  </w:r>
                </w:p>
              </w:tc>
              <w:tc>
                <w:tcPr>
                  <w:tcW w:w="1177" w:type="pct"/>
                  <w:vAlign w:val="center"/>
                </w:tcPr>
                <w:p w14:paraId="4C138FBD">
                  <w:pPr>
                    <w:spacing w:line="360" w:lineRule="exact"/>
                    <w:jc w:val="center"/>
                    <w:rPr>
                      <w:sz w:val="21"/>
                      <w:szCs w:val="21"/>
                    </w:rPr>
                  </w:pPr>
                  <w:r>
                    <w:rPr>
                      <w:spacing w:val="-6"/>
                      <w:sz w:val="21"/>
                      <w:szCs w:val="21"/>
                    </w:rPr>
                    <w:t>/</w:t>
                  </w:r>
                </w:p>
              </w:tc>
            </w:tr>
            <w:tr w14:paraId="2DDAB3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shd w:val="clear" w:color="auto" w:fill="auto"/>
                  <w:vAlign w:val="center"/>
                </w:tcPr>
                <w:p w14:paraId="735759FD">
                  <w:pPr>
                    <w:widowControl/>
                    <w:spacing w:line="360" w:lineRule="exact"/>
                    <w:jc w:val="center"/>
                    <w:rPr>
                      <w:rFonts w:hint="eastAsia" w:ascii="Times New Roman" w:hAnsi="Times New Roman" w:eastAsia="宋体" w:cs="Times New Roman"/>
                      <w:spacing w:val="-6"/>
                      <w:sz w:val="21"/>
                      <w:szCs w:val="21"/>
                      <w:lang w:val="en-US" w:eastAsia="zh-CN" w:bidi="ar-SA"/>
                    </w:rPr>
                  </w:pPr>
                  <w:r>
                    <w:rPr>
                      <w:rFonts w:hint="eastAsia"/>
                      <w:sz w:val="21"/>
                      <w:szCs w:val="21"/>
                      <w:lang w:val="en-US" w:eastAsia="zh-CN" w:bidi="ar"/>
                    </w:rPr>
                    <w:t>5</w:t>
                  </w:r>
                </w:p>
              </w:tc>
              <w:tc>
                <w:tcPr>
                  <w:tcW w:w="410" w:type="pct"/>
                  <w:vAlign w:val="center"/>
                </w:tcPr>
                <w:p w14:paraId="7924269C">
                  <w:pPr>
                    <w:spacing w:line="360" w:lineRule="exact"/>
                    <w:jc w:val="center"/>
                    <w:rPr>
                      <w:spacing w:val="-6"/>
                      <w:sz w:val="21"/>
                      <w:szCs w:val="21"/>
                      <w:vertAlign w:val="superscript"/>
                    </w:rPr>
                  </w:pPr>
                  <w:r>
                    <w:rPr>
                      <w:sz w:val="21"/>
                      <w:szCs w:val="21"/>
                      <w:vertAlign w:val="superscript"/>
                    </w:rPr>
                    <w:t>90</w:t>
                  </w:r>
                  <w:r>
                    <w:rPr>
                      <w:sz w:val="21"/>
                      <w:szCs w:val="21"/>
                    </w:rPr>
                    <w:t>Y</w:t>
                  </w:r>
                </w:p>
              </w:tc>
              <w:tc>
                <w:tcPr>
                  <w:tcW w:w="604" w:type="pct"/>
                  <w:vAlign w:val="center"/>
                </w:tcPr>
                <w:p w14:paraId="7AEA177E">
                  <w:pPr>
                    <w:spacing w:line="360" w:lineRule="exact"/>
                    <w:jc w:val="center"/>
                    <w:rPr>
                      <w:spacing w:val="-6"/>
                      <w:sz w:val="21"/>
                      <w:szCs w:val="21"/>
                    </w:rPr>
                  </w:pPr>
                  <w:r>
                    <w:rPr>
                      <w:spacing w:val="-6"/>
                      <w:sz w:val="21"/>
                      <w:szCs w:val="21"/>
                    </w:rPr>
                    <w:t>2.67d</w:t>
                  </w:r>
                </w:p>
              </w:tc>
              <w:tc>
                <w:tcPr>
                  <w:tcW w:w="740" w:type="pct"/>
                  <w:vAlign w:val="center"/>
                </w:tcPr>
                <w:p w14:paraId="0194417A">
                  <w:pPr>
                    <w:spacing w:line="360" w:lineRule="exact"/>
                    <w:jc w:val="center"/>
                    <w:rPr>
                      <w:spacing w:val="-6"/>
                      <w:sz w:val="21"/>
                      <w:szCs w:val="21"/>
                    </w:rPr>
                  </w:pPr>
                  <w:r>
                    <w:rPr>
                      <w:spacing w:val="-6"/>
                      <w:sz w:val="21"/>
                      <w:szCs w:val="21"/>
                    </w:rPr>
                    <w:t>β</w:t>
                  </w:r>
                  <w:r>
                    <w:rPr>
                      <w:spacing w:val="-6"/>
                      <w:sz w:val="21"/>
                      <w:szCs w:val="21"/>
                      <w:vertAlign w:val="superscript"/>
                    </w:rPr>
                    <w:t>-</w:t>
                  </w:r>
                </w:p>
              </w:tc>
              <w:tc>
                <w:tcPr>
                  <w:tcW w:w="778" w:type="pct"/>
                  <w:vAlign w:val="center"/>
                </w:tcPr>
                <w:p w14:paraId="2FA08CCF">
                  <w:pPr>
                    <w:spacing w:line="360" w:lineRule="exact"/>
                    <w:jc w:val="center"/>
                    <w:rPr>
                      <w:spacing w:val="-6"/>
                      <w:sz w:val="21"/>
                      <w:szCs w:val="21"/>
                    </w:rPr>
                  </w:pPr>
                  <w:r>
                    <w:rPr>
                      <w:sz w:val="21"/>
                      <w:szCs w:val="21"/>
                    </w:rPr>
                    <w:t>2.284</w:t>
                  </w:r>
                </w:p>
              </w:tc>
              <w:tc>
                <w:tcPr>
                  <w:tcW w:w="1032" w:type="pct"/>
                  <w:vAlign w:val="center"/>
                </w:tcPr>
                <w:p w14:paraId="3D46B07A">
                  <w:pPr>
                    <w:spacing w:line="360" w:lineRule="exact"/>
                    <w:jc w:val="center"/>
                    <w:rPr>
                      <w:spacing w:val="-6"/>
                      <w:sz w:val="21"/>
                      <w:szCs w:val="21"/>
                    </w:rPr>
                  </w:pPr>
                  <w:r>
                    <w:rPr>
                      <w:spacing w:val="-6"/>
                      <w:sz w:val="21"/>
                      <w:szCs w:val="21"/>
                    </w:rPr>
                    <w:t>/</w:t>
                  </w:r>
                </w:p>
              </w:tc>
              <w:tc>
                <w:tcPr>
                  <w:tcW w:w="1177" w:type="pct"/>
                  <w:vAlign w:val="center"/>
                </w:tcPr>
                <w:p w14:paraId="5BECFE0A">
                  <w:pPr>
                    <w:spacing w:line="360" w:lineRule="exact"/>
                    <w:jc w:val="center"/>
                    <w:rPr>
                      <w:spacing w:val="-6"/>
                      <w:sz w:val="21"/>
                      <w:szCs w:val="21"/>
                    </w:rPr>
                  </w:pPr>
                  <w:r>
                    <w:rPr>
                      <w:spacing w:val="-6"/>
                      <w:sz w:val="21"/>
                      <w:szCs w:val="21"/>
                    </w:rPr>
                    <w:t>/</w:t>
                  </w:r>
                </w:p>
              </w:tc>
            </w:tr>
            <w:tr w14:paraId="0B57C7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shd w:val="clear" w:color="auto" w:fill="auto"/>
                  <w:vAlign w:val="center"/>
                </w:tcPr>
                <w:p w14:paraId="3A1E745C">
                  <w:pPr>
                    <w:widowControl/>
                    <w:spacing w:line="360" w:lineRule="exact"/>
                    <w:jc w:val="center"/>
                    <w:rPr>
                      <w:rFonts w:hint="eastAsia" w:ascii="Times New Roman" w:hAnsi="Times New Roman" w:eastAsia="宋体" w:cs="Times New Roman"/>
                      <w:spacing w:val="-6"/>
                      <w:sz w:val="21"/>
                      <w:szCs w:val="21"/>
                      <w:lang w:val="en-US" w:eastAsia="zh-CN" w:bidi="ar-SA"/>
                    </w:rPr>
                  </w:pPr>
                  <w:r>
                    <w:rPr>
                      <w:rFonts w:hint="eastAsia"/>
                      <w:sz w:val="21"/>
                      <w:szCs w:val="21"/>
                      <w:lang w:val="en-US" w:eastAsia="zh-CN" w:bidi="ar"/>
                    </w:rPr>
                    <w:t>6</w:t>
                  </w:r>
                </w:p>
              </w:tc>
              <w:tc>
                <w:tcPr>
                  <w:tcW w:w="410" w:type="pct"/>
                  <w:vAlign w:val="center"/>
                </w:tcPr>
                <w:p w14:paraId="3D62B4E7">
                  <w:pPr>
                    <w:spacing w:line="360" w:lineRule="exact"/>
                    <w:jc w:val="center"/>
                    <w:rPr>
                      <w:spacing w:val="-6"/>
                      <w:sz w:val="21"/>
                      <w:szCs w:val="21"/>
                      <w:vertAlign w:val="superscript"/>
                    </w:rPr>
                  </w:pPr>
                  <w:r>
                    <w:rPr>
                      <w:spacing w:val="-6"/>
                      <w:sz w:val="21"/>
                      <w:szCs w:val="21"/>
                      <w:vertAlign w:val="superscript"/>
                    </w:rPr>
                    <w:t>99m</w:t>
                  </w:r>
                  <w:r>
                    <w:rPr>
                      <w:spacing w:val="-6"/>
                      <w:sz w:val="21"/>
                      <w:szCs w:val="21"/>
                    </w:rPr>
                    <w:t>Tc</w:t>
                  </w:r>
                </w:p>
              </w:tc>
              <w:tc>
                <w:tcPr>
                  <w:tcW w:w="604" w:type="pct"/>
                  <w:vAlign w:val="center"/>
                </w:tcPr>
                <w:p w14:paraId="0EC2E6B3">
                  <w:pPr>
                    <w:spacing w:line="360" w:lineRule="exact"/>
                    <w:jc w:val="center"/>
                    <w:rPr>
                      <w:spacing w:val="-6"/>
                      <w:sz w:val="21"/>
                      <w:szCs w:val="21"/>
                    </w:rPr>
                  </w:pPr>
                  <w:r>
                    <w:rPr>
                      <w:spacing w:val="-6"/>
                      <w:sz w:val="21"/>
                      <w:szCs w:val="21"/>
                    </w:rPr>
                    <w:t>6.02h</w:t>
                  </w:r>
                </w:p>
              </w:tc>
              <w:tc>
                <w:tcPr>
                  <w:tcW w:w="740" w:type="pct"/>
                  <w:vAlign w:val="center"/>
                </w:tcPr>
                <w:p w14:paraId="66192044">
                  <w:pPr>
                    <w:spacing w:line="360" w:lineRule="exact"/>
                    <w:jc w:val="center"/>
                    <w:rPr>
                      <w:spacing w:val="-6"/>
                      <w:sz w:val="21"/>
                      <w:szCs w:val="21"/>
                    </w:rPr>
                  </w:pPr>
                  <w:r>
                    <w:rPr>
                      <w:spacing w:val="-6"/>
                      <w:sz w:val="21"/>
                      <w:szCs w:val="21"/>
                    </w:rPr>
                    <w:t>IT</w:t>
                  </w:r>
                </w:p>
              </w:tc>
              <w:tc>
                <w:tcPr>
                  <w:tcW w:w="778" w:type="pct"/>
                  <w:vAlign w:val="center"/>
                </w:tcPr>
                <w:p w14:paraId="6CF7B63B">
                  <w:pPr>
                    <w:spacing w:line="360" w:lineRule="exact"/>
                    <w:jc w:val="center"/>
                    <w:rPr>
                      <w:spacing w:val="-6"/>
                      <w:sz w:val="21"/>
                      <w:szCs w:val="21"/>
                    </w:rPr>
                  </w:pPr>
                  <w:r>
                    <w:rPr>
                      <w:spacing w:val="-6"/>
                      <w:sz w:val="21"/>
                      <w:szCs w:val="21"/>
                    </w:rPr>
                    <w:t>/</w:t>
                  </w:r>
                </w:p>
              </w:tc>
              <w:tc>
                <w:tcPr>
                  <w:tcW w:w="1032" w:type="pct"/>
                  <w:vAlign w:val="center"/>
                </w:tcPr>
                <w:p w14:paraId="7616D3FD">
                  <w:pPr>
                    <w:spacing w:line="360" w:lineRule="exact"/>
                    <w:jc w:val="center"/>
                    <w:rPr>
                      <w:spacing w:val="-6"/>
                      <w:sz w:val="21"/>
                      <w:szCs w:val="21"/>
                    </w:rPr>
                  </w:pPr>
                  <w:r>
                    <w:rPr>
                      <w:spacing w:val="-6"/>
                      <w:sz w:val="21"/>
                      <w:szCs w:val="21"/>
                    </w:rPr>
                    <w:t>0.140</w:t>
                  </w:r>
                </w:p>
              </w:tc>
              <w:tc>
                <w:tcPr>
                  <w:tcW w:w="1177" w:type="pct"/>
                  <w:vAlign w:val="center"/>
                </w:tcPr>
                <w:p w14:paraId="64CF9A1A">
                  <w:pPr>
                    <w:spacing w:line="360" w:lineRule="exact"/>
                    <w:jc w:val="center"/>
                    <w:rPr>
                      <w:spacing w:val="-6"/>
                      <w:sz w:val="21"/>
                      <w:szCs w:val="21"/>
                    </w:rPr>
                  </w:pPr>
                  <w:r>
                    <w:rPr>
                      <w:spacing w:val="-6"/>
                      <w:sz w:val="21"/>
                      <w:szCs w:val="21"/>
                    </w:rPr>
                    <w:t>0.0303</w:t>
                  </w:r>
                </w:p>
              </w:tc>
            </w:tr>
            <w:tr w14:paraId="264C6B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vAlign w:val="center"/>
                </w:tcPr>
                <w:p w14:paraId="4D3F9EFA">
                  <w:pPr>
                    <w:widowControl/>
                    <w:spacing w:line="360" w:lineRule="exact"/>
                    <w:jc w:val="center"/>
                    <w:rPr>
                      <w:rFonts w:hint="default" w:eastAsia="宋体"/>
                      <w:spacing w:val="-6"/>
                      <w:sz w:val="21"/>
                      <w:szCs w:val="21"/>
                      <w:lang w:val="en-US" w:eastAsia="zh-CN"/>
                    </w:rPr>
                  </w:pPr>
                  <w:r>
                    <w:rPr>
                      <w:rFonts w:hint="eastAsia"/>
                      <w:spacing w:val="-6"/>
                      <w:sz w:val="21"/>
                      <w:szCs w:val="21"/>
                      <w:lang w:val="en-US" w:eastAsia="zh-CN"/>
                    </w:rPr>
                    <w:t>7</w:t>
                  </w:r>
                </w:p>
              </w:tc>
              <w:tc>
                <w:tcPr>
                  <w:tcW w:w="410" w:type="pct"/>
                  <w:vAlign w:val="center"/>
                </w:tcPr>
                <w:p w14:paraId="1CC2AD5F">
                  <w:pPr>
                    <w:spacing w:line="360" w:lineRule="exact"/>
                    <w:jc w:val="center"/>
                    <w:rPr>
                      <w:spacing w:val="-6"/>
                      <w:sz w:val="21"/>
                      <w:szCs w:val="21"/>
                    </w:rPr>
                  </w:pPr>
                  <w:r>
                    <w:rPr>
                      <w:rFonts w:hint="default" w:ascii="Times New Roman" w:hAnsi="Times New Roman" w:cs="Times New Roman"/>
                      <w:spacing w:val="-6"/>
                      <w:sz w:val="21"/>
                      <w:szCs w:val="21"/>
                      <w:vertAlign w:val="superscript"/>
                    </w:rPr>
                    <w:t>131</w:t>
                  </w:r>
                  <w:r>
                    <w:rPr>
                      <w:rFonts w:hint="default" w:ascii="Times New Roman" w:hAnsi="Times New Roman" w:cs="Times New Roman"/>
                      <w:spacing w:val="-6"/>
                      <w:sz w:val="21"/>
                      <w:szCs w:val="21"/>
                    </w:rPr>
                    <w:t>I</w:t>
                  </w:r>
                </w:p>
              </w:tc>
              <w:tc>
                <w:tcPr>
                  <w:tcW w:w="604" w:type="pct"/>
                  <w:vAlign w:val="center"/>
                </w:tcPr>
                <w:p w14:paraId="7381D31A">
                  <w:pPr>
                    <w:spacing w:line="360" w:lineRule="exact"/>
                    <w:jc w:val="center"/>
                    <w:rPr>
                      <w:spacing w:val="-6"/>
                      <w:sz w:val="21"/>
                      <w:szCs w:val="21"/>
                    </w:rPr>
                  </w:pPr>
                  <w:r>
                    <w:rPr>
                      <w:spacing w:val="-6"/>
                      <w:sz w:val="21"/>
                      <w:szCs w:val="21"/>
                    </w:rPr>
                    <w:t>8.02d</w:t>
                  </w:r>
                </w:p>
              </w:tc>
              <w:tc>
                <w:tcPr>
                  <w:tcW w:w="740" w:type="pct"/>
                  <w:vAlign w:val="center"/>
                </w:tcPr>
                <w:p w14:paraId="568C721F">
                  <w:pPr>
                    <w:spacing w:line="360" w:lineRule="exact"/>
                    <w:jc w:val="center"/>
                    <w:rPr>
                      <w:spacing w:val="-6"/>
                      <w:sz w:val="21"/>
                      <w:szCs w:val="21"/>
                    </w:rPr>
                  </w:pPr>
                  <w:r>
                    <w:rPr>
                      <w:spacing w:val="-6"/>
                      <w:sz w:val="21"/>
                      <w:szCs w:val="21"/>
                    </w:rPr>
                    <w:t>β</w:t>
                  </w:r>
                  <w:r>
                    <w:rPr>
                      <w:spacing w:val="-6"/>
                      <w:sz w:val="21"/>
                      <w:szCs w:val="21"/>
                      <w:vertAlign w:val="superscript"/>
                    </w:rPr>
                    <w:t>-</w:t>
                  </w:r>
                </w:p>
              </w:tc>
              <w:tc>
                <w:tcPr>
                  <w:tcW w:w="778" w:type="pct"/>
                  <w:vAlign w:val="center"/>
                </w:tcPr>
                <w:p w14:paraId="6502FBD5">
                  <w:pPr>
                    <w:spacing w:line="360" w:lineRule="exact"/>
                    <w:jc w:val="center"/>
                    <w:rPr>
                      <w:spacing w:val="-6"/>
                      <w:sz w:val="21"/>
                      <w:szCs w:val="21"/>
                    </w:rPr>
                  </w:pPr>
                  <w:r>
                    <w:rPr>
                      <w:spacing w:val="-6"/>
                      <w:sz w:val="21"/>
                      <w:szCs w:val="21"/>
                    </w:rPr>
                    <w:t>0.602</w:t>
                  </w:r>
                </w:p>
              </w:tc>
              <w:tc>
                <w:tcPr>
                  <w:tcW w:w="1032" w:type="pct"/>
                  <w:vAlign w:val="center"/>
                </w:tcPr>
                <w:p w14:paraId="3E83FBC9">
                  <w:pPr>
                    <w:spacing w:line="360" w:lineRule="exact"/>
                    <w:jc w:val="center"/>
                    <w:rPr>
                      <w:spacing w:val="-6"/>
                      <w:sz w:val="21"/>
                      <w:szCs w:val="21"/>
                    </w:rPr>
                  </w:pPr>
                  <w:r>
                    <w:rPr>
                      <w:spacing w:val="-6"/>
                      <w:sz w:val="21"/>
                      <w:szCs w:val="21"/>
                    </w:rPr>
                    <w:t>0.284，0.365，0.637</w:t>
                  </w:r>
                </w:p>
              </w:tc>
              <w:tc>
                <w:tcPr>
                  <w:tcW w:w="1177" w:type="pct"/>
                  <w:vAlign w:val="center"/>
                </w:tcPr>
                <w:p w14:paraId="685F2CF4">
                  <w:pPr>
                    <w:spacing w:line="360" w:lineRule="exact"/>
                    <w:jc w:val="center"/>
                    <w:rPr>
                      <w:spacing w:val="-6"/>
                      <w:sz w:val="21"/>
                      <w:szCs w:val="21"/>
                    </w:rPr>
                  </w:pPr>
                  <w:r>
                    <w:rPr>
                      <w:spacing w:val="-6"/>
                      <w:sz w:val="21"/>
                      <w:szCs w:val="21"/>
                    </w:rPr>
                    <w:t>0.0595</w:t>
                  </w:r>
                </w:p>
              </w:tc>
            </w:tr>
          </w:tbl>
          <w:p w14:paraId="2F07C96F">
            <w:pPr>
              <w:spacing w:after="120" w:afterLines="50" w:line="240" w:lineRule="auto"/>
              <w:rPr>
                <w:rFonts w:eastAsia="黑体"/>
                <w:sz w:val="21"/>
                <w:szCs w:val="21"/>
              </w:rPr>
            </w:pPr>
            <w:r>
              <w:rPr>
                <w:rFonts w:eastAsia="黑体"/>
                <w:sz w:val="21"/>
                <w:szCs w:val="21"/>
              </w:rPr>
              <w:t>注：数据来源于《电离辐射防护与辐射源安全基本标准》（GB18871-2002）、《核医学放射防护要求》（GBZ120-2020）、《核医学辐射防护与安全要求》（HJ1188-2021）、《γ射线屏蔽参数手册》（中国科学院工程力学研究所编，原子出版社）、《实用辐射安全手册》（第二版，原子能出版社）、《Health Physics and Radiological Health》和《EXPOSURE RATE CONSTANTS AND LEAD SHIELDING VALUES FOR OVER1100 RADIONUCLIDES》。</w:t>
            </w:r>
          </w:p>
          <w:p w14:paraId="58C77FAA">
            <w:pPr>
              <w:ind w:firstLine="482"/>
              <w:rPr>
                <w:b/>
                <w:bCs/>
                <w:highlight w:val="none"/>
              </w:rPr>
            </w:pPr>
            <w:r>
              <w:rPr>
                <w:b/>
                <w:bCs/>
                <w:highlight w:val="none"/>
              </w:rPr>
              <w:t>（</w:t>
            </w:r>
            <w:r>
              <w:rPr>
                <w:rFonts w:hint="eastAsia"/>
                <w:b/>
                <w:bCs/>
                <w:highlight w:val="none"/>
                <w:lang w:val="en-US" w:eastAsia="zh-CN"/>
              </w:rPr>
              <w:t>七</w:t>
            </w:r>
            <w:r>
              <w:rPr>
                <w:b/>
                <w:bCs/>
                <w:highlight w:val="none"/>
              </w:rPr>
              <w:t>）工作人员及工作制度</w:t>
            </w:r>
          </w:p>
          <w:p w14:paraId="78797C83">
            <w:pPr>
              <w:ind w:firstLine="482"/>
              <w:rPr>
                <w:b/>
                <w:bCs/>
              </w:rPr>
            </w:pPr>
            <w:r>
              <w:rPr>
                <w:b/>
                <w:bCs/>
              </w:rPr>
              <w:t>1、劳动定员</w:t>
            </w:r>
          </w:p>
          <w:p w14:paraId="67AAB309">
            <w:pPr>
              <w:widowControl/>
              <w:ind w:firstLine="480"/>
            </w:pPr>
            <w:r>
              <w:t>本项目核医学科拟配置</w:t>
            </w:r>
            <w:r>
              <w:rPr>
                <w:rFonts w:hint="eastAsia"/>
                <w:lang w:val="en-US" w:eastAsia="zh-CN"/>
              </w:rPr>
              <w:t>9</w:t>
            </w:r>
            <w:r>
              <w:t>名工作人员</w:t>
            </w:r>
            <w:r>
              <w:rPr>
                <w:rFonts w:hint="eastAsia"/>
                <w:lang w:eastAsia="zh-CN"/>
              </w:rPr>
              <w:t>，</w:t>
            </w:r>
            <w:r>
              <w:rPr>
                <w:rFonts w:hint="eastAsia"/>
                <w:lang w:val="en-US" w:eastAsia="zh-CN"/>
              </w:rPr>
              <w:t>手术部和内镜中心拟配置41</w:t>
            </w:r>
            <w:r>
              <w:t>名工作人员，均为新增辐射工作人员，具体配置情况见下表。辐射工作人员均定岗定责，不存在交叉工作的情况，不涉及剂量叠加。</w:t>
            </w:r>
          </w:p>
          <w:p w14:paraId="1AA34D71">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13</w:t>
            </w:r>
            <w:r>
              <w:rPr>
                <w:rFonts w:eastAsia="黑体"/>
                <w:bCs/>
                <w:sz w:val="21"/>
                <w:szCs w:val="21"/>
              </w:rPr>
              <w:t xml:space="preserve">  核医学科辐射工作场所人员配置情况表</w:t>
            </w:r>
          </w:p>
          <w:tbl>
            <w:tblPr>
              <w:tblStyle w:val="57"/>
              <w:tblW w:w="500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16"/>
              <w:gridCol w:w="2551"/>
              <w:gridCol w:w="1511"/>
              <w:gridCol w:w="1271"/>
              <w:gridCol w:w="1169"/>
            </w:tblGrid>
            <w:tr w14:paraId="221988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restart"/>
                  <w:vAlign w:val="center"/>
                </w:tcPr>
                <w:p w14:paraId="61872264">
                  <w:pPr>
                    <w:spacing w:line="360" w:lineRule="exact"/>
                    <w:jc w:val="center"/>
                    <w:rPr>
                      <w:b/>
                      <w:bCs/>
                      <w:sz w:val="21"/>
                      <w:szCs w:val="21"/>
                    </w:rPr>
                  </w:pPr>
                  <w:r>
                    <w:rPr>
                      <w:b/>
                      <w:bCs/>
                      <w:sz w:val="21"/>
                      <w:szCs w:val="21"/>
                    </w:rPr>
                    <w:t>区域</w:t>
                  </w:r>
                </w:p>
              </w:tc>
              <w:tc>
                <w:tcPr>
                  <w:tcW w:w="1497" w:type="pct"/>
                  <w:vMerge w:val="restart"/>
                  <w:vAlign w:val="center"/>
                </w:tcPr>
                <w:p w14:paraId="32D5B7EE">
                  <w:pPr>
                    <w:spacing w:line="360" w:lineRule="exact"/>
                    <w:jc w:val="center"/>
                    <w:rPr>
                      <w:b/>
                      <w:bCs/>
                      <w:sz w:val="21"/>
                      <w:szCs w:val="21"/>
                    </w:rPr>
                  </w:pPr>
                  <w:r>
                    <w:rPr>
                      <w:b/>
                      <w:bCs/>
                      <w:sz w:val="21"/>
                      <w:szCs w:val="21"/>
                    </w:rPr>
                    <w:t>岗位</w:t>
                  </w:r>
                </w:p>
              </w:tc>
              <w:tc>
                <w:tcPr>
                  <w:tcW w:w="2319" w:type="pct"/>
                  <w:gridSpan w:val="3"/>
                  <w:vAlign w:val="center"/>
                </w:tcPr>
                <w:p w14:paraId="3D7D85F8">
                  <w:pPr>
                    <w:spacing w:line="360" w:lineRule="exact"/>
                    <w:jc w:val="center"/>
                    <w:rPr>
                      <w:b/>
                      <w:bCs/>
                      <w:spacing w:val="-20"/>
                      <w:sz w:val="21"/>
                      <w:szCs w:val="21"/>
                    </w:rPr>
                  </w:pPr>
                  <w:r>
                    <w:rPr>
                      <w:b/>
                      <w:bCs/>
                      <w:spacing w:val="-20"/>
                      <w:sz w:val="21"/>
                      <w:szCs w:val="21"/>
                    </w:rPr>
                    <w:t>人数（人）</w:t>
                  </w:r>
                </w:p>
              </w:tc>
            </w:tr>
            <w:tr w14:paraId="337FD1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continue"/>
                  <w:vAlign w:val="center"/>
                </w:tcPr>
                <w:p w14:paraId="447D7D6A">
                  <w:pPr>
                    <w:spacing w:line="360" w:lineRule="exact"/>
                    <w:jc w:val="center"/>
                    <w:rPr>
                      <w:b/>
                      <w:bCs/>
                      <w:sz w:val="21"/>
                      <w:szCs w:val="21"/>
                    </w:rPr>
                  </w:pPr>
                </w:p>
              </w:tc>
              <w:tc>
                <w:tcPr>
                  <w:tcW w:w="1497" w:type="pct"/>
                  <w:vMerge w:val="continue"/>
                  <w:vAlign w:val="center"/>
                </w:tcPr>
                <w:p w14:paraId="56544164">
                  <w:pPr>
                    <w:spacing w:line="360" w:lineRule="exact"/>
                    <w:jc w:val="center"/>
                    <w:rPr>
                      <w:b/>
                      <w:bCs/>
                      <w:sz w:val="21"/>
                      <w:szCs w:val="21"/>
                    </w:rPr>
                  </w:pPr>
                </w:p>
              </w:tc>
              <w:tc>
                <w:tcPr>
                  <w:tcW w:w="887" w:type="pct"/>
                  <w:vAlign w:val="center"/>
                </w:tcPr>
                <w:p w14:paraId="3B285A0F">
                  <w:pPr>
                    <w:spacing w:line="360" w:lineRule="exact"/>
                    <w:jc w:val="center"/>
                    <w:rPr>
                      <w:rFonts w:hint="eastAsia" w:eastAsiaTheme="minorEastAsia"/>
                      <w:b/>
                      <w:bCs/>
                      <w:spacing w:val="-20"/>
                      <w:sz w:val="21"/>
                      <w:szCs w:val="21"/>
                      <w:lang w:val="en-US" w:eastAsia="zh-CN"/>
                    </w:rPr>
                  </w:pPr>
                  <w:r>
                    <w:rPr>
                      <w:rFonts w:hint="eastAsia"/>
                      <w:b/>
                      <w:bCs/>
                      <w:spacing w:val="-20"/>
                      <w:sz w:val="21"/>
                      <w:szCs w:val="21"/>
                      <w:lang w:val="en-US" w:eastAsia="zh-CN"/>
                    </w:rPr>
                    <w:t>医师</w:t>
                  </w:r>
                </w:p>
              </w:tc>
              <w:tc>
                <w:tcPr>
                  <w:tcW w:w="746" w:type="pct"/>
                  <w:vAlign w:val="center"/>
                </w:tcPr>
                <w:p w14:paraId="4C805D24">
                  <w:pPr>
                    <w:spacing w:line="360" w:lineRule="exact"/>
                    <w:jc w:val="center"/>
                    <w:rPr>
                      <w:rFonts w:hint="eastAsia" w:eastAsiaTheme="minorEastAsia"/>
                      <w:b/>
                      <w:bCs/>
                      <w:spacing w:val="-20"/>
                      <w:sz w:val="21"/>
                      <w:szCs w:val="21"/>
                      <w:lang w:val="en-US" w:eastAsia="zh-CN"/>
                    </w:rPr>
                  </w:pPr>
                  <w:r>
                    <w:rPr>
                      <w:rFonts w:hint="eastAsia"/>
                      <w:b/>
                      <w:bCs/>
                      <w:spacing w:val="-20"/>
                      <w:sz w:val="21"/>
                      <w:szCs w:val="21"/>
                      <w:lang w:val="en-US" w:eastAsia="zh-CN"/>
                    </w:rPr>
                    <w:t>技师</w:t>
                  </w:r>
                </w:p>
              </w:tc>
              <w:tc>
                <w:tcPr>
                  <w:tcW w:w="685" w:type="pct"/>
                  <w:vAlign w:val="center"/>
                </w:tcPr>
                <w:p w14:paraId="05A1BC8E">
                  <w:pPr>
                    <w:spacing w:line="360" w:lineRule="exact"/>
                    <w:jc w:val="center"/>
                    <w:rPr>
                      <w:rFonts w:hint="eastAsia" w:eastAsiaTheme="minorEastAsia"/>
                      <w:b/>
                      <w:bCs/>
                      <w:spacing w:val="-20"/>
                      <w:sz w:val="21"/>
                      <w:szCs w:val="21"/>
                      <w:lang w:val="en-US" w:eastAsia="zh-CN"/>
                    </w:rPr>
                  </w:pPr>
                  <w:r>
                    <w:rPr>
                      <w:rFonts w:hint="eastAsia"/>
                      <w:b/>
                      <w:bCs/>
                      <w:spacing w:val="-20"/>
                      <w:sz w:val="21"/>
                      <w:szCs w:val="21"/>
                      <w:lang w:val="en-US" w:eastAsia="zh-CN"/>
                    </w:rPr>
                    <w:t>护士</w:t>
                  </w:r>
                </w:p>
              </w:tc>
            </w:tr>
            <w:tr w14:paraId="42D015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restart"/>
                  <w:vAlign w:val="center"/>
                </w:tcPr>
                <w:p w14:paraId="54F5F538">
                  <w:pPr>
                    <w:spacing w:line="360" w:lineRule="exact"/>
                    <w:jc w:val="center"/>
                    <w:rPr>
                      <w:sz w:val="21"/>
                      <w:szCs w:val="21"/>
                    </w:rPr>
                  </w:pPr>
                  <w:r>
                    <w:rPr>
                      <w:sz w:val="21"/>
                      <w:szCs w:val="21"/>
                    </w:rPr>
                    <w:t>负一层</w:t>
                  </w:r>
                </w:p>
                <w:p w14:paraId="3DF89D65">
                  <w:pPr>
                    <w:spacing w:line="360" w:lineRule="exact"/>
                    <w:jc w:val="center"/>
                    <w:rPr>
                      <w:sz w:val="21"/>
                      <w:szCs w:val="21"/>
                    </w:rPr>
                  </w:pPr>
                  <w:r>
                    <w:rPr>
                      <w:rFonts w:hint="eastAsia"/>
                      <w:sz w:val="21"/>
                      <w:szCs w:val="21"/>
                      <w:lang w:val="en-US" w:eastAsia="zh-CN"/>
                    </w:rPr>
                    <w:t>核医学科</w:t>
                  </w:r>
                </w:p>
              </w:tc>
              <w:tc>
                <w:tcPr>
                  <w:tcW w:w="1497" w:type="pct"/>
                  <w:vAlign w:val="center"/>
                </w:tcPr>
                <w:p w14:paraId="526B04BC">
                  <w:pPr>
                    <w:spacing w:line="360" w:lineRule="exact"/>
                    <w:jc w:val="center"/>
                    <w:rPr>
                      <w:sz w:val="21"/>
                      <w:szCs w:val="21"/>
                    </w:rPr>
                  </w:pPr>
                  <w:r>
                    <w:rPr>
                      <w:sz w:val="21"/>
                      <w:szCs w:val="21"/>
                    </w:rPr>
                    <w:t>PET/CT操作</w:t>
                  </w:r>
                </w:p>
              </w:tc>
              <w:tc>
                <w:tcPr>
                  <w:tcW w:w="887" w:type="pct"/>
                  <w:vAlign w:val="center"/>
                </w:tcPr>
                <w:p w14:paraId="0E8E049C">
                  <w:pPr>
                    <w:spacing w:line="360" w:lineRule="exact"/>
                    <w:jc w:val="center"/>
                    <w:rPr>
                      <w:rFonts w:hint="eastAsia" w:eastAsia="宋体"/>
                      <w:sz w:val="21"/>
                      <w:szCs w:val="21"/>
                      <w:lang w:eastAsia="zh-CN"/>
                    </w:rPr>
                  </w:pPr>
                  <w:r>
                    <w:rPr>
                      <w:spacing w:val="-11"/>
                      <w:sz w:val="21"/>
                      <w:szCs w:val="21"/>
                    </w:rPr>
                    <w:t>/</w:t>
                  </w:r>
                </w:p>
              </w:tc>
              <w:tc>
                <w:tcPr>
                  <w:tcW w:w="746" w:type="pct"/>
                  <w:shd w:val="clear" w:color="auto" w:fill="auto"/>
                  <w:vAlign w:val="center"/>
                </w:tcPr>
                <w:p w14:paraId="74610186">
                  <w:pPr>
                    <w:spacing w:line="360" w:lineRule="exact"/>
                    <w:jc w:val="center"/>
                    <w:rPr>
                      <w:rFonts w:hint="eastAsia" w:eastAsia="宋体" w:asciiTheme="minorHAnsi" w:hAnsiTheme="minorHAnsi" w:cstheme="minorBidi"/>
                      <w:kern w:val="2"/>
                      <w:sz w:val="21"/>
                      <w:szCs w:val="21"/>
                      <w:lang w:val="en-US" w:eastAsia="zh-CN" w:bidi="ar-SA"/>
                    </w:rPr>
                  </w:pPr>
                  <w:r>
                    <w:rPr>
                      <w:rFonts w:hint="eastAsia"/>
                      <w:sz w:val="21"/>
                      <w:szCs w:val="21"/>
                      <w:lang w:val="en-US" w:eastAsia="zh-CN"/>
                    </w:rPr>
                    <w:t>2</w:t>
                  </w:r>
                </w:p>
              </w:tc>
              <w:tc>
                <w:tcPr>
                  <w:tcW w:w="685" w:type="pct"/>
                  <w:vAlign w:val="center"/>
                </w:tcPr>
                <w:p w14:paraId="023B6501">
                  <w:pPr>
                    <w:spacing w:line="360" w:lineRule="exact"/>
                    <w:jc w:val="center"/>
                    <w:rPr>
                      <w:rFonts w:hint="default"/>
                      <w:sz w:val="21"/>
                      <w:szCs w:val="21"/>
                      <w:lang w:val="en-US" w:eastAsia="zh-CN"/>
                    </w:rPr>
                  </w:pPr>
                  <w:r>
                    <w:rPr>
                      <w:rFonts w:hint="eastAsia"/>
                      <w:sz w:val="21"/>
                      <w:szCs w:val="21"/>
                      <w:lang w:val="en-US" w:eastAsia="zh-CN"/>
                    </w:rPr>
                    <w:t>/</w:t>
                  </w:r>
                </w:p>
              </w:tc>
            </w:tr>
            <w:tr w14:paraId="2CA26C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continue"/>
                  <w:vAlign w:val="center"/>
                </w:tcPr>
                <w:p w14:paraId="3877094F">
                  <w:pPr>
                    <w:spacing w:line="360" w:lineRule="exact"/>
                    <w:jc w:val="center"/>
                    <w:rPr>
                      <w:sz w:val="21"/>
                      <w:szCs w:val="21"/>
                    </w:rPr>
                  </w:pPr>
                </w:p>
              </w:tc>
              <w:tc>
                <w:tcPr>
                  <w:tcW w:w="1497" w:type="pct"/>
                  <w:vAlign w:val="center"/>
                </w:tcPr>
                <w:p w14:paraId="6A2E00A2">
                  <w:pPr>
                    <w:spacing w:line="360" w:lineRule="exact"/>
                    <w:jc w:val="center"/>
                    <w:rPr>
                      <w:sz w:val="21"/>
                      <w:szCs w:val="21"/>
                    </w:rPr>
                  </w:pPr>
                  <w:r>
                    <w:rPr>
                      <w:rFonts w:hint="eastAsia"/>
                      <w:sz w:val="21"/>
                      <w:szCs w:val="21"/>
                      <w:lang w:val="en-US" w:eastAsia="zh-CN"/>
                    </w:rPr>
                    <w:t>显像</w:t>
                  </w:r>
                  <w:r>
                    <w:rPr>
                      <w:sz w:val="21"/>
                      <w:szCs w:val="21"/>
                    </w:rPr>
                    <w:t>药物给药操作</w:t>
                  </w:r>
                </w:p>
              </w:tc>
              <w:tc>
                <w:tcPr>
                  <w:tcW w:w="887" w:type="pct"/>
                  <w:vAlign w:val="center"/>
                </w:tcPr>
                <w:p w14:paraId="3F6ABC4B">
                  <w:pPr>
                    <w:spacing w:line="360" w:lineRule="exact"/>
                    <w:jc w:val="center"/>
                    <w:rPr>
                      <w:rFonts w:hint="eastAsia" w:eastAsia="宋体"/>
                      <w:sz w:val="21"/>
                      <w:szCs w:val="21"/>
                      <w:lang w:val="en-US" w:eastAsia="zh-CN"/>
                    </w:rPr>
                  </w:pPr>
                  <w:r>
                    <w:rPr>
                      <w:rFonts w:hint="eastAsia"/>
                      <w:sz w:val="21"/>
                      <w:szCs w:val="21"/>
                      <w:lang w:val="en-US" w:eastAsia="zh-CN"/>
                    </w:rPr>
                    <w:t>/</w:t>
                  </w:r>
                </w:p>
              </w:tc>
              <w:tc>
                <w:tcPr>
                  <w:tcW w:w="746" w:type="pct"/>
                  <w:shd w:val="clear" w:color="auto" w:fill="auto"/>
                  <w:vAlign w:val="center"/>
                </w:tcPr>
                <w:p w14:paraId="24341CD5">
                  <w:pPr>
                    <w:spacing w:line="360" w:lineRule="exact"/>
                    <w:jc w:val="center"/>
                    <w:rPr>
                      <w:rFonts w:hint="default" w:asciiTheme="minorHAnsi" w:hAnsiTheme="minorHAnsi" w:eastAsiaTheme="minorEastAsia" w:cstheme="minorBidi"/>
                      <w:kern w:val="2"/>
                      <w:sz w:val="21"/>
                      <w:szCs w:val="21"/>
                      <w:lang w:val="en-US" w:eastAsia="zh-CN" w:bidi="ar-SA"/>
                    </w:rPr>
                  </w:pPr>
                  <w:r>
                    <w:rPr>
                      <w:rFonts w:hint="eastAsia" w:asciiTheme="minorHAnsi" w:hAnsiTheme="minorHAnsi" w:eastAsiaTheme="minorEastAsia" w:cstheme="minorBidi"/>
                      <w:kern w:val="2"/>
                      <w:sz w:val="21"/>
                      <w:szCs w:val="21"/>
                      <w:lang w:val="en-US" w:eastAsia="zh-CN" w:bidi="ar-SA"/>
                    </w:rPr>
                    <w:t>/</w:t>
                  </w:r>
                </w:p>
              </w:tc>
              <w:tc>
                <w:tcPr>
                  <w:tcW w:w="685" w:type="pct"/>
                  <w:vAlign w:val="center"/>
                </w:tcPr>
                <w:p w14:paraId="6F53361F">
                  <w:pPr>
                    <w:spacing w:line="360" w:lineRule="exact"/>
                    <w:jc w:val="center"/>
                    <w:rPr>
                      <w:rFonts w:hint="eastAsia" w:eastAsiaTheme="minorEastAsia"/>
                      <w:sz w:val="21"/>
                      <w:szCs w:val="21"/>
                      <w:lang w:val="en-US" w:eastAsia="zh-CN"/>
                    </w:rPr>
                  </w:pPr>
                  <w:r>
                    <w:rPr>
                      <w:rFonts w:hint="eastAsia"/>
                      <w:sz w:val="21"/>
                      <w:szCs w:val="21"/>
                      <w:lang w:val="en-US" w:eastAsia="zh-CN"/>
                    </w:rPr>
                    <w:t>2</w:t>
                  </w:r>
                </w:p>
              </w:tc>
            </w:tr>
            <w:tr w14:paraId="4A912F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continue"/>
                  <w:vAlign w:val="center"/>
                </w:tcPr>
                <w:p w14:paraId="077F372C">
                  <w:pPr>
                    <w:spacing w:line="360" w:lineRule="exact"/>
                    <w:jc w:val="center"/>
                    <w:rPr>
                      <w:sz w:val="21"/>
                      <w:szCs w:val="21"/>
                    </w:rPr>
                  </w:pPr>
                </w:p>
              </w:tc>
              <w:tc>
                <w:tcPr>
                  <w:tcW w:w="1497" w:type="pct"/>
                  <w:vAlign w:val="center"/>
                </w:tcPr>
                <w:p w14:paraId="5CF0A38E">
                  <w:pPr>
                    <w:spacing w:line="360" w:lineRule="exact"/>
                    <w:jc w:val="center"/>
                    <w:rPr>
                      <w:sz w:val="21"/>
                      <w:szCs w:val="21"/>
                    </w:rPr>
                  </w:pPr>
                  <w:r>
                    <w:rPr>
                      <w:sz w:val="21"/>
                      <w:szCs w:val="21"/>
                    </w:rPr>
                    <w:t>SPECT/CT操作人员</w:t>
                  </w:r>
                </w:p>
              </w:tc>
              <w:tc>
                <w:tcPr>
                  <w:tcW w:w="887" w:type="pct"/>
                  <w:vAlign w:val="center"/>
                </w:tcPr>
                <w:p w14:paraId="451ECBB5">
                  <w:pPr>
                    <w:spacing w:line="360" w:lineRule="exact"/>
                    <w:jc w:val="center"/>
                    <w:rPr>
                      <w:rFonts w:hint="default" w:eastAsia="宋体"/>
                      <w:sz w:val="21"/>
                      <w:szCs w:val="21"/>
                      <w:lang w:val="en-US" w:eastAsia="zh-CN"/>
                    </w:rPr>
                  </w:pPr>
                  <w:r>
                    <w:rPr>
                      <w:rFonts w:hint="eastAsia"/>
                      <w:sz w:val="21"/>
                      <w:szCs w:val="21"/>
                      <w:lang w:val="en-US" w:eastAsia="zh-CN"/>
                    </w:rPr>
                    <w:t>/</w:t>
                  </w:r>
                </w:p>
              </w:tc>
              <w:tc>
                <w:tcPr>
                  <w:tcW w:w="746" w:type="pct"/>
                  <w:shd w:val="clear" w:color="auto" w:fill="auto"/>
                  <w:vAlign w:val="center"/>
                </w:tcPr>
                <w:p w14:paraId="68510A33">
                  <w:pPr>
                    <w:spacing w:line="360" w:lineRule="exact"/>
                    <w:jc w:val="center"/>
                    <w:rPr>
                      <w:rFonts w:hint="eastAsia" w:eastAsia="宋体" w:asciiTheme="minorHAnsi" w:hAnsiTheme="minorHAnsi" w:cstheme="minorBidi"/>
                      <w:kern w:val="2"/>
                      <w:sz w:val="21"/>
                      <w:szCs w:val="21"/>
                      <w:lang w:val="en-US" w:eastAsia="zh-CN" w:bidi="ar-SA"/>
                    </w:rPr>
                  </w:pPr>
                  <w:r>
                    <w:rPr>
                      <w:rFonts w:hint="eastAsia"/>
                      <w:sz w:val="21"/>
                      <w:szCs w:val="21"/>
                      <w:lang w:val="en-US" w:eastAsia="zh-CN"/>
                    </w:rPr>
                    <w:t>2</w:t>
                  </w:r>
                </w:p>
              </w:tc>
              <w:tc>
                <w:tcPr>
                  <w:tcW w:w="685" w:type="pct"/>
                  <w:vAlign w:val="center"/>
                </w:tcPr>
                <w:p w14:paraId="39B2F9C7">
                  <w:pPr>
                    <w:spacing w:line="360" w:lineRule="exact"/>
                    <w:jc w:val="center"/>
                    <w:rPr>
                      <w:rFonts w:hint="default"/>
                      <w:sz w:val="21"/>
                      <w:szCs w:val="21"/>
                      <w:lang w:val="en-US" w:eastAsia="zh-CN"/>
                    </w:rPr>
                  </w:pPr>
                  <w:r>
                    <w:rPr>
                      <w:rFonts w:hint="eastAsia"/>
                      <w:sz w:val="21"/>
                      <w:szCs w:val="21"/>
                      <w:lang w:val="en-US" w:eastAsia="zh-CN"/>
                    </w:rPr>
                    <w:t>/</w:t>
                  </w:r>
                </w:p>
              </w:tc>
            </w:tr>
            <w:tr w14:paraId="555C49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continue"/>
                  <w:vAlign w:val="center"/>
                </w:tcPr>
                <w:p w14:paraId="51950512">
                  <w:pPr>
                    <w:spacing w:line="360" w:lineRule="exact"/>
                    <w:jc w:val="center"/>
                    <w:rPr>
                      <w:sz w:val="21"/>
                      <w:szCs w:val="21"/>
                    </w:rPr>
                  </w:pPr>
                </w:p>
              </w:tc>
              <w:tc>
                <w:tcPr>
                  <w:tcW w:w="1497" w:type="pct"/>
                  <w:vAlign w:val="center"/>
                </w:tcPr>
                <w:p w14:paraId="4A2710DE">
                  <w:pPr>
                    <w:spacing w:line="360" w:lineRule="exact"/>
                    <w:jc w:val="center"/>
                    <w:rPr>
                      <w:rFonts w:hint="default" w:eastAsiaTheme="minorEastAsia"/>
                      <w:sz w:val="21"/>
                      <w:szCs w:val="21"/>
                      <w:lang w:val="en-US" w:eastAsia="zh-CN"/>
                    </w:rPr>
                  </w:pPr>
                  <w:r>
                    <w:rPr>
                      <w:rFonts w:hint="eastAsia"/>
                      <w:sz w:val="21"/>
                      <w:szCs w:val="21"/>
                      <w:lang w:val="en-US" w:eastAsia="zh-CN"/>
                    </w:rPr>
                    <w:t>敷贴药物给药操作</w:t>
                  </w:r>
                </w:p>
              </w:tc>
              <w:tc>
                <w:tcPr>
                  <w:tcW w:w="887" w:type="pct"/>
                  <w:vAlign w:val="center"/>
                </w:tcPr>
                <w:p w14:paraId="37AD4EBE">
                  <w:pPr>
                    <w:spacing w:line="360" w:lineRule="exact"/>
                    <w:jc w:val="center"/>
                    <w:rPr>
                      <w:rFonts w:hint="eastAsia" w:eastAsia="宋体"/>
                      <w:sz w:val="21"/>
                      <w:szCs w:val="21"/>
                      <w:lang w:val="en-US" w:eastAsia="zh-CN"/>
                    </w:rPr>
                  </w:pPr>
                  <w:r>
                    <w:rPr>
                      <w:rFonts w:hint="eastAsia"/>
                      <w:sz w:val="21"/>
                      <w:szCs w:val="21"/>
                      <w:lang w:val="en-US" w:eastAsia="zh-CN"/>
                    </w:rPr>
                    <w:t>/</w:t>
                  </w:r>
                </w:p>
              </w:tc>
              <w:tc>
                <w:tcPr>
                  <w:tcW w:w="746" w:type="pct"/>
                  <w:shd w:val="clear" w:color="auto" w:fill="auto"/>
                  <w:vAlign w:val="center"/>
                </w:tcPr>
                <w:p w14:paraId="01FE276C">
                  <w:pPr>
                    <w:spacing w:line="360" w:lineRule="exact"/>
                    <w:jc w:val="center"/>
                    <w:rPr>
                      <w:rFonts w:hint="default" w:asciiTheme="minorHAnsi" w:hAnsiTheme="minorHAnsi" w:eastAsiaTheme="minorEastAsia" w:cstheme="minorBidi"/>
                      <w:kern w:val="2"/>
                      <w:sz w:val="21"/>
                      <w:szCs w:val="21"/>
                      <w:lang w:val="en-US" w:eastAsia="zh-CN" w:bidi="ar-SA"/>
                    </w:rPr>
                  </w:pPr>
                  <w:r>
                    <w:rPr>
                      <w:rFonts w:hint="eastAsia" w:asciiTheme="minorHAnsi" w:hAnsiTheme="minorHAnsi" w:eastAsiaTheme="minorEastAsia" w:cstheme="minorBidi"/>
                      <w:kern w:val="2"/>
                      <w:sz w:val="21"/>
                      <w:szCs w:val="21"/>
                      <w:lang w:val="en-US" w:eastAsia="zh-CN" w:bidi="ar-SA"/>
                    </w:rPr>
                    <w:t>/</w:t>
                  </w:r>
                </w:p>
              </w:tc>
              <w:tc>
                <w:tcPr>
                  <w:tcW w:w="685" w:type="pct"/>
                  <w:vAlign w:val="center"/>
                </w:tcPr>
                <w:p w14:paraId="3FB84FFC">
                  <w:pPr>
                    <w:spacing w:line="360" w:lineRule="exact"/>
                    <w:jc w:val="center"/>
                    <w:rPr>
                      <w:rFonts w:hint="eastAsia" w:eastAsiaTheme="minorEastAsia"/>
                      <w:sz w:val="21"/>
                      <w:szCs w:val="21"/>
                      <w:lang w:val="en-US" w:eastAsia="zh-CN"/>
                    </w:rPr>
                  </w:pPr>
                  <w:r>
                    <w:rPr>
                      <w:rFonts w:hint="eastAsia"/>
                      <w:sz w:val="21"/>
                      <w:szCs w:val="21"/>
                      <w:lang w:val="en-US" w:eastAsia="zh-CN"/>
                    </w:rPr>
                    <w:t>1</w:t>
                  </w:r>
                </w:p>
              </w:tc>
            </w:tr>
            <w:tr w14:paraId="7C3E5A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continue"/>
                  <w:vAlign w:val="center"/>
                </w:tcPr>
                <w:p w14:paraId="438A7E5C">
                  <w:pPr>
                    <w:spacing w:line="360" w:lineRule="exact"/>
                    <w:jc w:val="center"/>
                    <w:rPr>
                      <w:sz w:val="21"/>
                      <w:szCs w:val="21"/>
                    </w:rPr>
                  </w:pPr>
                </w:p>
              </w:tc>
              <w:tc>
                <w:tcPr>
                  <w:tcW w:w="1497" w:type="pct"/>
                  <w:vAlign w:val="center"/>
                </w:tcPr>
                <w:p w14:paraId="103E9FDD">
                  <w:pPr>
                    <w:spacing w:line="360" w:lineRule="exact"/>
                    <w:jc w:val="center"/>
                    <w:rPr>
                      <w:sz w:val="21"/>
                      <w:szCs w:val="21"/>
                    </w:rPr>
                  </w:pPr>
                  <w:r>
                    <w:rPr>
                      <w:rFonts w:hint="eastAsia"/>
                      <w:sz w:val="21"/>
                      <w:szCs w:val="21"/>
                      <w:lang w:val="en-US" w:eastAsia="zh-CN"/>
                    </w:rPr>
                    <w:t>治疗</w:t>
                  </w:r>
                  <w:r>
                    <w:rPr>
                      <w:sz w:val="21"/>
                      <w:szCs w:val="21"/>
                    </w:rPr>
                    <w:t>药物给药操作</w:t>
                  </w:r>
                </w:p>
              </w:tc>
              <w:tc>
                <w:tcPr>
                  <w:tcW w:w="887" w:type="pct"/>
                  <w:vAlign w:val="center"/>
                </w:tcPr>
                <w:p w14:paraId="353CF44D">
                  <w:pPr>
                    <w:spacing w:line="360" w:lineRule="exact"/>
                    <w:jc w:val="center"/>
                    <w:rPr>
                      <w:rFonts w:hint="eastAsia" w:eastAsia="宋体"/>
                      <w:sz w:val="21"/>
                      <w:szCs w:val="21"/>
                      <w:lang w:val="en-US" w:eastAsia="zh-CN"/>
                    </w:rPr>
                  </w:pPr>
                  <w:r>
                    <w:rPr>
                      <w:rFonts w:hint="eastAsia"/>
                      <w:sz w:val="21"/>
                      <w:szCs w:val="21"/>
                      <w:lang w:val="en-US" w:eastAsia="zh-CN"/>
                    </w:rPr>
                    <w:t>/</w:t>
                  </w:r>
                </w:p>
              </w:tc>
              <w:tc>
                <w:tcPr>
                  <w:tcW w:w="746" w:type="pct"/>
                  <w:shd w:val="clear" w:color="auto" w:fill="auto"/>
                  <w:vAlign w:val="center"/>
                </w:tcPr>
                <w:p w14:paraId="7FCDA8B8">
                  <w:pPr>
                    <w:spacing w:line="360" w:lineRule="exact"/>
                    <w:jc w:val="center"/>
                    <w:rPr>
                      <w:rFonts w:hint="default" w:asciiTheme="minorHAnsi" w:hAnsiTheme="minorHAnsi" w:eastAsiaTheme="minorEastAsia" w:cstheme="minorBidi"/>
                      <w:kern w:val="2"/>
                      <w:sz w:val="21"/>
                      <w:szCs w:val="21"/>
                      <w:lang w:val="en-US" w:eastAsia="zh-CN" w:bidi="ar-SA"/>
                    </w:rPr>
                  </w:pPr>
                  <w:r>
                    <w:rPr>
                      <w:rFonts w:hint="eastAsia" w:asciiTheme="minorHAnsi" w:hAnsiTheme="minorHAnsi" w:eastAsiaTheme="minorEastAsia" w:cstheme="minorBidi"/>
                      <w:kern w:val="2"/>
                      <w:sz w:val="21"/>
                      <w:szCs w:val="21"/>
                      <w:lang w:val="en-US" w:eastAsia="zh-CN" w:bidi="ar-SA"/>
                    </w:rPr>
                    <w:t>/</w:t>
                  </w:r>
                </w:p>
              </w:tc>
              <w:tc>
                <w:tcPr>
                  <w:tcW w:w="685" w:type="pct"/>
                  <w:vAlign w:val="center"/>
                </w:tcPr>
                <w:p w14:paraId="6A69A844">
                  <w:pPr>
                    <w:spacing w:line="360" w:lineRule="exact"/>
                    <w:jc w:val="center"/>
                    <w:rPr>
                      <w:rFonts w:hint="eastAsia" w:eastAsiaTheme="minorEastAsia"/>
                      <w:sz w:val="21"/>
                      <w:szCs w:val="21"/>
                      <w:lang w:val="en-US" w:eastAsia="zh-CN"/>
                    </w:rPr>
                  </w:pPr>
                  <w:r>
                    <w:rPr>
                      <w:rFonts w:hint="eastAsia"/>
                      <w:sz w:val="21"/>
                      <w:szCs w:val="21"/>
                      <w:lang w:val="en-US" w:eastAsia="zh-CN"/>
                    </w:rPr>
                    <w:t>1</w:t>
                  </w:r>
                </w:p>
              </w:tc>
            </w:tr>
            <w:tr w14:paraId="2F3E46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83" w:type="pct"/>
                  <w:vMerge w:val="continue"/>
                  <w:vAlign w:val="center"/>
                </w:tcPr>
                <w:p w14:paraId="6034C5B0">
                  <w:pPr>
                    <w:spacing w:line="360" w:lineRule="exact"/>
                    <w:jc w:val="center"/>
                    <w:rPr>
                      <w:sz w:val="21"/>
                      <w:szCs w:val="21"/>
                    </w:rPr>
                  </w:pPr>
                </w:p>
              </w:tc>
              <w:tc>
                <w:tcPr>
                  <w:tcW w:w="1497" w:type="pct"/>
                  <w:vAlign w:val="center"/>
                </w:tcPr>
                <w:p w14:paraId="2CE80735">
                  <w:pPr>
                    <w:spacing w:line="360" w:lineRule="exact"/>
                    <w:jc w:val="center"/>
                    <w:rPr>
                      <w:rFonts w:hint="default" w:eastAsiaTheme="minorEastAsia"/>
                      <w:sz w:val="21"/>
                      <w:szCs w:val="21"/>
                      <w:lang w:val="en-US" w:eastAsia="zh-CN"/>
                    </w:rPr>
                  </w:pPr>
                  <w:r>
                    <w:rPr>
                      <w:rFonts w:hint="eastAsia"/>
                      <w:sz w:val="21"/>
                      <w:szCs w:val="21"/>
                      <w:lang w:val="en-US" w:eastAsia="zh-CN"/>
                    </w:rPr>
                    <w:t>甲吸测定操作</w:t>
                  </w:r>
                </w:p>
              </w:tc>
              <w:tc>
                <w:tcPr>
                  <w:tcW w:w="887" w:type="pct"/>
                  <w:vAlign w:val="center"/>
                </w:tcPr>
                <w:p w14:paraId="115F9F0F">
                  <w:pPr>
                    <w:spacing w:line="360" w:lineRule="exact"/>
                    <w:jc w:val="center"/>
                    <w:rPr>
                      <w:rFonts w:hint="eastAsia" w:eastAsiaTheme="minorEastAsia"/>
                      <w:sz w:val="21"/>
                      <w:szCs w:val="21"/>
                      <w:lang w:val="en-US" w:eastAsia="zh-CN"/>
                    </w:rPr>
                  </w:pPr>
                  <w:r>
                    <w:rPr>
                      <w:rFonts w:hint="eastAsia"/>
                      <w:sz w:val="21"/>
                      <w:szCs w:val="21"/>
                      <w:lang w:val="en-US" w:eastAsia="zh-CN"/>
                    </w:rPr>
                    <w:t>1</w:t>
                  </w:r>
                </w:p>
              </w:tc>
              <w:tc>
                <w:tcPr>
                  <w:tcW w:w="746" w:type="pct"/>
                  <w:shd w:val="clear" w:color="auto" w:fill="auto"/>
                  <w:vAlign w:val="center"/>
                </w:tcPr>
                <w:p w14:paraId="48FD93A2">
                  <w:pPr>
                    <w:spacing w:line="360" w:lineRule="exact"/>
                    <w:jc w:val="center"/>
                    <w:rPr>
                      <w:rFonts w:hint="default" w:asciiTheme="minorHAnsi" w:hAnsiTheme="minorHAnsi" w:eastAsiaTheme="minorEastAsia" w:cstheme="minorBidi"/>
                      <w:kern w:val="2"/>
                      <w:sz w:val="21"/>
                      <w:szCs w:val="21"/>
                      <w:lang w:val="en-US" w:eastAsia="zh-CN" w:bidi="ar-SA"/>
                    </w:rPr>
                  </w:pPr>
                  <w:r>
                    <w:rPr>
                      <w:rFonts w:hint="eastAsia" w:asciiTheme="minorHAnsi" w:hAnsiTheme="minorHAnsi" w:eastAsiaTheme="minorEastAsia" w:cstheme="minorBidi"/>
                      <w:kern w:val="2"/>
                      <w:sz w:val="21"/>
                      <w:szCs w:val="21"/>
                      <w:lang w:val="en-US" w:eastAsia="zh-CN" w:bidi="ar-SA"/>
                    </w:rPr>
                    <w:t>/</w:t>
                  </w:r>
                </w:p>
              </w:tc>
              <w:tc>
                <w:tcPr>
                  <w:tcW w:w="685" w:type="pct"/>
                  <w:vAlign w:val="center"/>
                </w:tcPr>
                <w:p w14:paraId="26750A47">
                  <w:pPr>
                    <w:spacing w:line="360" w:lineRule="exact"/>
                    <w:jc w:val="center"/>
                    <w:rPr>
                      <w:rFonts w:hint="eastAsia" w:eastAsia="宋体"/>
                      <w:sz w:val="21"/>
                      <w:szCs w:val="21"/>
                      <w:lang w:val="en-US" w:eastAsia="zh-CN"/>
                    </w:rPr>
                  </w:pPr>
                  <w:r>
                    <w:rPr>
                      <w:rFonts w:hint="eastAsia"/>
                      <w:sz w:val="21"/>
                      <w:szCs w:val="21"/>
                      <w:lang w:val="en-US" w:eastAsia="zh-CN"/>
                    </w:rPr>
                    <w:t>/</w:t>
                  </w:r>
                </w:p>
              </w:tc>
            </w:tr>
            <w:tr w14:paraId="3B9C91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680" w:type="pct"/>
                  <w:gridSpan w:val="2"/>
                  <w:vAlign w:val="center"/>
                </w:tcPr>
                <w:p w14:paraId="3458C54D">
                  <w:pPr>
                    <w:spacing w:line="360" w:lineRule="exact"/>
                    <w:jc w:val="center"/>
                    <w:rPr>
                      <w:sz w:val="21"/>
                      <w:szCs w:val="21"/>
                    </w:rPr>
                  </w:pPr>
                  <w:r>
                    <w:rPr>
                      <w:sz w:val="21"/>
                      <w:szCs w:val="21"/>
                    </w:rPr>
                    <w:t>合计</w:t>
                  </w:r>
                </w:p>
              </w:tc>
              <w:tc>
                <w:tcPr>
                  <w:tcW w:w="2319" w:type="pct"/>
                  <w:gridSpan w:val="3"/>
                  <w:vAlign w:val="center"/>
                </w:tcPr>
                <w:p w14:paraId="1DF30498">
                  <w:pPr>
                    <w:spacing w:line="360" w:lineRule="exact"/>
                    <w:jc w:val="center"/>
                    <w:rPr>
                      <w:rFonts w:hint="eastAsia" w:asciiTheme="minorHAnsi" w:hAnsiTheme="minorHAnsi" w:eastAsiaTheme="minorEastAsia" w:cstheme="minorBidi"/>
                      <w:kern w:val="2"/>
                      <w:sz w:val="21"/>
                      <w:szCs w:val="21"/>
                      <w:lang w:val="en-US" w:eastAsia="zh-CN" w:bidi="ar-SA"/>
                    </w:rPr>
                  </w:pPr>
                  <w:r>
                    <w:rPr>
                      <w:rFonts w:hint="eastAsia"/>
                      <w:sz w:val="21"/>
                      <w:szCs w:val="21"/>
                      <w:lang w:val="en-US" w:eastAsia="zh-CN"/>
                    </w:rPr>
                    <w:t>9</w:t>
                  </w:r>
                </w:p>
              </w:tc>
            </w:tr>
          </w:tbl>
          <w:p w14:paraId="5B764E13">
            <w:pPr>
              <w:ind w:firstLine="482"/>
              <w:rPr>
                <w:b/>
                <w:bCs/>
              </w:rPr>
            </w:pPr>
          </w:p>
          <w:p w14:paraId="6EB16A49">
            <w:pPr>
              <w:jc w:val="center"/>
              <w:rPr>
                <w:b/>
                <w:bCs/>
              </w:rPr>
            </w:pPr>
            <w:r>
              <w:rPr>
                <w:rFonts w:eastAsia="黑体"/>
                <w:bCs/>
                <w:sz w:val="21"/>
                <w:szCs w:val="21"/>
              </w:rPr>
              <w:t>表1-</w:t>
            </w:r>
            <w:r>
              <w:rPr>
                <w:rFonts w:hint="eastAsia" w:eastAsia="黑体"/>
                <w:bCs/>
                <w:sz w:val="21"/>
                <w:szCs w:val="21"/>
                <w:lang w:val="en-US" w:eastAsia="zh-CN"/>
              </w:rPr>
              <w:t>14</w:t>
            </w:r>
            <w:r>
              <w:rPr>
                <w:rFonts w:eastAsia="黑体"/>
                <w:bCs/>
                <w:sz w:val="21"/>
                <w:szCs w:val="21"/>
              </w:rPr>
              <w:t xml:space="preserve">  </w:t>
            </w:r>
            <w:r>
              <w:rPr>
                <w:rFonts w:hint="eastAsia" w:eastAsia="黑体"/>
                <w:bCs/>
                <w:sz w:val="21"/>
                <w:szCs w:val="21"/>
                <w:lang w:val="en-US" w:eastAsia="zh-CN"/>
              </w:rPr>
              <w:t>手术部和内镜中心</w:t>
            </w:r>
            <w:r>
              <w:rPr>
                <w:rFonts w:eastAsia="黑体"/>
                <w:bCs/>
                <w:sz w:val="21"/>
                <w:szCs w:val="21"/>
              </w:rPr>
              <w:t>辐射工作场所人员配置情况表</w:t>
            </w:r>
          </w:p>
          <w:tbl>
            <w:tblPr>
              <w:tblStyle w:val="57"/>
              <w:tblW w:w="5031"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846"/>
              <w:gridCol w:w="1878"/>
              <w:gridCol w:w="1666"/>
              <w:gridCol w:w="1604"/>
              <w:gridCol w:w="1325"/>
            </w:tblGrid>
            <w:tr w14:paraId="28AEDF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restart"/>
                  <w:noWrap w:val="0"/>
                  <w:vAlign w:val="center"/>
                </w:tcPr>
                <w:p w14:paraId="76341D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r>
                    <w:rPr>
                      <w:b/>
                      <w:bCs/>
                      <w:spacing w:val="-11"/>
                      <w:sz w:val="21"/>
                      <w:szCs w:val="21"/>
                    </w:rPr>
                    <w:t>使用场所</w:t>
                  </w:r>
                </w:p>
              </w:tc>
              <w:tc>
                <w:tcPr>
                  <w:tcW w:w="494" w:type="pct"/>
                  <w:vMerge w:val="restart"/>
                  <w:noWrap w:val="0"/>
                  <w:vAlign w:val="center"/>
                </w:tcPr>
                <w:p w14:paraId="1AC217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r>
                    <w:rPr>
                      <w:b/>
                      <w:bCs/>
                      <w:spacing w:val="-11"/>
                      <w:sz w:val="21"/>
                      <w:szCs w:val="21"/>
                    </w:rPr>
                    <w:t>设备</w:t>
                  </w:r>
                </w:p>
              </w:tc>
              <w:tc>
                <w:tcPr>
                  <w:tcW w:w="1096" w:type="pct"/>
                  <w:vMerge w:val="restart"/>
                  <w:noWrap w:val="0"/>
                  <w:vAlign w:val="center"/>
                </w:tcPr>
                <w:p w14:paraId="4D9FBA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r>
                    <w:rPr>
                      <w:b/>
                      <w:bCs/>
                      <w:spacing w:val="-11"/>
                      <w:sz w:val="21"/>
                      <w:szCs w:val="21"/>
                    </w:rPr>
                    <w:t>科室</w:t>
                  </w:r>
                </w:p>
              </w:tc>
              <w:tc>
                <w:tcPr>
                  <w:tcW w:w="2684" w:type="pct"/>
                  <w:gridSpan w:val="3"/>
                  <w:noWrap w:val="0"/>
                  <w:vAlign w:val="center"/>
                </w:tcPr>
                <w:p w14:paraId="7F40FC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r>
                    <w:rPr>
                      <w:b/>
                      <w:bCs/>
                      <w:spacing w:val="-11"/>
                      <w:sz w:val="21"/>
                      <w:szCs w:val="21"/>
                    </w:rPr>
                    <w:t>配置人数</w:t>
                  </w:r>
                </w:p>
              </w:tc>
            </w:tr>
            <w:tr w14:paraId="087A0F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2A3D03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p>
              </w:tc>
              <w:tc>
                <w:tcPr>
                  <w:tcW w:w="494" w:type="pct"/>
                  <w:vMerge w:val="continue"/>
                  <w:noWrap w:val="0"/>
                  <w:vAlign w:val="center"/>
                </w:tcPr>
                <w:p w14:paraId="0F74DF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p>
              </w:tc>
              <w:tc>
                <w:tcPr>
                  <w:tcW w:w="1096" w:type="pct"/>
                  <w:vMerge w:val="continue"/>
                  <w:noWrap w:val="0"/>
                  <w:vAlign w:val="center"/>
                </w:tcPr>
                <w:p w14:paraId="68B402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p>
              </w:tc>
              <w:tc>
                <w:tcPr>
                  <w:tcW w:w="973" w:type="pct"/>
                  <w:noWrap w:val="0"/>
                  <w:vAlign w:val="center"/>
                </w:tcPr>
                <w:p w14:paraId="5A6B28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r>
                    <w:rPr>
                      <w:b/>
                      <w:bCs/>
                      <w:spacing w:val="-11"/>
                      <w:sz w:val="21"/>
                      <w:szCs w:val="21"/>
                    </w:rPr>
                    <w:t>手术医生</w:t>
                  </w:r>
                </w:p>
              </w:tc>
              <w:tc>
                <w:tcPr>
                  <w:tcW w:w="937" w:type="pct"/>
                  <w:noWrap w:val="0"/>
                  <w:vAlign w:val="center"/>
                </w:tcPr>
                <w:p w14:paraId="4640F3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r>
                    <w:rPr>
                      <w:b/>
                      <w:bCs/>
                      <w:spacing w:val="-11"/>
                      <w:sz w:val="21"/>
                      <w:szCs w:val="21"/>
                    </w:rPr>
                    <w:t>护士</w:t>
                  </w:r>
                </w:p>
              </w:tc>
              <w:tc>
                <w:tcPr>
                  <w:tcW w:w="774" w:type="pct"/>
                  <w:noWrap w:val="0"/>
                  <w:vAlign w:val="center"/>
                </w:tcPr>
                <w:p w14:paraId="6DC73C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11"/>
                      <w:sz w:val="21"/>
                      <w:szCs w:val="21"/>
                    </w:rPr>
                  </w:pPr>
                  <w:r>
                    <w:rPr>
                      <w:b/>
                      <w:bCs/>
                      <w:spacing w:val="-11"/>
                      <w:sz w:val="21"/>
                      <w:szCs w:val="21"/>
                    </w:rPr>
                    <w:t>技师</w:t>
                  </w:r>
                </w:p>
              </w:tc>
            </w:tr>
            <w:tr w14:paraId="320083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restart"/>
                  <w:noWrap w:val="0"/>
                  <w:vAlign w:val="center"/>
                </w:tcPr>
                <w:p w14:paraId="534ED5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rFonts w:hint="eastAsia"/>
                      <w:spacing w:val="-11"/>
                      <w:sz w:val="21"/>
                      <w:szCs w:val="21"/>
                      <w:lang w:eastAsia="zh-CN"/>
                    </w:rPr>
                    <w:t>DSA+CT</w:t>
                  </w:r>
                  <w:r>
                    <w:rPr>
                      <w:spacing w:val="-11"/>
                      <w:sz w:val="21"/>
                      <w:szCs w:val="21"/>
                    </w:rPr>
                    <w:t>复合手术室</w:t>
                  </w:r>
                </w:p>
              </w:tc>
              <w:tc>
                <w:tcPr>
                  <w:tcW w:w="494" w:type="pct"/>
                  <w:vMerge w:val="restart"/>
                  <w:noWrap w:val="0"/>
                  <w:vAlign w:val="center"/>
                </w:tcPr>
                <w:p w14:paraId="564112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DSA</w:t>
                  </w:r>
                </w:p>
              </w:tc>
              <w:tc>
                <w:tcPr>
                  <w:tcW w:w="1096" w:type="pct"/>
                  <w:noWrap w:val="0"/>
                  <w:vAlign w:val="center"/>
                </w:tcPr>
                <w:p w14:paraId="3D39F6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心</w:t>
                  </w:r>
                  <w:r>
                    <w:rPr>
                      <w:rFonts w:hint="eastAsia"/>
                      <w:spacing w:val="-11"/>
                      <w:sz w:val="21"/>
                      <w:szCs w:val="21"/>
                      <w:lang w:val="en-US" w:eastAsia="zh-CN"/>
                    </w:rPr>
                    <w:t>胸外</w:t>
                  </w:r>
                  <w:r>
                    <w:rPr>
                      <w:spacing w:val="-11"/>
                      <w:sz w:val="21"/>
                      <w:szCs w:val="21"/>
                    </w:rPr>
                    <w:t>科</w:t>
                  </w:r>
                </w:p>
              </w:tc>
              <w:tc>
                <w:tcPr>
                  <w:tcW w:w="973" w:type="pct"/>
                  <w:noWrap w:val="0"/>
                  <w:vAlign w:val="center"/>
                </w:tcPr>
                <w:p w14:paraId="67F581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noWrap w:val="0"/>
                  <w:vAlign w:val="center"/>
                </w:tcPr>
                <w:p w14:paraId="14AB13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774" w:type="pct"/>
                  <w:noWrap w:val="0"/>
                  <w:vAlign w:val="center"/>
                </w:tcPr>
                <w:p w14:paraId="2F1090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r>
            <w:tr w14:paraId="623DAC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210E73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1D253D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5805B8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血管</w:t>
                  </w:r>
                  <w:r>
                    <w:rPr>
                      <w:rFonts w:hint="eastAsia"/>
                      <w:spacing w:val="-11"/>
                      <w:sz w:val="21"/>
                      <w:szCs w:val="21"/>
                      <w:lang w:val="en-US" w:eastAsia="zh-CN"/>
                    </w:rPr>
                    <w:t>外</w:t>
                  </w:r>
                  <w:r>
                    <w:rPr>
                      <w:spacing w:val="-11"/>
                      <w:sz w:val="21"/>
                      <w:szCs w:val="21"/>
                    </w:rPr>
                    <w:t>科</w:t>
                  </w:r>
                </w:p>
              </w:tc>
              <w:tc>
                <w:tcPr>
                  <w:tcW w:w="973" w:type="pct"/>
                  <w:noWrap w:val="0"/>
                  <w:vAlign w:val="center"/>
                </w:tcPr>
                <w:p w14:paraId="19ED88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noWrap w:val="0"/>
                  <w:vAlign w:val="center"/>
                </w:tcPr>
                <w:p w14:paraId="43131D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774" w:type="pct"/>
                  <w:noWrap w:val="0"/>
                  <w:vAlign w:val="center"/>
                </w:tcPr>
                <w:p w14:paraId="72A3F3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r>
            <w:tr w14:paraId="59751D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40648B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7D14FA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649A50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spacing w:val="-11"/>
                      <w:sz w:val="21"/>
                      <w:szCs w:val="21"/>
                      <w:lang w:val="en-US" w:eastAsia="zh-CN"/>
                    </w:rPr>
                  </w:pPr>
                  <w:r>
                    <w:rPr>
                      <w:rFonts w:hint="eastAsia"/>
                      <w:color w:val="000000"/>
                      <w:sz w:val="21"/>
                      <w:szCs w:val="21"/>
                      <w:lang w:val="en-US" w:eastAsia="zh-CN"/>
                    </w:rPr>
                    <w:t>神经外科</w:t>
                  </w:r>
                </w:p>
              </w:tc>
              <w:tc>
                <w:tcPr>
                  <w:tcW w:w="973" w:type="pct"/>
                  <w:noWrap w:val="0"/>
                  <w:vAlign w:val="center"/>
                </w:tcPr>
                <w:p w14:paraId="2F7064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noWrap w:val="0"/>
                  <w:vAlign w:val="center"/>
                </w:tcPr>
                <w:p w14:paraId="31199A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774" w:type="pct"/>
                  <w:noWrap w:val="0"/>
                  <w:vAlign w:val="center"/>
                </w:tcPr>
                <w:p w14:paraId="3AA620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r>
            <w:tr w14:paraId="5DC580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594DEC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1AD7C6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4DD21F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olor w:val="000000"/>
                      <w:sz w:val="21"/>
                      <w:szCs w:val="21"/>
                      <w:lang w:val="en-US" w:eastAsia="zh-CN"/>
                    </w:rPr>
                  </w:pPr>
                  <w:r>
                    <w:rPr>
                      <w:rFonts w:hint="eastAsia"/>
                      <w:spacing w:val="-11"/>
                      <w:sz w:val="21"/>
                      <w:szCs w:val="21"/>
                      <w:lang w:val="en-US" w:eastAsia="zh-CN"/>
                    </w:rPr>
                    <w:t>肝胆外科</w:t>
                  </w:r>
                </w:p>
              </w:tc>
              <w:tc>
                <w:tcPr>
                  <w:tcW w:w="973" w:type="pct"/>
                  <w:noWrap w:val="0"/>
                  <w:vAlign w:val="center"/>
                </w:tcPr>
                <w:p w14:paraId="6281CA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shd w:val="clear" w:color="auto" w:fill="auto"/>
                  <w:noWrap w:val="0"/>
                  <w:vAlign w:val="center"/>
                </w:tcPr>
                <w:p w14:paraId="138607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c>
                <w:tcPr>
                  <w:tcW w:w="774" w:type="pct"/>
                  <w:shd w:val="clear" w:color="auto" w:fill="auto"/>
                  <w:noWrap w:val="0"/>
                  <w:vAlign w:val="center"/>
                </w:tcPr>
                <w:p w14:paraId="6A6F73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r>
            <w:tr w14:paraId="12A0D7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431363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1120C1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5C7507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spacing w:val="-11"/>
                      <w:sz w:val="21"/>
                      <w:szCs w:val="21"/>
                      <w:lang w:eastAsia="zh-CN"/>
                    </w:rPr>
                  </w:pPr>
                  <w:r>
                    <w:rPr>
                      <w:rFonts w:hint="eastAsia"/>
                      <w:spacing w:val="-11"/>
                      <w:sz w:val="21"/>
                      <w:szCs w:val="21"/>
                      <w:lang w:val="en-US" w:eastAsia="zh-CN"/>
                    </w:rPr>
                    <w:t>手术部</w:t>
                  </w:r>
                </w:p>
              </w:tc>
              <w:tc>
                <w:tcPr>
                  <w:tcW w:w="973" w:type="pct"/>
                  <w:noWrap w:val="0"/>
                  <w:vAlign w:val="center"/>
                </w:tcPr>
                <w:p w14:paraId="5BDFB8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937" w:type="pct"/>
                  <w:noWrap w:val="0"/>
                  <w:vAlign w:val="center"/>
                </w:tcPr>
                <w:p w14:paraId="6DD26E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1人</w:t>
                  </w:r>
                </w:p>
              </w:tc>
              <w:tc>
                <w:tcPr>
                  <w:tcW w:w="774" w:type="pct"/>
                  <w:noWrap w:val="0"/>
                  <w:vAlign w:val="center"/>
                </w:tcPr>
                <w:p w14:paraId="4D682E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1人</w:t>
                  </w:r>
                </w:p>
              </w:tc>
            </w:tr>
            <w:tr w14:paraId="0AFB1B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699C2A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noWrap w:val="0"/>
                  <w:vAlign w:val="center"/>
                </w:tcPr>
                <w:p w14:paraId="223470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CT</w:t>
                  </w:r>
                </w:p>
              </w:tc>
              <w:tc>
                <w:tcPr>
                  <w:tcW w:w="1096" w:type="pct"/>
                  <w:noWrap w:val="0"/>
                  <w:vAlign w:val="center"/>
                </w:tcPr>
                <w:p w14:paraId="176F4E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放射科</w:t>
                  </w:r>
                </w:p>
              </w:tc>
              <w:tc>
                <w:tcPr>
                  <w:tcW w:w="973" w:type="pct"/>
                  <w:noWrap w:val="0"/>
                  <w:vAlign w:val="center"/>
                </w:tcPr>
                <w:p w14:paraId="64EA2D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937" w:type="pct"/>
                  <w:noWrap w:val="0"/>
                  <w:vAlign w:val="center"/>
                </w:tcPr>
                <w:p w14:paraId="75DFCF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774" w:type="pct"/>
                  <w:noWrap w:val="0"/>
                  <w:vAlign w:val="center"/>
                </w:tcPr>
                <w:p w14:paraId="146B4D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1人</w:t>
                  </w:r>
                </w:p>
              </w:tc>
            </w:tr>
            <w:tr w14:paraId="3B008C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restart"/>
                  <w:noWrap w:val="0"/>
                  <w:vAlign w:val="center"/>
                </w:tcPr>
                <w:p w14:paraId="554A79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DSA手术室（</w:t>
                  </w:r>
                  <w:r>
                    <w:rPr>
                      <w:rFonts w:hint="eastAsia"/>
                      <w:spacing w:val="-11"/>
                      <w:sz w:val="21"/>
                      <w:szCs w:val="21"/>
                      <w:lang w:val="en-US" w:eastAsia="zh-CN"/>
                    </w:rPr>
                    <w:t>OR09</w:t>
                  </w:r>
                  <w:r>
                    <w:rPr>
                      <w:spacing w:val="-11"/>
                      <w:sz w:val="21"/>
                      <w:szCs w:val="21"/>
                    </w:rPr>
                    <w:t>）</w:t>
                  </w:r>
                </w:p>
              </w:tc>
              <w:tc>
                <w:tcPr>
                  <w:tcW w:w="494" w:type="pct"/>
                  <w:vMerge w:val="restart"/>
                  <w:noWrap w:val="0"/>
                  <w:vAlign w:val="center"/>
                </w:tcPr>
                <w:p w14:paraId="481BDC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DSA</w:t>
                  </w:r>
                </w:p>
              </w:tc>
              <w:tc>
                <w:tcPr>
                  <w:tcW w:w="1096" w:type="pct"/>
                  <w:noWrap w:val="0"/>
                  <w:vAlign w:val="center"/>
                </w:tcPr>
                <w:p w14:paraId="49F165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spacing w:val="-11"/>
                      <w:sz w:val="21"/>
                      <w:szCs w:val="21"/>
                      <w:lang w:val="en-US" w:eastAsia="zh-CN"/>
                    </w:rPr>
                  </w:pPr>
                  <w:r>
                    <w:rPr>
                      <w:spacing w:val="-11"/>
                      <w:sz w:val="21"/>
                      <w:szCs w:val="21"/>
                    </w:rPr>
                    <w:t>心</w:t>
                  </w:r>
                  <w:r>
                    <w:rPr>
                      <w:rFonts w:hint="eastAsia"/>
                      <w:spacing w:val="-11"/>
                      <w:sz w:val="21"/>
                      <w:szCs w:val="21"/>
                      <w:lang w:val="en-US" w:eastAsia="zh-CN"/>
                    </w:rPr>
                    <w:t>胸</w:t>
                  </w:r>
                  <w:r>
                    <w:rPr>
                      <w:spacing w:val="-11"/>
                      <w:sz w:val="21"/>
                      <w:szCs w:val="21"/>
                    </w:rPr>
                    <w:t>内科</w:t>
                  </w:r>
                </w:p>
              </w:tc>
              <w:tc>
                <w:tcPr>
                  <w:tcW w:w="973" w:type="pct"/>
                  <w:noWrap w:val="0"/>
                  <w:vAlign w:val="center"/>
                </w:tcPr>
                <w:p w14:paraId="705B90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noWrap w:val="0"/>
                  <w:vAlign w:val="center"/>
                </w:tcPr>
                <w:p w14:paraId="6FDE5D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774" w:type="pct"/>
                  <w:noWrap w:val="0"/>
                  <w:vAlign w:val="center"/>
                </w:tcPr>
                <w:p w14:paraId="1DEF1C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r>
            <w:tr w14:paraId="38D678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06612E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3844E2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6BF4DD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spacing w:val="-11"/>
                      <w:sz w:val="21"/>
                      <w:szCs w:val="21"/>
                      <w:lang w:val="en-US" w:eastAsia="zh-CN"/>
                    </w:rPr>
                  </w:pPr>
                  <w:r>
                    <w:rPr>
                      <w:spacing w:val="-11"/>
                      <w:sz w:val="21"/>
                      <w:szCs w:val="21"/>
                    </w:rPr>
                    <w:t>血管</w:t>
                  </w:r>
                  <w:r>
                    <w:rPr>
                      <w:rFonts w:hint="eastAsia"/>
                      <w:spacing w:val="-11"/>
                      <w:sz w:val="21"/>
                      <w:szCs w:val="21"/>
                      <w:lang w:val="en-US" w:eastAsia="zh-CN"/>
                    </w:rPr>
                    <w:t>内</w:t>
                  </w:r>
                  <w:r>
                    <w:rPr>
                      <w:spacing w:val="-11"/>
                      <w:sz w:val="21"/>
                      <w:szCs w:val="21"/>
                    </w:rPr>
                    <w:t>科</w:t>
                  </w:r>
                </w:p>
              </w:tc>
              <w:tc>
                <w:tcPr>
                  <w:tcW w:w="973" w:type="pct"/>
                  <w:noWrap w:val="0"/>
                  <w:vAlign w:val="center"/>
                </w:tcPr>
                <w:p w14:paraId="281A05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noWrap w:val="0"/>
                  <w:vAlign w:val="center"/>
                </w:tcPr>
                <w:p w14:paraId="530BDD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774" w:type="pct"/>
                  <w:noWrap w:val="0"/>
                  <w:vAlign w:val="center"/>
                </w:tcPr>
                <w:p w14:paraId="2F400C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r>
            <w:tr w14:paraId="5DD619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49455F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640EAC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25E4BE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rFonts w:hint="eastAsia"/>
                      <w:color w:val="000000"/>
                      <w:sz w:val="21"/>
                      <w:szCs w:val="21"/>
                      <w:lang w:val="en-US" w:eastAsia="zh-CN"/>
                    </w:rPr>
                    <w:t>神经内科</w:t>
                  </w:r>
                </w:p>
              </w:tc>
              <w:tc>
                <w:tcPr>
                  <w:tcW w:w="973" w:type="pct"/>
                  <w:noWrap w:val="0"/>
                  <w:vAlign w:val="center"/>
                </w:tcPr>
                <w:p w14:paraId="6FFF4F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noWrap w:val="0"/>
                  <w:vAlign w:val="center"/>
                </w:tcPr>
                <w:p w14:paraId="7CD9EE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774" w:type="pct"/>
                  <w:noWrap w:val="0"/>
                  <w:vAlign w:val="center"/>
                </w:tcPr>
                <w:p w14:paraId="50951E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r>
            <w:tr w14:paraId="13D67E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4842FC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2016C5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7023AE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spacing w:val="-11"/>
                      <w:sz w:val="21"/>
                      <w:szCs w:val="21"/>
                      <w:lang w:eastAsia="zh-CN"/>
                    </w:rPr>
                  </w:pPr>
                  <w:r>
                    <w:rPr>
                      <w:rFonts w:hint="eastAsia"/>
                      <w:spacing w:val="-11"/>
                      <w:sz w:val="21"/>
                      <w:szCs w:val="21"/>
                      <w:lang w:val="en-US" w:eastAsia="zh-CN"/>
                    </w:rPr>
                    <w:t>手术部</w:t>
                  </w:r>
                </w:p>
              </w:tc>
              <w:tc>
                <w:tcPr>
                  <w:tcW w:w="973" w:type="pct"/>
                  <w:noWrap w:val="0"/>
                  <w:vAlign w:val="center"/>
                </w:tcPr>
                <w:p w14:paraId="24136F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w:t>
                  </w:r>
                </w:p>
              </w:tc>
              <w:tc>
                <w:tcPr>
                  <w:tcW w:w="937" w:type="pct"/>
                  <w:noWrap w:val="0"/>
                  <w:vAlign w:val="center"/>
                </w:tcPr>
                <w:p w14:paraId="5A0685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1人</w:t>
                  </w:r>
                </w:p>
              </w:tc>
              <w:tc>
                <w:tcPr>
                  <w:tcW w:w="774" w:type="pct"/>
                  <w:noWrap w:val="0"/>
                  <w:vAlign w:val="center"/>
                </w:tcPr>
                <w:p w14:paraId="02F591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1人</w:t>
                  </w:r>
                </w:p>
              </w:tc>
            </w:tr>
            <w:tr w14:paraId="5D56B7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restart"/>
                  <w:shd w:val="clear" w:color="auto" w:fill="auto"/>
                  <w:noWrap w:val="0"/>
                  <w:vAlign w:val="center"/>
                </w:tcPr>
                <w:p w14:paraId="2110EE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DSA手术室（</w:t>
                  </w:r>
                  <w:r>
                    <w:rPr>
                      <w:rFonts w:hint="eastAsia"/>
                      <w:spacing w:val="-11"/>
                      <w:sz w:val="21"/>
                      <w:szCs w:val="21"/>
                      <w:lang w:val="en-US" w:eastAsia="zh-CN"/>
                    </w:rPr>
                    <w:t>OR10</w:t>
                  </w:r>
                  <w:r>
                    <w:rPr>
                      <w:spacing w:val="-11"/>
                      <w:sz w:val="21"/>
                      <w:szCs w:val="21"/>
                    </w:rPr>
                    <w:t>）</w:t>
                  </w:r>
                </w:p>
              </w:tc>
              <w:tc>
                <w:tcPr>
                  <w:tcW w:w="494" w:type="pct"/>
                  <w:vMerge w:val="restart"/>
                  <w:shd w:val="clear" w:color="auto" w:fill="auto"/>
                  <w:noWrap w:val="0"/>
                  <w:vAlign w:val="center"/>
                </w:tcPr>
                <w:p w14:paraId="705CFC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DSA</w:t>
                  </w:r>
                </w:p>
              </w:tc>
              <w:tc>
                <w:tcPr>
                  <w:tcW w:w="1096" w:type="pct"/>
                  <w:shd w:val="clear" w:color="auto" w:fill="auto"/>
                  <w:noWrap w:val="0"/>
                  <w:vAlign w:val="center"/>
                </w:tcPr>
                <w:p w14:paraId="3F1004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肝胆外科</w:t>
                  </w:r>
                </w:p>
              </w:tc>
              <w:tc>
                <w:tcPr>
                  <w:tcW w:w="973" w:type="pct"/>
                  <w:shd w:val="clear" w:color="auto" w:fill="auto"/>
                  <w:noWrap w:val="0"/>
                  <w:vAlign w:val="center"/>
                </w:tcPr>
                <w:p w14:paraId="711E55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2人（1组）</w:t>
                  </w:r>
                </w:p>
              </w:tc>
              <w:tc>
                <w:tcPr>
                  <w:tcW w:w="937" w:type="pct"/>
                  <w:shd w:val="clear" w:color="auto" w:fill="auto"/>
                  <w:noWrap w:val="0"/>
                  <w:vAlign w:val="center"/>
                </w:tcPr>
                <w:p w14:paraId="53B1E4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c>
                <w:tcPr>
                  <w:tcW w:w="774" w:type="pct"/>
                  <w:shd w:val="clear" w:color="auto" w:fill="auto"/>
                  <w:noWrap w:val="0"/>
                  <w:vAlign w:val="center"/>
                </w:tcPr>
                <w:p w14:paraId="54C984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r>
            <w:tr w14:paraId="2EFCA9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3CA6AD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1645E1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shd w:val="clear" w:color="auto" w:fill="auto"/>
                  <w:noWrap w:val="0"/>
                  <w:vAlign w:val="center"/>
                </w:tcPr>
                <w:p w14:paraId="62C23C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呼吸内科</w:t>
                  </w:r>
                </w:p>
              </w:tc>
              <w:tc>
                <w:tcPr>
                  <w:tcW w:w="973" w:type="pct"/>
                  <w:shd w:val="clear" w:color="auto" w:fill="auto"/>
                  <w:noWrap w:val="0"/>
                  <w:vAlign w:val="center"/>
                </w:tcPr>
                <w:p w14:paraId="27DF81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2人（1组）</w:t>
                  </w:r>
                </w:p>
              </w:tc>
              <w:tc>
                <w:tcPr>
                  <w:tcW w:w="937" w:type="pct"/>
                  <w:shd w:val="clear" w:color="auto" w:fill="auto"/>
                  <w:noWrap w:val="0"/>
                  <w:vAlign w:val="center"/>
                </w:tcPr>
                <w:p w14:paraId="1D6933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c>
                <w:tcPr>
                  <w:tcW w:w="774" w:type="pct"/>
                  <w:shd w:val="clear" w:color="auto" w:fill="auto"/>
                  <w:noWrap w:val="0"/>
                  <w:vAlign w:val="center"/>
                </w:tcPr>
                <w:p w14:paraId="7FB15C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r>
            <w:tr w14:paraId="2B80EE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5B8712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49CE52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shd w:val="clear" w:color="auto" w:fill="auto"/>
                  <w:noWrap w:val="0"/>
                  <w:vAlign w:val="center"/>
                </w:tcPr>
                <w:p w14:paraId="403074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spacing w:val="-11"/>
                      <w:sz w:val="21"/>
                      <w:szCs w:val="21"/>
                      <w:lang w:val="en-US" w:eastAsia="zh-CN"/>
                    </w:rPr>
                  </w:pPr>
                  <w:r>
                    <w:rPr>
                      <w:rFonts w:hint="eastAsia"/>
                      <w:spacing w:val="-11"/>
                      <w:sz w:val="21"/>
                      <w:szCs w:val="21"/>
                      <w:lang w:val="en-US" w:eastAsia="zh-CN"/>
                    </w:rPr>
                    <w:t>血管外科</w:t>
                  </w:r>
                </w:p>
              </w:tc>
              <w:tc>
                <w:tcPr>
                  <w:tcW w:w="973" w:type="pct"/>
                  <w:shd w:val="clear" w:color="auto" w:fill="auto"/>
                  <w:noWrap w:val="0"/>
                  <w:vAlign w:val="center"/>
                </w:tcPr>
                <w:p w14:paraId="72E35F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shd w:val="clear" w:color="auto" w:fill="auto"/>
                  <w:noWrap w:val="0"/>
                  <w:vAlign w:val="center"/>
                </w:tcPr>
                <w:p w14:paraId="20CC8D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774" w:type="pct"/>
                  <w:shd w:val="clear" w:color="auto" w:fill="auto"/>
                  <w:noWrap w:val="0"/>
                  <w:vAlign w:val="center"/>
                </w:tcPr>
                <w:p w14:paraId="5CD41A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r>
            <w:tr w14:paraId="66E452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5D44E8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315B2F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shd w:val="clear" w:color="auto" w:fill="auto"/>
                  <w:noWrap w:val="0"/>
                  <w:vAlign w:val="center"/>
                </w:tcPr>
                <w:p w14:paraId="5BDC01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手术部</w:t>
                  </w:r>
                </w:p>
              </w:tc>
              <w:tc>
                <w:tcPr>
                  <w:tcW w:w="973" w:type="pct"/>
                  <w:shd w:val="clear" w:color="auto" w:fill="auto"/>
                  <w:noWrap w:val="0"/>
                  <w:vAlign w:val="center"/>
                </w:tcPr>
                <w:p w14:paraId="7F19DE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c>
                <w:tcPr>
                  <w:tcW w:w="937" w:type="pct"/>
                  <w:shd w:val="clear" w:color="auto" w:fill="auto"/>
                  <w:noWrap w:val="0"/>
                  <w:vAlign w:val="center"/>
                </w:tcPr>
                <w:p w14:paraId="662D57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1人</w:t>
                  </w:r>
                </w:p>
              </w:tc>
              <w:tc>
                <w:tcPr>
                  <w:tcW w:w="774" w:type="pct"/>
                  <w:shd w:val="clear" w:color="auto" w:fill="auto"/>
                  <w:noWrap w:val="0"/>
                  <w:vAlign w:val="center"/>
                </w:tcPr>
                <w:p w14:paraId="64D14D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1人</w:t>
                  </w:r>
                </w:p>
              </w:tc>
            </w:tr>
            <w:tr w14:paraId="0CA1EA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restart"/>
                  <w:shd w:val="clear" w:color="auto" w:fill="auto"/>
                  <w:noWrap w:val="0"/>
                  <w:vAlign w:val="center"/>
                </w:tcPr>
                <w:p w14:paraId="6F8346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DSA手术室（</w:t>
                  </w:r>
                  <w:r>
                    <w:rPr>
                      <w:rFonts w:hint="eastAsia"/>
                      <w:spacing w:val="-11"/>
                      <w:sz w:val="21"/>
                      <w:szCs w:val="21"/>
                      <w:lang w:val="en-US" w:eastAsia="zh-CN"/>
                    </w:rPr>
                    <w:t>OR11</w:t>
                  </w:r>
                  <w:r>
                    <w:rPr>
                      <w:spacing w:val="-11"/>
                      <w:sz w:val="21"/>
                      <w:szCs w:val="21"/>
                    </w:rPr>
                    <w:t>）</w:t>
                  </w:r>
                </w:p>
              </w:tc>
              <w:tc>
                <w:tcPr>
                  <w:tcW w:w="494" w:type="pct"/>
                  <w:vMerge w:val="restart"/>
                  <w:shd w:val="clear" w:color="auto" w:fill="auto"/>
                  <w:noWrap w:val="0"/>
                  <w:vAlign w:val="center"/>
                </w:tcPr>
                <w:p w14:paraId="0BEC2B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DSA</w:t>
                  </w:r>
                </w:p>
              </w:tc>
              <w:tc>
                <w:tcPr>
                  <w:tcW w:w="1096" w:type="pct"/>
                  <w:shd w:val="clear" w:color="auto" w:fill="auto"/>
                  <w:noWrap w:val="0"/>
                  <w:vAlign w:val="center"/>
                </w:tcPr>
                <w:p w14:paraId="540B43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泌尿外科</w:t>
                  </w:r>
                </w:p>
              </w:tc>
              <w:tc>
                <w:tcPr>
                  <w:tcW w:w="973" w:type="pct"/>
                  <w:shd w:val="clear" w:color="auto" w:fill="auto"/>
                  <w:noWrap w:val="0"/>
                  <w:vAlign w:val="center"/>
                </w:tcPr>
                <w:p w14:paraId="047CA7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2人（1组）</w:t>
                  </w:r>
                </w:p>
              </w:tc>
              <w:tc>
                <w:tcPr>
                  <w:tcW w:w="937" w:type="pct"/>
                  <w:shd w:val="clear" w:color="auto" w:fill="auto"/>
                  <w:noWrap w:val="0"/>
                  <w:vAlign w:val="center"/>
                </w:tcPr>
                <w:p w14:paraId="387DF7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c>
                <w:tcPr>
                  <w:tcW w:w="774" w:type="pct"/>
                  <w:shd w:val="clear" w:color="auto" w:fill="auto"/>
                  <w:noWrap w:val="0"/>
                  <w:vAlign w:val="center"/>
                </w:tcPr>
                <w:p w14:paraId="178D90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r>
            <w:tr w14:paraId="72D433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shd w:val="clear" w:color="auto" w:fill="auto"/>
                  <w:noWrap w:val="0"/>
                  <w:vAlign w:val="center"/>
                </w:tcPr>
                <w:p w14:paraId="59C81E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shd w:val="clear" w:color="auto" w:fill="auto"/>
                  <w:noWrap w:val="0"/>
                  <w:vAlign w:val="center"/>
                </w:tcPr>
                <w:p w14:paraId="1FDF86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shd w:val="clear" w:color="auto" w:fill="auto"/>
                  <w:noWrap w:val="0"/>
                  <w:vAlign w:val="center"/>
                </w:tcPr>
                <w:p w14:paraId="153E6F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spacing w:val="-11"/>
                      <w:sz w:val="21"/>
                      <w:szCs w:val="21"/>
                      <w:lang w:val="en-US" w:eastAsia="zh-CN"/>
                    </w:rPr>
                  </w:pPr>
                  <w:r>
                    <w:rPr>
                      <w:rFonts w:hint="eastAsia"/>
                      <w:spacing w:val="-11"/>
                      <w:sz w:val="21"/>
                      <w:szCs w:val="21"/>
                      <w:lang w:val="en-US" w:eastAsia="zh-CN"/>
                    </w:rPr>
                    <w:t>神经外科</w:t>
                  </w:r>
                </w:p>
              </w:tc>
              <w:tc>
                <w:tcPr>
                  <w:tcW w:w="973" w:type="pct"/>
                  <w:shd w:val="clear" w:color="auto" w:fill="auto"/>
                  <w:noWrap w:val="0"/>
                  <w:vAlign w:val="center"/>
                </w:tcPr>
                <w:p w14:paraId="344BA0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2人（1组）</w:t>
                  </w:r>
                </w:p>
              </w:tc>
              <w:tc>
                <w:tcPr>
                  <w:tcW w:w="937" w:type="pct"/>
                  <w:shd w:val="clear" w:color="auto" w:fill="auto"/>
                  <w:noWrap w:val="0"/>
                  <w:vAlign w:val="center"/>
                </w:tcPr>
                <w:p w14:paraId="13E3A4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774" w:type="pct"/>
                  <w:shd w:val="clear" w:color="auto" w:fill="auto"/>
                  <w:noWrap w:val="0"/>
                  <w:vAlign w:val="center"/>
                </w:tcPr>
                <w:p w14:paraId="666C45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r>
            <w:tr w14:paraId="64803B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1D54EA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6127C8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shd w:val="clear" w:color="auto" w:fill="auto"/>
                  <w:noWrap w:val="0"/>
                  <w:vAlign w:val="center"/>
                </w:tcPr>
                <w:p w14:paraId="2E8446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cs="Times New Roman"/>
                      <w:spacing w:val="-11"/>
                      <w:sz w:val="21"/>
                      <w:szCs w:val="21"/>
                      <w:lang w:val="en-US" w:eastAsia="zh-CN" w:bidi="ar-SA"/>
                    </w:rPr>
                    <w:t>肿瘤科</w:t>
                  </w:r>
                </w:p>
              </w:tc>
              <w:tc>
                <w:tcPr>
                  <w:tcW w:w="973" w:type="pct"/>
                  <w:shd w:val="clear" w:color="auto" w:fill="auto"/>
                  <w:noWrap w:val="0"/>
                  <w:vAlign w:val="center"/>
                </w:tcPr>
                <w:p w14:paraId="0D3B1F8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2人（1组）</w:t>
                  </w:r>
                </w:p>
              </w:tc>
              <w:tc>
                <w:tcPr>
                  <w:tcW w:w="937" w:type="pct"/>
                  <w:shd w:val="clear" w:color="auto" w:fill="auto"/>
                  <w:noWrap w:val="0"/>
                  <w:vAlign w:val="center"/>
                </w:tcPr>
                <w:p w14:paraId="711B44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c>
                <w:tcPr>
                  <w:tcW w:w="774" w:type="pct"/>
                  <w:shd w:val="clear" w:color="auto" w:fill="auto"/>
                  <w:noWrap w:val="0"/>
                  <w:vAlign w:val="center"/>
                </w:tcPr>
                <w:p w14:paraId="6B1873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r>
            <w:tr w14:paraId="695AFB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0FAF96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5F7694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shd w:val="clear" w:color="auto" w:fill="auto"/>
                  <w:noWrap w:val="0"/>
                  <w:vAlign w:val="center"/>
                </w:tcPr>
                <w:p w14:paraId="51B70F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手术部</w:t>
                  </w:r>
                </w:p>
              </w:tc>
              <w:tc>
                <w:tcPr>
                  <w:tcW w:w="973" w:type="pct"/>
                  <w:shd w:val="clear" w:color="auto" w:fill="auto"/>
                  <w:noWrap w:val="0"/>
                  <w:vAlign w:val="center"/>
                </w:tcPr>
                <w:p w14:paraId="6213FE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w:t>
                  </w:r>
                </w:p>
              </w:tc>
              <w:tc>
                <w:tcPr>
                  <w:tcW w:w="937" w:type="pct"/>
                  <w:shd w:val="clear" w:color="auto" w:fill="auto"/>
                  <w:noWrap w:val="0"/>
                  <w:vAlign w:val="center"/>
                </w:tcPr>
                <w:p w14:paraId="2D5F60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1人</w:t>
                  </w:r>
                </w:p>
              </w:tc>
              <w:tc>
                <w:tcPr>
                  <w:tcW w:w="774" w:type="pct"/>
                  <w:shd w:val="clear" w:color="auto" w:fill="auto"/>
                  <w:noWrap w:val="0"/>
                  <w:vAlign w:val="center"/>
                </w:tcPr>
                <w:p w14:paraId="06A955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1人</w:t>
                  </w:r>
                </w:p>
              </w:tc>
            </w:tr>
            <w:tr w14:paraId="28DD54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restart"/>
                  <w:noWrap w:val="0"/>
                  <w:vAlign w:val="center"/>
                </w:tcPr>
                <w:p w14:paraId="6F7286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rFonts w:hint="eastAsia"/>
                      <w:spacing w:val="-11"/>
                      <w:sz w:val="21"/>
                      <w:szCs w:val="21"/>
                      <w:lang w:val="en-US" w:eastAsia="zh-CN"/>
                    </w:rPr>
                    <w:t>ERCP</w:t>
                  </w:r>
                  <w:r>
                    <w:rPr>
                      <w:spacing w:val="-11"/>
                      <w:sz w:val="21"/>
                      <w:szCs w:val="21"/>
                    </w:rPr>
                    <w:t>室</w:t>
                  </w:r>
                </w:p>
              </w:tc>
              <w:tc>
                <w:tcPr>
                  <w:tcW w:w="494" w:type="pct"/>
                  <w:vMerge w:val="restart"/>
                  <w:noWrap w:val="0"/>
                  <w:vAlign w:val="center"/>
                </w:tcPr>
                <w:p w14:paraId="09A0DF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spacing w:val="-11"/>
                      <w:sz w:val="21"/>
                      <w:szCs w:val="21"/>
                      <w:lang w:eastAsia="zh-CN"/>
                    </w:rPr>
                  </w:pPr>
                  <w:r>
                    <w:rPr>
                      <w:rFonts w:hint="eastAsia"/>
                      <w:spacing w:val="-11"/>
                      <w:sz w:val="21"/>
                      <w:szCs w:val="21"/>
                      <w:lang w:val="en-US" w:eastAsia="zh-CN"/>
                    </w:rPr>
                    <w:t>ERCP</w:t>
                  </w:r>
                </w:p>
              </w:tc>
              <w:tc>
                <w:tcPr>
                  <w:tcW w:w="1096" w:type="pct"/>
                  <w:noWrap w:val="0"/>
                  <w:vAlign w:val="center"/>
                </w:tcPr>
                <w:p w14:paraId="20463E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rFonts w:hint="eastAsia"/>
                      <w:spacing w:val="-11"/>
                      <w:sz w:val="21"/>
                      <w:szCs w:val="21"/>
                      <w:highlight w:val="none"/>
                      <w:lang w:val="en-US" w:eastAsia="zh-CN"/>
                    </w:rPr>
                    <w:t>脾胃病</w:t>
                  </w:r>
                  <w:r>
                    <w:rPr>
                      <w:spacing w:val="-11"/>
                      <w:sz w:val="21"/>
                      <w:szCs w:val="21"/>
                      <w:highlight w:val="none"/>
                    </w:rPr>
                    <w:t>科</w:t>
                  </w:r>
                </w:p>
              </w:tc>
              <w:tc>
                <w:tcPr>
                  <w:tcW w:w="973" w:type="pct"/>
                  <w:noWrap w:val="0"/>
                  <w:vAlign w:val="center"/>
                </w:tcPr>
                <w:p w14:paraId="6B08B2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rFonts w:hint="eastAsia"/>
                      <w:spacing w:val="-11"/>
                      <w:sz w:val="21"/>
                      <w:szCs w:val="21"/>
                      <w:highlight w:val="none"/>
                      <w:lang w:val="en-US" w:eastAsia="zh-CN"/>
                    </w:rPr>
                    <w:t>2</w:t>
                  </w:r>
                  <w:r>
                    <w:rPr>
                      <w:spacing w:val="-11"/>
                      <w:sz w:val="21"/>
                      <w:szCs w:val="21"/>
                      <w:highlight w:val="none"/>
                    </w:rPr>
                    <w:t>人（1组）</w:t>
                  </w:r>
                </w:p>
              </w:tc>
              <w:tc>
                <w:tcPr>
                  <w:tcW w:w="937" w:type="pct"/>
                  <w:noWrap w:val="0"/>
                  <w:vAlign w:val="center"/>
                </w:tcPr>
                <w:p w14:paraId="2C37B4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w:t>
                  </w:r>
                </w:p>
              </w:tc>
              <w:tc>
                <w:tcPr>
                  <w:tcW w:w="774" w:type="pct"/>
                  <w:noWrap w:val="0"/>
                  <w:vAlign w:val="center"/>
                </w:tcPr>
                <w:p w14:paraId="191F05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w:t>
                  </w:r>
                </w:p>
              </w:tc>
            </w:tr>
            <w:tr w14:paraId="375061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306E0D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008C19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1B0547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rFonts w:hint="eastAsia"/>
                      <w:spacing w:val="-11"/>
                      <w:sz w:val="21"/>
                      <w:szCs w:val="21"/>
                      <w:highlight w:val="none"/>
                      <w:lang w:val="en-US" w:eastAsia="zh-CN"/>
                    </w:rPr>
                    <w:t>普</w:t>
                  </w:r>
                  <w:r>
                    <w:rPr>
                      <w:spacing w:val="-11"/>
                      <w:sz w:val="21"/>
                      <w:szCs w:val="21"/>
                      <w:highlight w:val="none"/>
                    </w:rPr>
                    <w:t>外科</w:t>
                  </w:r>
                </w:p>
              </w:tc>
              <w:tc>
                <w:tcPr>
                  <w:tcW w:w="973" w:type="pct"/>
                  <w:noWrap w:val="0"/>
                  <w:vAlign w:val="center"/>
                </w:tcPr>
                <w:p w14:paraId="39F915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2人（1组）</w:t>
                  </w:r>
                </w:p>
              </w:tc>
              <w:tc>
                <w:tcPr>
                  <w:tcW w:w="937" w:type="pct"/>
                  <w:noWrap w:val="0"/>
                  <w:vAlign w:val="center"/>
                </w:tcPr>
                <w:p w14:paraId="2AD1F1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w:t>
                  </w:r>
                </w:p>
              </w:tc>
              <w:tc>
                <w:tcPr>
                  <w:tcW w:w="774" w:type="pct"/>
                  <w:noWrap w:val="0"/>
                  <w:vAlign w:val="center"/>
                </w:tcPr>
                <w:p w14:paraId="0BA48D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w:t>
                  </w:r>
                </w:p>
              </w:tc>
            </w:tr>
            <w:tr w14:paraId="1F7080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pct"/>
                  <w:vMerge w:val="continue"/>
                  <w:noWrap w:val="0"/>
                  <w:vAlign w:val="center"/>
                </w:tcPr>
                <w:p w14:paraId="550F78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494" w:type="pct"/>
                  <w:vMerge w:val="continue"/>
                  <w:noWrap w:val="0"/>
                  <w:vAlign w:val="center"/>
                </w:tcPr>
                <w:p w14:paraId="140533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p>
              </w:tc>
              <w:tc>
                <w:tcPr>
                  <w:tcW w:w="1096" w:type="pct"/>
                  <w:noWrap w:val="0"/>
                  <w:vAlign w:val="center"/>
                </w:tcPr>
                <w:p w14:paraId="0445DE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spacing w:val="-11"/>
                      <w:sz w:val="21"/>
                      <w:szCs w:val="21"/>
                      <w:highlight w:val="none"/>
                      <w:lang w:val="en-US" w:eastAsia="zh-CN"/>
                    </w:rPr>
                  </w:pPr>
                  <w:r>
                    <w:rPr>
                      <w:rFonts w:hint="eastAsia"/>
                      <w:spacing w:val="-11"/>
                      <w:sz w:val="21"/>
                      <w:szCs w:val="21"/>
                      <w:highlight w:val="none"/>
                      <w:lang w:val="en-US" w:eastAsia="zh-CN"/>
                    </w:rPr>
                    <w:t>内镜中心</w:t>
                  </w:r>
                </w:p>
              </w:tc>
              <w:tc>
                <w:tcPr>
                  <w:tcW w:w="973" w:type="pct"/>
                  <w:noWrap w:val="0"/>
                  <w:vAlign w:val="center"/>
                </w:tcPr>
                <w:p w14:paraId="32429D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w:t>
                  </w:r>
                </w:p>
              </w:tc>
              <w:tc>
                <w:tcPr>
                  <w:tcW w:w="937" w:type="pct"/>
                  <w:noWrap w:val="0"/>
                  <w:vAlign w:val="center"/>
                </w:tcPr>
                <w:p w14:paraId="7DAEEE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1人</w:t>
                  </w:r>
                </w:p>
              </w:tc>
              <w:tc>
                <w:tcPr>
                  <w:tcW w:w="774" w:type="pct"/>
                  <w:noWrap w:val="0"/>
                  <w:vAlign w:val="center"/>
                </w:tcPr>
                <w:p w14:paraId="177DAA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highlight w:val="none"/>
                    </w:rPr>
                  </w:pPr>
                  <w:r>
                    <w:rPr>
                      <w:spacing w:val="-11"/>
                      <w:sz w:val="21"/>
                      <w:szCs w:val="21"/>
                      <w:highlight w:val="none"/>
                    </w:rPr>
                    <w:t>1人</w:t>
                  </w:r>
                </w:p>
              </w:tc>
            </w:tr>
            <w:tr w14:paraId="701711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5" w:type="pct"/>
                  <w:gridSpan w:val="3"/>
                  <w:noWrap w:val="0"/>
                  <w:vAlign w:val="center"/>
                </w:tcPr>
                <w:p w14:paraId="0FAB8D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spacing w:val="-11"/>
                      <w:sz w:val="21"/>
                      <w:szCs w:val="21"/>
                      <w:lang w:val="en-US" w:eastAsia="zh-CN"/>
                    </w:rPr>
                  </w:pPr>
                  <w:r>
                    <w:rPr>
                      <w:rFonts w:hint="eastAsia"/>
                      <w:spacing w:val="-11"/>
                      <w:sz w:val="21"/>
                      <w:szCs w:val="21"/>
                      <w:lang w:val="en-US" w:eastAsia="zh-CN"/>
                    </w:rPr>
                    <w:t>合计</w:t>
                  </w:r>
                </w:p>
              </w:tc>
              <w:tc>
                <w:tcPr>
                  <w:tcW w:w="2684" w:type="pct"/>
                  <w:gridSpan w:val="3"/>
                  <w:noWrap w:val="0"/>
                  <w:vAlign w:val="center"/>
                </w:tcPr>
                <w:p w14:paraId="59E7D5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宋体"/>
                      <w:spacing w:val="-11"/>
                      <w:sz w:val="21"/>
                      <w:szCs w:val="21"/>
                      <w:lang w:val="en-US" w:eastAsia="zh-CN"/>
                    </w:rPr>
                  </w:pPr>
                  <w:r>
                    <w:rPr>
                      <w:rFonts w:hint="eastAsia"/>
                      <w:spacing w:val="-11"/>
                      <w:sz w:val="21"/>
                      <w:szCs w:val="21"/>
                      <w:lang w:val="en-US" w:eastAsia="zh-CN"/>
                    </w:rPr>
                    <w:t>41人</w:t>
                  </w:r>
                </w:p>
              </w:tc>
            </w:tr>
          </w:tbl>
          <w:p w14:paraId="23A68EEE">
            <w:pPr>
              <w:ind w:firstLine="482"/>
              <w:rPr>
                <w:rFonts w:hint="default"/>
                <w:b/>
                <w:bCs/>
                <w:lang w:val="en-US" w:eastAsia="zh-CN"/>
              </w:rPr>
            </w:pPr>
            <w:r>
              <w:rPr>
                <w:rFonts w:hint="eastAsia"/>
                <w:b/>
                <w:bCs/>
                <w:lang w:val="en-US" w:eastAsia="zh-CN"/>
              </w:rPr>
              <w:t>2、工作量统计</w:t>
            </w:r>
          </w:p>
          <w:p w14:paraId="3E814C13">
            <w:pPr>
              <w:ind w:firstLine="480"/>
              <w:rPr>
                <w:rFonts w:hint="default"/>
                <w:lang w:val="en-US" w:eastAsia="zh-CN" w:bidi="ar"/>
              </w:rPr>
            </w:pPr>
            <w:bookmarkStart w:id="6" w:name="_Hlk191629288"/>
            <w:r>
              <w:rPr>
                <w:rFonts w:hint="eastAsia"/>
                <w:lang w:val="en-US" w:eastAsia="zh-CN" w:bidi="ar"/>
              </w:rPr>
              <w:t>门诊医技楼负一层核医学科工作量详见前文表1-1以及后文人员受照剂量分析估算过程。此处主要分析四层手术部和内镜中心</w:t>
            </w:r>
            <w:r>
              <w:rPr>
                <w:rFonts w:hint="default" w:ascii="Times New Roman" w:hAnsi="Times New Roman" w:cs="Times New Roman"/>
                <w:lang w:val="en-US" w:eastAsia="zh-CN" w:bidi="ar"/>
              </w:rPr>
              <w:t>Ⅱ</w:t>
            </w:r>
            <w:r>
              <w:rPr>
                <w:rFonts w:hint="eastAsia"/>
                <w:lang w:val="en-US" w:eastAsia="zh-CN" w:bidi="ar"/>
              </w:rPr>
              <w:t>类射线装置工作使用情况。</w:t>
            </w:r>
          </w:p>
          <w:p w14:paraId="4C3216B8">
            <w:pPr>
              <w:jc w:val="center"/>
              <w:rPr>
                <w:rFonts w:eastAsia="黑体"/>
                <w:color w:val="auto"/>
                <w:szCs w:val="21"/>
                <w:highlight w:val="none"/>
              </w:rPr>
            </w:pPr>
            <w:r>
              <w:rPr>
                <w:rFonts w:eastAsia="黑体"/>
                <w:color w:val="auto"/>
                <w:szCs w:val="21"/>
                <w:highlight w:val="none"/>
              </w:rPr>
              <w:t>表1-</w:t>
            </w:r>
            <w:r>
              <w:rPr>
                <w:rFonts w:hint="eastAsia" w:eastAsia="黑体"/>
                <w:color w:val="auto"/>
                <w:szCs w:val="21"/>
                <w:highlight w:val="none"/>
                <w:lang w:val="en-US" w:eastAsia="zh-CN"/>
              </w:rPr>
              <w:t>15</w:t>
            </w:r>
            <w:r>
              <w:rPr>
                <w:rFonts w:eastAsia="黑体"/>
                <w:color w:val="auto"/>
                <w:szCs w:val="21"/>
                <w:highlight w:val="none"/>
              </w:rPr>
              <w:t xml:space="preserve">  本项目</w:t>
            </w:r>
            <w:r>
              <w:rPr>
                <w:rFonts w:hint="eastAsia" w:eastAsia="黑体"/>
                <w:color w:val="auto"/>
                <w:szCs w:val="21"/>
                <w:highlight w:val="none"/>
              </w:rPr>
              <w:t>Ⅱ类射线装置</w:t>
            </w:r>
            <w:r>
              <w:rPr>
                <w:rFonts w:eastAsia="黑体"/>
                <w:color w:val="auto"/>
                <w:szCs w:val="21"/>
                <w:highlight w:val="none"/>
              </w:rPr>
              <w:t>使用情况一览表</w:t>
            </w:r>
          </w:p>
          <w:bookmarkEnd w:id="6"/>
          <w:tbl>
            <w:tblPr>
              <w:tblStyle w:val="57"/>
              <w:tblW w:w="5065"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50"/>
              <w:gridCol w:w="20"/>
              <w:gridCol w:w="825"/>
              <w:gridCol w:w="102"/>
              <w:gridCol w:w="1289"/>
              <w:gridCol w:w="143"/>
              <w:gridCol w:w="1079"/>
              <w:gridCol w:w="722"/>
              <w:gridCol w:w="407"/>
              <w:gridCol w:w="443"/>
              <w:gridCol w:w="858"/>
              <w:gridCol w:w="848"/>
              <w:gridCol w:w="729"/>
            </w:tblGrid>
            <w:tr w14:paraId="38EED2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0" w:type="pct"/>
                  <w:gridSpan w:val="13"/>
                  <w:noWrap w:val="0"/>
                  <w:vAlign w:val="center"/>
                </w:tcPr>
                <w:p w14:paraId="44A6A6D1">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射线装置使用情况</w:t>
                  </w:r>
                </w:p>
              </w:tc>
            </w:tr>
            <w:tr w14:paraId="04195B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vMerge w:val="restart"/>
                  <w:noWrap w:val="0"/>
                  <w:vAlign w:val="center"/>
                </w:tcPr>
                <w:p w14:paraId="1550C74D">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使用场所</w:t>
                  </w:r>
                </w:p>
              </w:tc>
              <w:tc>
                <w:tcPr>
                  <w:tcW w:w="491" w:type="pct"/>
                  <w:gridSpan w:val="2"/>
                  <w:vMerge w:val="restart"/>
                  <w:noWrap w:val="0"/>
                  <w:vAlign w:val="center"/>
                </w:tcPr>
                <w:p w14:paraId="71BB2A08">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设备</w:t>
                  </w:r>
                </w:p>
              </w:tc>
              <w:tc>
                <w:tcPr>
                  <w:tcW w:w="807" w:type="pct"/>
                  <w:gridSpan w:val="2"/>
                  <w:vMerge w:val="restart"/>
                  <w:noWrap w:val="0"/>
                  <w:vAlign w:val="center"/>
                </w:tcPr>
                <w:p w14:paraId="3A2D8993">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曝光方向</w:t>
                  </w:r>
                </w:p>
              </w:tc>
              <w:tc>
                <w:tcPr>
                  <w:tcW w:w="1128" w:type="pct"/>
                  <w:gridSpan w:val="3"/>
                  <w:vMerge w:val="restart"/>
                  <w:noWrap w:val="0"/>
                  <w:vAlign w:val="center"/>
                </w:tcPr>
                <w:p w14:paraId="6B7807CD">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使用科室</w:t>
                  </w:r>
                </w:p>
              </w:tc>
              <w:tc>
                <w:tcPr>
                  <w:tcW w:w="990" w:type="pct"/>
                  <w:gridSpan w:val="3"/>
                  <w:noWrap w:val="0"/>
                  <w:vAlign w:val="center"/>
                </w:tcPr>
                <w:p w14:paraId="732A4721">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拍片常用最大工况</w:t>
                  </w:r>
                </w:p>
              </w:tc>
              <w:tc>
                <w:tcPr>
                  <w:tcW w:w="914" w:type="pct"/>
                  <w:gridSpan w:val="2"/>
                  <w:noWrap w:val="0"/>
                  <w:vAlign w:val="center"/>
                </w:tcPr>
                <w:p w14:paraId="21FB755D">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透视常用最大工况</w:t>
                  </w:r>
                </w:p>
              </w:tc>
            </w:tr>
            <w:tr w14:paraId="705D4F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vMerge w:val="continue"/>
                  <w:noWrap w:val="0"/>
                  <w:vAlign w:val="center"/>
                </w:tcPr>
                <w:p w14:paraId="58952B64">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491" w:type="pct"/>
                  <w:gridSpan w:val="2"/>
                  <w:vMerge w:val="continue"/>
                  <w:noWrap w:val="0"/>
                  <w:vAlign w:val="center"/>
                </w:tcPr>
                <w:p w14:paraId="00DF7CD7">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807" w:type="pct"/>
                  <w:gridSpan w:val="2"/>
                  <w:vMerge w:val="continue"/>
                  <w:noWrap w:val="0"/>
                  <w:vAlign w:val="center"/>
                </w:tcPr>
                <w:p w14:paraId="5F48BFAD">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1128" w:type="pct"/>
                  <w:gridSpan w:val="3"/>
                  <w:vMerge w:val="continue"/>
                  <w:noWrap w:val="0"/>
                  <w:vAlign w:val="center"/>
                </w:tcPr>
                <w:p w14:paraId="60C6538D">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493" w:type="pct"/>
                  <w:gridSpan w:val="2"/>
                  <w:noWrap w:val="0"/>
                  <w:vAlign w:val="center"/>
                </w:tcPr>
                <w:p w14:paraId="177FB69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管电压</w:t>
                  </w:r>
                </w:p>
              </w:tc>
              <w:tc>
                <w:tcPr>
                  <w:tcW w:w="496" w:type="pct"/>
                  <w:noWrap w:val="0"/>
                  <w:vAlign w:val="center"/>
                </w:tcPr>
                <w:p w14:paraId="372C2B0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管电流</w:t>
                  </w:r>
                </w:p>
              </w:tc>
              <w:tc>
                <w:tcPr>
                  <w:tcW w:w="492" w:type="pct"/>
                  <w:noWrap w:val="0"/>
                  <w:vAlign w:val="center"/>
                </w:tcPr>
                <w:p w14:paraId="2513E00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管电压</w:t>
                  </w:r>
                </w:p>
              </w:tc>
              <w:tc>
                <w:tcPr>
                  <w:tcW w:w="421" w:type="pct"/>
                  <w:noWrap w:val="0"/>
                  <w:vAlign w:val="center"/>
                </w:tcPr>
                <w:p w14:paraId="482B1B9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管电流</w:t>
                  </w:r>
                </w:p>
              </w:tc>
            </w:tr>
            <w:tr w14:paraId="473107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vMerge w:val="restart"/>
                  <w:noWrap w:val="0"/>
                  <w:vAlign w:val="center"/>
                </w:tcPr>
                <w:p w14:paraId="6638DAC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r>
                    <w:rPr>
                      <w:rFonts w:hint="eastAsia"/>
                      <w:spacing w:val="-11"/>
                      <w:sz w:val="21"/>
                      <w:szCs w:val="21"/>
                      <w:lang w:val="en-US" w:eastAsia="zh-CN"/>
                    </w:rPr>
                    <w:t>+</w:t>
                  </w:r>
                  <w:r>
                    <w:rPr>
                      <w:spacing w:val="-11"/>
                      <w:sz w:val="21"/>
                      <w:szCs w:val="21"/>
                    </w:rPr>
                    <w:t>CT复合手术室</w:t>
                  </w:r>
                </w:p>
              </w:tc>
              <w:tc>
                <w:tcPr>
                  <w:tcW w:w="491" w:type="pct"/>
                  <w:gridSpan w:val="2"/>
                  <w:noWrap w:val="0"/>
                  <w:vAlign w:val="center"/>
                </w:tcPr>
                <w:p w14:paraId="1002947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07" w:type="pct"/>
                  <w:gridSpan w:val="2"/>
                  <w:noWrap w:val="0"/>
                  <w:vAlign w:val="center"/>
                </w:tcPr>
                <w:p w14:paraId="62C960C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由下往上</w:t>
                  </w:r>
                </w:p>
              </w:tc>
              <w:tc>
                <w:tcPr>
                  <w:tcW w:w="1128" w:type="pct"/>
                  <w:gridSpan w:val="3"/>
                  <w:vMerge w:val="restart"/>
                  <w:noWrap w:val="0"/>
                  <w:vAlign w:val="center"/>
                </w:tcPr>
                <w:p w14:paraId="406477A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心胸外科</w:t>
                  </w:r>
                  <w:r>
                    <w:rPr>
                      <w:rFonts w:hint="eastAsia"/>
                      <w:spacing w:val="-11"/>
                      <w:sz w:val="21"/>
                      <w:szCs w:val="21"/>
                      <w:lang w:eastAsia="zh-CN"/>
                    </w:rPr>
                    <w:t>、</w:t>
                  </w:r>
                  <w:r>
                    <w:rPr>
                      <w:rFonts w:hint="eastAsia"/>
                      <w:spacing w:val="-11"/>
                      <w:sz w:val="21"/>
                      <w:szCs w:val="21"/>
                    </w:rPr>
                    <w:t>血管外科</w:t>
                  </w:r>
                  <w:r>
                    <w:rPr>
                      <w:rFonts w:hint="eastAsia"/>
                      <w:spacing w:val="-11"/>
                      <w:sz w:val="21"/>
                      <w:szCs w:val="21"/>
                      <w:lang w:eastAsia="zh-CN"/>
                    </w:rPr>
                    <w:t>、</w:t>
                  </w:r>
                  <w:r>
                    <w:rPr>
                      <w:rFonts w:hint="eastAsia"/>
                      <w:spacing w:val="-11"/>
                      <w:sz w:val="21"/>
                      <w:szCs w:val="21"/>
                    </w:rPr>
                    <w:t>神经外科</w:t>
                  </w:r>
                  <w:r>
                    <w:rPr>
                      <w:rFonts w:hint="eastAsia"/>
                      <w:spacing w:val="-11"/>
                      <w:sz w:val="21"/>
                      <w:szCs w:val="21"/>
                      <w:lang w:eastAsia="zh-CN"/>
                    </w:rPr>
                    <w:t>、</w:t>
                  </w:r>
                  <w:r>
                    <w:rPr>
                      <w:rFonts w:hint="eastAsia"/>
                      <w:spacing w:val="-11"/>
                      <w:sz w:val="21"/>
                      <w:szCs w:val="21"/>
                    </w:rPr>
                    <w:t>肝胆外科</w:t>
                  </w:r>
                </w:p>
              </w:tc>
              <w:tc>
                <w:tcPr>
                  <w:tcW w:w="493" w:type="pct"/>
                  <w:gridSpan w:val="2"/>
                  <w:noWrap w:val="0"/>
                  <w:vAlign w:val="center"/>
                </w:tcPr>
                <w:p w14:paraId="5E11782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85kV</w:t>
                  </w:r>
                </w:p>
              </w:tc>
              <w:tc>
                <w:tcPr>
                  <w:tcW w:w="496" w:type="pct"/>
                  <w:noWrap w:val="0"/>
                  <w:vAlign w:val="center"/>
                </w:tcPr>
                <w:p w14:paraId="30A5EC58">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550mA</w:t>
                  </w:r>
                </w:p>
              </w:tc>
              <w:tc>
                <w:tcPr>
                  <w:tcW w:w="492" w:type="pct"/>
                  <w:noWrap w:val="0"/>
                  <w:vAlign w:val="center"/>
                </w:tcPr>
                <w:p w14:paraId="538009C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75kV</w:t>
                  </w:r>
                </w:p>
              </w:tc>
              <w:tc>
                <w:tcPr>
                  <w:tcW w:w="421" w:type="pct"/>
                  <w:noWrap w:val="0"/>
                  <w:vAlign w:val="center"/>
                </w:tcPr>
                <w:p w14:paraId="29DC0C2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12mA</w:t>
                  </w:r>
                </w:p>
              </w:tc>
            </w:tr>
            <w:tr w14:paraId="16FDA3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vMerge w:val="continue"/>
                  <w:noWrap w:val="0"/>
                  <w:vAlign w:val="center"/>
                </w:tcPr>
                <w:p w14:paraId="7E7AC45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491" w:type="pct"/>
                  <w:gridSpan w:val="2"/>
                  <w:noWrap w:val="0"/>
                  <w:vAlign w:val="center"/>
                </w:tcPr>
                <w:p w14:paraId="56D3321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CT</w:t>
                  </w:r>
                </w:p>
              </w:tc>
              <w:tc>
                <w:tcPr>
                  <w:tcW w:w="807" w:type="pct"/>
                  <w:gridSpan w:val="2"/>
                  <w:noWrap w:val="0"/>
                  <w:vAlign w:val="center"/>
                </w:tcPr>
                <w:p w14:paraId="6469C242">
                  <w:pPr>
                    <w:keepNext w:val="0"/>
                    <w:keepLines w:val="0"/>
                    <w:pageBreakBefore w:val="0"/>
                    <w:kinsoku/>
                    <w:wordWrap/>
                    <w:overflowPunct/>
                    <w:topLinePunct w:val="0"/>
                    <w:autoSpaceDE/>
                    <w:autoSpaceDN/>
                    <w:bidi w:val="0"/>
                    <w:adjustRightInd/>
                    <w:snapToGrid/>
                    <w:spacing w:line="360" w:lineRule="exact"/>
                    <w:jc w:val="center"/>
                    <w:rPr>
                      <w:rFonts w:hint="default" w:eastAsia="宋体"/>
                      <w:spacing w:val="-11"/>
                      <w:sz w:val="21"/>
                      <w:szCs w:val="21"/>
                      <w:lang w:val="en-US" w:eastAsia="zh-CN"/>
                    </w:rPr>
                  </w:pPr>
                  <w:r>
                    <w:rPr>
                      <w:rFonts w:hint="eastAsia"/>
                      <w:spacing w:val="-11"/>
                      <w:sz w:val="21"/>
                      <w:szCs w:val="21"/>
                      <w:lang w:val="en-US" w:eastAsia="zh-CN"/>
                    </w:rPr>
                    <w:t>平面周向</w:t>
                  </w:r>
                </w:p>
              </w:tc>
              <w:tc>
                <w:tcPr>
                  <w:tcW w:w="1128" w:type="pct"/>
                  <w:gridSpan w:val="3"/>
                  <w:vMerge w:val="continue"/>
                  <w:noWrap w:val="0"/>
                  <w:vAlign w:val="center"/>
                </w:tcPr>
                <w:p w14:paraId="61828C5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493" w:type="pct"/>
                  <w:gridSpan w:val="2"/>
                  <w:noWrap w:val="0"/>
                  <w:vAlign w:val="center"/>
                </w:tcPr>
                <w:p w14:paraId="4B8529B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120</w:t>
                  </w:r>
                  <w:r>
                    <w:rPr>
                      <w:spacing w:val="-11"/>
                      <w:sz w:val="21"/>
                      <w:szCs w:val="21"/>
                    </w:rPr>
                    <w:t>kV</w:t>
                  </w:r>
                </w:p>
              </w:tc>
              <w:tc>
                <w:tcPr>
                  <w:tcW w:w="496" w:type="pct"/>
                  <w:noWrap w:val="0"/>
                  <w:vAlign w:val="center"/>
                </w:tcPr>
                <w:p w14:paraId="1B5056F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420</w:t>
                  </w:r>
                  <w:r>
                    <w:rPr>
                      <w:spacing w:val="-11"/>
                      <w:sz w:val="21"/>
                      <w:szCs w:val="21"/>
                    </w:rPr>
                    <w:t>mA</w:t>
                  </w:r>
                  <w:r>
                    <w:rPr>
                      <w:rFonts w:hint="eastAsia"/>
                      <w:spacing w:val="-11"/>
                      <w:sz w:val="21"/>
                      <w:szCs w:val="21"/>
                    </w:rPr>
                    <w:t>s</w:t>
                  </w:r>
                </w:p>
              </w:tc>
              <w:tc>
                <w:tcPr>
                  <w:tcW w:w="492" w:type="pct"/>
                  <w:noWrap w:val="0"/>
                  <w:vAlign w:val="center"/>
                </w:tcPr>
                <w:p w14:paraId="3EC6F3A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w:t>
                  </w:r>
                </w:p>
              </w:tc>
              <w:tc>
                <w:tcPr>
                  <w:tcW w:w="421" w:type="pct"/>
                  <w:noWrap w:val="0"/>
                  <w:vAlign w:val="center"/>
                </w:tcPr>
                <w:p w14:paraId="3B3CBA2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w:t>
                  </w:r>
                </w:p>
              </w:tc>
            </w:tr>
            <w:tr w14:paraId="504B00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noWrap w:val="0"/>
                  <w:vAlign w:val="center"/>
                </w:tcPr>
                <w:p w14:paraId="550817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DSA手术室（</w:t>
                  </w:r>
                  <w:r>
                    <w:rPr>
                      <w:rFonts w:hint="eastAsia"/>
                      <w:spacing w:val="-11"/>
                      <w:sz w:val="21"/>
                      <w:szCs w:val="21"/>
                      <w:lang w:val="en-US" w:eastAsia="zh-CN"/>
                    </w:rPr>
                    <w:t>OR09</w:t>
                  </w:r>
                  <w:r>
                    <w:rPr>
                      <w:spacing w:val="-11"/>
                      <w:sz w:val="21"/>
                      <w:szCs w:val="21"/>
                    </w:rPr>
                    <w:t>）</w:t>
                  </w:r>
                </w:p>
              </w:tc>
              <w:tc>
                <w:tcPr>
                  <w:tcW w:w="491" w:type="pct"/>
                  <w:gridSpan w:val="2"/>
                  <w:noWrap w:val="0"/>
                  <w:vAlign w:val="center"/>
                </w:tcPr>
                <w:p w14:paraId="2006E1D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07" w:type="pct"/>
                  <w:gridSpan w:val="2"/>
                  <w:noWrap w:val="0"/>
                  <w:vAlign w:val="center"/>
                </w:tcPr>
                <w:p w14:paraId="1CA7DCB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由下往上</w:t>
                  </w:r>
                </w:p>
              </w:tc>
              <w:tc>
                <w:tcPr>
                  <w:tcW w:w="1128" w:type="pct"/>
                  <w:gridSpan w:val="3"/>
                  <w:noWrap w:val="0"/>
                  <w:vAlign w:val="center"/>
                </w:tcPr>
                <w:p w14:paraId="16173A2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心胸内科</w:t>
                  </w:r>
                  <w:r>
                    <w:rPr>
                      <w:rFonts w:hint="eastAsia"/>
                      <w:spacing w:val="-11"/>
                      <w:sz w:val="21"/>
                      <w:szCs w:val="21"/>
                      <w:lang w:eastAsia="zh-CN"/>
                    </w:rPr>
                    <w:t>、</w:t>
                  </w:r>
                  <w:r>
                    <w:rPr>
                      <w:rFonts w:hint="eastAsia"/>
                      <w:spacing w:val="-11"/>
                      <w:sz w:val="21"/>
                      <w:szCs w:val="21"/>
                    </w:rPr>
                    <w:t>血管内科</w:t>
                  </w:r>
                  <w:r>
                    <w:rPr>
                      <w:rFonts w:hint="eastAsia"/>
                      <w:spacing w:val="-11"/>
                      <w:sz w:val="21"/>
                      <w:szCs w:val="21"/>
                      <w:lang w:eastAsia="zh-CN"/>
                    </w:rPr>
                    <w:t>、</w:t>
                  </w:r>
                  <w:r>
                    <w:rPr>
                      <w:rFonts w:hint="eastAsia"/>
                      <w:spacing w:val="-11"/>
                      <w:sz w:val="21"/>
                      <w:szCs w:val="21"/>
                    </w:rPr>
                    <w:t>神经内科</w:t>
                  </w:r>
                </w:p>
              </w:tc>
              <w:tc>
                <w:tcPr>
                  <w:tcW w:w="493" w:type="pct"/>
                  <w:gridSpan w:val="2"/>
                  <w:noWrap w:val="0"/>
                  <w:vAlign w:val="center"/>
                </w:tcPr>
                <w:p w14:paraId="059599B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85kV</w:t>
                  </w:r>
                </w:p>
              </w:tc>
              <w:tc>
                <w:tcPr>
                  <w:tcW w:w="496" w:type="pct"/>
                  <w:noWrap w:val="0"/>
                  <w:vAlign w:val="center"/>
                </w:tcPr>
                <w:p w14:paraId="5FFE6CA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550mA</w:t>
                  </w:r>
                </w:p>
              </w:tc>
              <w:tc>
                <w:tcPr>
                  <w:tcW w:w="492" w:type="pct"/>
                  <w:noWrap w:val="0"/>
                  <w:vAlign w:val="center"/>
                </w:tcPr>
                <w:p w14:paraId="1CECFAE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75kV</w:t>
                  </w:r>
                </w:p>
              </w:tc>
              <w:tc>
                <w:tcPr>
                  <w:tcW w:w="421" w:type="pct"/>
                  <w:noWrap w:val="0"/>
                  <w:vAlign w:val="center"/>
                </w:tcPr>
                <w:p w14:paraId="3D39528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12mA</w:t>
                  </w:r>
                </w:p>
              </w:tc>
            </w:tr>
            <w:tr w14:paraId="4EC5E5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noWrap w:val="0"/>
                  <w:vAlign w:val="center"/>
                </w:tcPr>
                <w:p w14:paraId="37BE18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DSA手术室（</w:t>
                  </w:r>
                  <w:r>
                    <w:rPr>
                      <w:rFonts w:hint="eastAsia"/>
                      <w:spacing w:val="-11"/>
                      <w:sz w:val="21"/>
                      <w:szCs w:val="21"/>
                      <w:lang w:val="en-US" w:eastAsia="zh-CN"/>
                    </w:rPr>
                    <w:t>OR10</w:t>
                  </w:r>
                  <w:r>
                    <w:rPr>
                      <w:spacing w:val="-11"/>
                      <w:sz w:val="21"/>
                      <w:szCs w:val="21"/>
                    </w:rPr>
                    <w:t>）</w:t>
                  </w:r>
                </w:p>
              </w:tc>
              <w:tc>
                <w:tcPr>
                  <w:tcW w:w="491" w:type="pct"/>
                  <w:gridSpan w:val="2"/>
                  <w:noWrap w:val="0"/>
                  <w:vAlign w:val="center"/>
                </w:tcPr>
                <w:p w14:paraId="7669283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07" w:type="pct"/>
                  <w:gridSpan w:val="2"/>
                  <w:noWrap w:val="0"/>
                  <w:vAlign w:val="center"/>
                </w:tcPr>
                <w:p w14:paraId="17DE68C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由下往上</w:t>
                  </w:r>
                </w:p>
              </w:tc>
              <w:tc>
                <w:tcPr>
                  <w:tcW w:w="1128" w:type="pct"/>
                  <w:gridSpan w:val="3"/>
                  <w:noWrap w:val="0"/>
                  <w:vAlign w:val="center"/>
                </w:tcPr>
                <w:p w14:paraId="0A30D16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肝胆外科</w:t>
                  </w:r>
                  <w:r>
                    <w:rPr>
                      <w:rFonts w:hint="eastAsia"/>
                      <w:spacing w:val="-11"/>
                      <w:sz w:val="21"/>
                      <w:szCs w:val="21"/>
                      <w:lang w:eastAsia="zh-CN"/>
                    </w:rPr>
                    <w:t>、</w:t>
                  </w:r>
                  <w:r>
                    <w:rPr>
                      <w:rFonts w:hint="eastAsia"/>
                      <w:spacing w:val="-11"/>
                      <w:sz w:val="21"/>
                      <w:szCs w:val="21"/>
                    </w:rPr>
                    <w:t>呼吸内科</w:t>
                  </w:r>
                  <w:r>
                    <w:rPr>
                      <w:rFonts w:hint="eastAsia"/>
                      <w:spacing w:val="-11"/>
                      <w:sz w:val="21"/>
                      <w:szCs w:val="21"/>
                      <w:lang w:eastAsia="zh-CN"/>
                    </w:rPr>
                    <w:t>、</w:t>
                  </w:r>
                  <w:r>
                    <w:rPr>
                      <w:rFonts w:hint="eastAsia"/>
                      <w:spacing w:val="-11"/>
                      <w:sz w:val="21"/>
                      <w:szCs w:val="21"/>
                    </w:rPr>
                    <w:t>血管外科</w:t>
                  </w:r>
                </w:p>
              </w:tc>
              <w:tc>
                <w:tcPr>
                  <w:tcW w:w="493" w:type="pct"/>
                  <w:gridSpan w:val="2"/>
                  <w:noWrap w:val="0"/>
                  <w:vAlign w:val="center"/>
                </w:tcPr>
                <w:p w14:paraId="6A69062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85kV</w:t>
                  </w:r>
                </w:p>
              </w:tc>
              <w:tc>
                <w:tcPr>
                  <w:tcW w:w="496" w:type="pct"/>
                  <w:noWrap w:val="0"/>
                  <w:vAlign w:val="center"/>
                </w:tcPr>
                <w:p w14:paraId="08C54AF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550mA</w:t>
                  </w:r>
                </w:p>
              </w:tc>
              <w:tc>
                <w:tcPr>
                  <w:tcW w:w="492" w:type="pct"/>
                  <w:noWrap w:val="0"/>
                  <w:vAlign w:val="center"/>
                </w:tcPr>
                <w:p w14:paraId="26CB3298">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75kV</w:t>
                  </w:r>
                </w:p>
              </w:tc>
              <w:tc>
                <w:tcPr>
                  <w:tcW w:w="421" w:type="pct"/>
                  <w:noWrap w:val="0"/>
                  <w:vAlign w:val="center"/>
                </w:tcPr>
                <w:p w14:paraId="01BD5A22">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12mA</w:t>
                  </w:r>
                </w:p>
              </w:tc>
            </w:tr>
            <w:tr w14:paraId="379D85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noWrap w:val="0"/>
                  <w:vAlign w:val="center"/>
                </w:tcPr>
                <w:p w14:paraId="626252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spacing w:val="-11"/>
                      <w:sz w:val="21"/>
                      <w:szCs w:val="21"/>
                    </w:rPr>
                    <w:t>DSA手术室（</w:t>
                  </w:r>
                  <w:r>
                    <w:rPr>
                      <w:rFonts w:hint="eastAsia"/>
                      <w:spacing w:val="-11"/>
                      <w:sz w:val="21"/>
                      <w:szCs w:val="21"/>
                      <w:lang w:val="en-US" w:eastAsia="zh-CN"/>
                    </w:rPr>
                    <w:t>OR11</w:t>
                  </w:r>
                  <w:r>
                    <w:rPr>
                      <w:spacing w:val="-11"/>
                      <w:sz w:val="21"/>
                      <w:szCs w:val="21"/>
                    </w:rPr>
                    <w:t>）</w:t>
                  </w:r>
                </w:p>
              </w:tc>
              <w:tc>
                <w:tcPr>
                  <w:tcW w:w="491" w:type="pct"/>
                  <w:gridSpan w:val="2"/>
                  <w:noWrap w:val="0"/>
                  <w:vAlign w:val="center"/>
                </w:tcPr>
                <w:p w14:paraId="7C2888D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07" w:type="pct"/>
                  <w:gridSpan w:val="2"/>
                  <w:noWrap w:val="0"/>
                  <w:vAlign w:val="center"/>
                </w:tcPr>
                <w:p w14:paraId="0A1B684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由下往上</w:t>
                  </w:r>
                </w:p>
              </w:tc>
              <w:tc>
                <w:tcPr>
                  <w:tcW w:w="1128" w:type="pct"/>
                  <w:gridSpan w:val="3"/>
                  <w:noWrap w:val="0"/>
                  <w:vAlign w:val="center"/>
                </w:tcPr>
                <w:p w14:paraId="57B99C1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泌尿外科</w:t>
                  </w:r>
                  <w:r>
                    <w:rPr>
                      <w:rFonts w:hint="eastAsia"/>
                      <w:spacing w:val="-11"/>
                      <w:sz w:val="21"/>
                      <w:szCs w:val="21"/>
                      <w:lang w:eastAsia="zh-CN"/>
                    </w:rPr>
                    <w:t>、</w:t>
                  </w:r>
                  <w:r>
                    <w:rPr>
                      <w:rFonts w:hint="eastAsia"/>
                      <w:spacing w:val="-11"/>
                      <w:sz w:val="21"/>
                      <w:szCs w:val="21"/>
                    </w:rPr>
                    <w:t>神经外科</w:t>
                  </w:r>
                  <w:r>
                    <w:rPr>
                      <w:rFonts w:hint="eastAsia"/>
                      <w:spacing w:val="-11"/>
                      <w:sz w:val="21"/>
                      <w:szCs w:val="21"/>
                      <w:lang w:eastAsia="zh-CN"/>
                    </w:rPr>
                    <w:t>、</w:t>
                  </w:r>
                  <w:r>
                    <w:rPr>
                      <w:rFonts w:hint="eastAsia"/>
                      <w:spacing w:val="-11"/>
                      <w:sz w:val="21"/>
                      <w:szCs w:val="21"/>
                    </w:rPr>
                    <w:t>肿瘤科</w:t>
                  </w:r>
                </w:p>
              </w:tc>
              <w:tc>
                <w:tcPr>
                  <w:tcW w:w="493" w:type="pct"/>
                  <w:gridSpan w:val="2"/>
                  <w:shd w:val="clear" w:color="auto" w:fill="auto"/>
                  <w:noWrap w:val="0"/>
                  <w:vAlign w:val="center"/>
                </w:tcPr>
                <w:p w14:paraId="107AFDE8">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85kV</w:t>
                  </w:r>
                </w:p>
              </w:tc>
              <w:tc>
                <w:tcPr>
                  <w:tcW w:w="496" w:type="pct"/>
                  <w:shd w:val="clear" w:color="auto" w:fill="auto"/>
                  <w:noWrap w:val="0"/>
                  <w:vAlign w:val="center"/>
                </w:tcPr>
                <w:p w14:paraId="4632673E">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550mA</w:t>
                  </w:r>
                </w:p>
              </w:tc>
              <w:tc>
                <w:tcPr>
                  <w:tcW w:w="492" w:type="pct"/>
                  <w:shd w:val="clear" w:color="auto" w:fill="auto"/>
                  <w:noWrap w:val="0"/>
                  <w:vAlign w:val="center"/>
                </w:tcPr>
                <w:p w14:paraId="506D2A47">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75kV</w:t>
                  </w:r>
                </w:p>
              </w:tc>
              <w:tc>
                <w:tcPr>
                  <w:tcW w:w="421" w:type="pct"/>
                  <w:shd w:val="clear" w:color="auto" w:fill="auto"/>
                  <w:noWrap w:val="0"/>
                  <w:vAlign w:val="center"/>
                </w:tcPr>
                <w:p w14:paraId="05337B12">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12mA</w:t>
                  </w:r>
                </w:p>
              </w:tc>
            </w:tr>
            <w:tr w14:paraId="59946F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68" w:type="pct"/>
                  <w:noWrap w:val="0"/>
                  <w:vAlign w:val="center"/>
                </w:tcPr>
                <w:p w14:paraId="46D31C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rFonts w:hint="eastAsia"/>
                      <w:spacing w:val="-11"/>
                      <w:sz w:val="21"/>
                      <w:szCs w:val="21"/>
                      <w:lang w:val="en-US" w:eastAsia="zh-CN"/>
                    </w:rPr>
                    <w:t>ERCP</w:t>
                  </w:r>
                  <w:r>
                    <w:rPr>
                      <w:spacing w:val="-11"/>
                      <w:sz w:val="21"/>
                      <w:szCs w:val="21"/>
                    </w:rPr>
                    <w:t>室</w:t>
                  </w:r>
                </w:p>
              </w:tc>
              <w:tc>
                <w:tcPr>
                  <w:tcW w:w="491" w:type="pct"/>
                  <w:gridSpan w:val="2"/>
                  <w:noWrap w:val="0"/>
                  <w:vAlign w:val="center"/>
                </w:tcPr>
                <w:p w14:paraId="7EC91CAA">
                  <w:pPr>
                    <w:keepNext w:val="0"/>
                    <w:keepLines w:val="0"/>
                    <w:pageBreakBefore w:val="0"/>
                    <w:kinsoku/>
                    <w:wordWrap/>
                    <w:overflowPunct/>
                    <w:topLinePunct w:val="0"/>
                    <w:autoSpaceDE/>
                    <w:autoSpaceDN/>
                    <w:bidi w:val="0"/>
                    <w:adjustRightInd/>
                    <w:snapToGrid/>
                    <w:spacing w:line="360" w:lineRule="exact"/>
                    <w:jc w:val="center"/>
                    <w:rPr>
                      <w:rFonts w:hint="eastAsia" w:eastAsia="宋体"/>
                      <w:spacing w:val="-11"/>
                      <w:sz w:val="21"/>
                      <w:szCs w:val="21"/>
                      <w:lang w:val="en-US" w:eastAsia="zh-CN"/>
                    </w:rPr>
                  </w:pPr>
                  <w:r>
                    <w:rPr>
                      <w:rFonts w:hint="eastAsia"/>
                      <w:spacing w:val="-11"/>
                      <w:sz w:val="21"/>
                      <w:szCs w:val="21"/>
                      <w:lang w:val="en-US" w:eastAsia="zh-CN"/>
                    </w:rPr>
                    <w:t>ERCP</w:t>
                  </w:r>
                </w:p>
              </w:tc>
              <w:tc>
                <w:tcPr>
                  <w:tcW w:w="807" w:type="pct"/>
                  <w:gridSpan w:val="2"/>
                  <w:noWrap w:val="0"/>
                  <w:vAlign w:val="center"/>
                </w:tcPr>
                <w:p w14:paraId="3798E8C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由下往上</w:t>
                  </w:r>
                </w:p>
              </w:tc>
              <w:tc>
                <w:tcPr>
                  <w:tcW w:w="1128" w:type="pct"/>
                  <w:gridSpan w:val="3"/>
                  <w:noWrap w:val="0"/>
                  <w:vAlign w:val="center"/>
                </w:tcPr>
                <w:p w14:paraId="0AE23BC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rPr>
                    <w:t>脾胃病科</w:t>
                  </w:r>
                  <w:r>
                    <w:rPr>
                      <w:rFonts w:hint="eastAsia"/>
                      <w:spacing w:val="-11"/>
                      <w:sz w:val="21"/>
                      <w:szCs w:val="21"/>
                      <w:lang w:eastAsia="zh-CN"/>
                    </w:rPr>
                    <w:t>、</w:t>
                  </w:r>
                  <w:r>
                    <w:rPr>
                      <w:rFonts w:hint="eastAsia"/>
                      <w:spacing w:val="-11"/>
                      <w:sz w:val="21"/>
                      <w:szCs w:val="21"/>
                    </w:rPr>
                    <w:t>普外科</w:t>
                  </w:r>
                </w:p>
              </w:tc>
              <w:tc>
                <w:tcPr>
                  <w:tcW w:w="493" w:type="pct"/>
                  <w:gridSpan w:val="2"/>
                  <w:shd w:val="clear" w:color="auto" w:fill="auto"/>
                  <w:noWrap w:val="0"/>
                  <w:vAlign w:val="center"/>
                </w:tcPr>
                <w:p w14:paraId="0441B51D">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85kV</w:t>
                  </w:r>
                </w:p>
              </w:tc>
              <w:tc>
                <w:tcPr>
                  <w:tcW w:w="496" w:type="pct"/>
                  <w:shd w:val="clear" w:color="auto" w:fill="auto"/>
                  <w:noWrap w:val="0"/>
                  <w:vAlign w:val="center"/>
                </w:tcPr>
                <w:p w14:paraId="11A30FCE">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550mA</w:t>
                  </w:r>
                </w:p>
              </w:tc>
              <w:tc>
                <w:tcPr>
                  <w:tcW w:w="492" w:type="pct"/>
                  <w:shd w:val="clear" w:color="auto" w:fill="auto"/>
                  <w:noWrap w:val="0"/>
                  <w:vAlign w:val="center"/>
                </w:tcPr>
                <w:p w14:paraId="2379693A">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75kV</w:t>
                  </w:r>
                </w:p>
              </w:tc>
              <w:tc>
                <w:tcPr>
                  <w:tcW w:w="421" w:type="pct"/>
                  <w:shd w:val="clear" w:color="auto" w:fill="auto"/>
                  <w:noWrap w:val="0"/>
                  <w:vAlign w:val="center"/>
                </w:tcPr>
                <w:p w14:paraId="6474A6ED">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12mA</w:t>
                  </w:r>
                </w:p>
              </w:tc>
            </w:tr>
            <w:tr w14:paraId="27E764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0" w:type="pct"/>
                  <w:gridSpan w:val="13"/>
                  <w:noWrap w:val="0"/>
                  <w:vAlign w:val="center"/>
                </w:tcPr>
                <w:p w14:paraId="675D20DD">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射线装置出束情况</w:t>
                  </w:r>
                </w:p>
              </w:tc>
            </w:tr>
            <w:tr w14:paraId="76AA72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restart"/>
                  <w:noWrap w:val="0"/>
                  <w:vAlign w:val="center"/>
                </w:tcPr>
                <w:p w14:paraId="083CA7AF">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使用场所</w:t>
                  </w:r>
                </w:p>
              </w:tc>
              <w:tc>
                <w:tcPr>
                  <w:tcW w:w="538" w:type="pct"/>
                  <w:gridSpan w:val="2"/>
                  <w:vMerge w:val="restart"/>
                  <w:noWrap w:val="0"/>
                  <w:vAlign w:val="center"/>
                </w:tcPr>
                <w:p w14:paraId="200F796B">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设备</w:t>
                  </w:r>
                </w:p>
              </w:tc>
              <w:tc>
                <w:tcPr>
                  <w:tcW w:w="831" w:type="pct"/>
                  <w:gridSpan w:val="2"/>
                  <w:vMerge w:val="restart"/>
                  <w:noWrap w:val="0"/>
                  <w:vAlign w:val="center"/>
                </w:tcPr>
                <w:p w14:paraId="22977B92">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使用科室</w:t>
                  </w:r>
                </w:p>
              </w:tc>
              <w:tc>
                <w:tcPr>
                  <w:tcW w:w="1281" w:type="pct"/>
                  <w:gridSpan w:val="3"/>
                  <w:noWrap w:val="0"/>
                  <w:vAlign w:val="center"/>
                </w:tcPr>
                <w:p w14:paraId="5D23996D">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单台手术累计最长曝光时间</w:t>
                  </w:r>
                </w:p>
              </w:tc>
              <w:tc>
                <w:tcPr>
                  <w:tcW w:w="755" w:type="pct"/>
                  <w:gridSpan w:val="2"/>
                  <w:vMerge w:val="restart"/>
                  <w:noWrap w:val="0"/>
                  <w:vAlign w:val="center"/>
                </w:tcPr>
                <w:p w14:paraId="4F6040E5">
                  <w:pPr>
                    <w:keepNext w:val="0"/>
                    <w:keepLines w:val="0"/>
                    <w:pageBreakBefore w:val="0"/>
                    <w:kinsoku/>
                    <w:wordWrap/>
                    <w:overflowPunct/>
                    <w:topLinePunct w:val="0"/>
                    <w:autoSpaceDE/>
                    <w:autoSpaceDN/>
                    <w:bidi w:val="0"/>
                    <w:adjustRightInd/>
                    <w:snapToGrid/>
                    <w:spacing w:line="360" w:lineRule="exact"/>
                    <w:jc w:val="center"/>
                    <w:rPr>
                      <w:rFonts w:hint="eastAsia" w:eastAsia="宋体"/>
                      <w:b/>
                      <w:bCs/>
                      <w:spacing w:val="-11"/>
                      <w:sz w:val="21"/>
                      <w:szCs w:val="21"/>
                      <w:lang w:eastAsia="zh-CN"/>
                    </w:rPr>
                  </w:pPr>
                  <w:r>
                    <w:rPr>
                      <w:b/>
                      <w:bCs/>
                      <w:spacing w:val="-11"/>
                      <w:sz w:val="21"/>
                      <w:szCs w:val="21"/>
                    </w:rPr>
                    <w:t>单台装置年预计最大手术量</w:t>
                  </w:r>
                  <w:r>
                    <w:rPr>
                      <w:rFonts w:hint="eastAsia"/>
                      <w:b/>
                      <w:bCs/>
                      <w:spacing w:val="-11"/>
                      <w:sz w:val="21"/>
                      <w:szCs w:val="21"/>
                      <w:lang w:eastAsia="zh-CN"/>
                    </w:rPr>
                    <w:t>（</w:t>
                  </w:r>
                  <w:r>
                    <w:rPr>
                      <w:rFonts w:hint="eastAsia"/>
                      <w:b/>
                      <w:bCs/>
                      <w:spacing w:val="-11"/>
                      <w:sz w:val="21"/>
                      <w:szCs w:val="21"/>
                      <w:lang w:val="en-US" w:eastAsia="zh-CN"/>
                    </w:rPr>
                    <w:t>台</w:t>
                  </w:r>
                  <w:r>
                    <w:rPr>
                      <w:rFonts w:hint="eastAsia"/>
                      <w:b/>
                      <w:bCs/>
                      <w:spacing w:val="-11"/>
                      <w:sz w:val="21"/>
                      <w:szCs w:val="21"/>
                      <w:lang w:eastAsia="zh-CN"/>
                    </w:rPr>
                    <w:t>）</w:t>
                  </w:r>
                </w:p>
              </w:tc>
              <w:tc>
                <w:tcPr>
                  <w:tcW w:w="914" w:type="pct"/>
                  <w:gridSpan w:val="2"/>
                  <w:noWrap w:val="0"/>
                  <w:vAlign w:val="center"/>
                </w:tcPr>
                <w:p w14:paraId="25832F12">
                  <w:pPr>
                    <w:keepNext w:val="0"/>
                    <w:keepLines w:val="0"/>
                    <w:pageBreakBefore w:val="0"/>
                    <w:kinsoku/>
                    <w:wordWrap/>
                    <w:overflowPunct/>
                    <w:topLinePunct w:val="0"/>
                    <w:autoSpaceDE/>
                    <w:autoSpaceDN/>
                    <w:bidi w:val="0"/>
                    <w:adjustRightInd/>
                    <w:snapToGrid/>
                    <w:spacing w:line="360" w:lineRule="exact"/>
                    <w:jc w:val="center"/>
                    <w:rPr>
                      <w:rFonts w:hint="eastAsia" w:eastAsia="宋体"/>
                      <w:b/>
                      <w:bCs/>
                      <w:spacing w:val="-11"/>
                      <w:sz w:val="21"/>
                      <w:szCs w:val="21"/>
                      <w:lang w:eastAsia="zh-CN"/>
                    </w:rPr>
                  </w:pPr>
                  <w:r>
                    <w:rPr>
                      <w:b/>
                      <w:bCs/>
                      <w:spacing w:val="-11"/>
                      <w:sz w:val="21"/>
                      <w:szCs w:val="21"/>
                    </w:rPr>
                    <w:t>单台装置年最大出束时间</w:t>
                  </w:r>
                  <w:r>
                    <w:rPr>
                      <w:rFonts w:hint="eastAsia"/>
                      <w:b/>
                      <w:bCs/>
                      <w:spacing w:val="-11"/>
                      <w:sz w:val="21"/>
                      <w:szCs w:val="21"/>
                      <w:lang w:eastAsia="zh-CN"/>
                    </w:rPr>
                    <w:t>（</w:t>
                  </w:r>
                  <w:r>
                    <w:rPr>
                      <w:rFonts w:hint="eastAsia"/>
                      <w:b/>
                      <w:bCs/>
                      <w:spacing w:val="-11"/>
                      <w:sz w:val="21"/>
                      <w:szCs w:val="21"/>
                      <w:lang w:val="en-US" w:eastAsia="zh-CN"/>
                    </w:rPr>
                    <w:t>h</w:t>
                  </w:r>
                  <w:r>
                    <w:rPr>
                      <w:rFonts w:hint="eastAsia"/>
                      <w:b/>
                      <w:bCs/>
                      <w:spacing w:val="-11"/>
                      <w:sz w:val="21"/>
                      <w:szCs w:val="21"/>
                      <w:lang w:eastAsia="zh-CN"/>
                    </w:rPr>
                    <w:t>）</w:t>
                  </w:r>
                </w:p>
              </w:tc>
            </w:tr>
            <w:tr w14:paraId="06AE5B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48C92DB8">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538" w:type="pct"/>
                  <w:gridSpan w:val="2"/>
                  <w:vMerge w:val="continue"/>
                  <w:noWrap w:val="0"/>
                  <w:vAlign w:val="center"/>
                </w:tcPr>
                <w:p w14:paraId="2E679DF6">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831" w:type="pct"/>
                  <w:gridSpan w:val="2"/>
                  <w:vMerge w:val="continue"/>
                  <w:noWrap w:val="0"/>
                  <w:vAlign w:val="center"/>
                </w:tcPr>
                <w:p w14:paraId="2664B3B5">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626" w:type="pct"/>
                  <w:noWrap w:val="0"/>
                  <w:vAlign w:val="center"/>
                </w:tcPr>
                <w:p w14:paraId="5E39D907">
                  <w:pPr>
                    <w:keepNext w:val="0"/>
                    <w:keepLines w:val="0"/>
                    <w:pageBreakBefore w:val="0"/>
                    <w:kinsoku/>
                    <w:wordWrap/>
                    <w:overflowPunct/>
                    <w:topLinePunct w:val="0"/>
                    <w:autoSpaceDE/>
                    <w:autoSpaceDN/>
                    <w:bidi w:val="0"/>
                    <w:adjustRightInd/>
                    <w:snapToGrid/>
                    <w:spacing w:line="360" w:lineRule="exact"/>
                    <w:jc w:val="center"/>
                    <w:rPr>
                      <w:rFonts w:hint="eastAsia" w:eastAsia="宋体"/>
                      <w:b/>
                      <w:bCs/>
                      <w:spacing w:val="-11"/>
                      <w:sz w:val="21"/>
                      <w:szCs w:val="21"/>
                      <w:lang w:eastAsia="zh-CN"/>
                    </w:rPr>
                  </w:pPr>
                  <w:r>
                    <w:rPr>
                      <w:rFonts w:hint="eastAsia"/>
                      <w:b/>
                      <w:bCs/>
                      <w:spacing w:val="-11"/>
                      <w:sz w:val="21"/>
                      <w:szCs w:val="21"/>
                      <w:lang w:val="en-US" w:eastAsia="zh-CN"/>
                    </w:rPr>
                    <w:t>摄影</w:t>
                  </w:r>
                </w:p>
              </w:tc>
              <w:tc>
                <w:tcPr>
                  <w:tcW w:w="655" w:type="pct"/>
                  <w:gridSpan w:val="2"/>
                  <w:noWrap w:val="0"/>
                  <w:vAlign w:val="center"/>
                </w:tcPr>
                <w:p w14:paraId="04EBFC35">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透视</w:t>
                  </w:r>
                </w:p>
              </w:tc>
              <w:tc>
                <w:tcPr>
                  <w:tcW w:w="755" w:type="pct"/>
                  <w:gridSpan w:val="2"/>
                  <w:vMerge w:val="continue"/>
                  <w:noWrap w:val="0"/>
                  <w:vAlign w:val="center"/>
                </w:tcPr>
                <w:p w14:paraId="43E42B6C">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p>
              </w:tc>
              <w:tc>
                <w:tcPr>
                  <w:tcW w:w="492" w:type="pct"/>
                  <w:noWrap w:val="0"/>
                  <w:vAlign w:val="center"/>
                </w:tcPr>
                <w:p w14:paraId="20579135">
                  <w:pPr>
                    <w:keepNext w:val="0"/>
                    <w:keepLines w:val="0"/>
                    <w:pageBreakBefore w:val="0"/>
                    <w:kinsoku/>
                    <w:wordWrap/>
                    <w:overflowPunct/>
                    <w:topLinePunct w:val="0"/>
                    <w:autoSpaceDE/>
                    <w:autoSpaceDN/>
                    <w:bidi w:val="0"/>
                    <w:adjustRightInd/>
                    <w:snapToGrid/>
                    <w:spacing w:line="360" w:lineRule="exact"/>
                    <w:jc w:val="center"/>
                    <w:rPr>
                      <w:rFonts w:hint="eastAsia" w:eastAsia="宋体"/>
                      <w:b/>
                      <w:bCs/>
                      <w:spacing w:val="-11"/>
                      <w:sz w:val="21"/>
                      <w:szCs w:val="21"/>
                      <w:lang w:eastAsia="zh-CN"/>
                    </w:rPr>
                  </w:pPr>
                  <w:r>
                    <w:rPr>
                      <w:rFonts w:hint="eastAsia"/>
                      <w:b/>
                      <w:bCs/>
                      <w:spacing w:val="-11"/>
                      <w:sz w:val="21"/>
                      <w:szCs w:val="21"/>
                      <w:lang w:val="en-US" w:eastAsia="zh-CN"/>
                    </w:rPr>
                    <w:t>摄影</w:t>
                  </w:r>
                </w:p>
              </w:tc>
              <w:tc>
                <w:tcPr>
                  <w:tcW w:w="421" w:type="pct"/>
                  <w:noWrap w:val="0"/>
                  <w:vAlign w:val="center"/>
                </w:tcPr>
                <w:p w14:paraId="3D659166">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b/>
                      <w:bCs/>
                      <w:spacing w:val="-11"/>
                      <w:sz w:val="21"/>
                      <w:szCs w:val="21"/>
                    </w:rPr>
                    <w:t>透视</w:t>
                  </w:r>
                </w:p>
              </w:tc>
            </w:tr>
            <w:tr w14:paraId="4350A2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restart"/>
                  <w:noWrap w:val="0"/>
                  <w:vAlign w:val="center"/>
                </w:tcPr>
                <w:p w14:paraId="31A7FB1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r>
                    <w:rPr>
                      <w:rFonts w:hint="eastAsia"/>
                      <w:spacing w:val="-11"/>
                      <w:sz w:val="21"/>
                      <w:szCs w:val="21"/>
                      <w:lang w:val="en-US" w:eastAsia="zh-CN"/>
                    </w:rPr>
                    <w:t>+</w:t>
                  </w:r>
                  <w:r>
                    <w:rPr>
                      <w:spacing w:val="-11"/>
                      <w:sz w:val="21"/>
                      <w:szCs w:val="21"/>
                    </w:rPr>
                    <w:t>CT复合手术室（1F）</w:t>
                  </w:r>
                </w:p>
              </w:tc>
              <w:tc>
                <w:tcPr>
                  <w:tcW w:w="538" w:type="pct"/>
                  <w:gridSpan w:val="2"/>
                  <w:vMerge w:val="restart"/>
                  <w:noWrap w:val="0"/>
                  <w:vAlign w:val="center"/>
                </w:tcPr>
                <w:p w14:paraId="0BE743B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31" w:type="pct"/>
                  <w:gridSpan w:val="2"/>
                  <w:shd w:val="clear" w:color="auto" w:fill="auto"/>
                  <w:noWrap w:val="0"/>
                  <w:vAlign w:val="center"/>
                </w:tcPr>
                <w:p w14:paraId="669192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心</w:t>
                  </w:r>
                  <w:r>
                    <w:rPr>
                      <w:rFonts w:hint="eastAsia"/>
                      <w:spacing w:val="-11"/>
                      <w:sz w:val="21"/>
                      <w:szCs w:val="21"/>
                      <w:lang w:val="en-US" w:eastAsia="zh-CN"/>
                    </w:rPr>
                    <w:t>胸外</w:t>
                  </w:r>
                  <w:r>
                    <w:rPr>
                      <w:spacing w:val="-11"/>
                      <w:sz w:val="21"/>
                      <w:szCs w:val="21"/>
                    </w:rPr>
                    <w:t>科</w:t>
                  </w:r>
                </w:p>
              </w:tc>
              <w:tc>
                <w:tcPr>
                  <w:tcW w:w="626" w:type="pct"/>
                  <w:noWrap w:val="0"/>
                  <w:vAlign w:val="center"/>
                </w:tcPr>
                <w:p w14:paraId="7334F47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30s</w:t>
                  </w:r>
                </w:p>
              </w:tc>
              <w:tc>
                <w:tcPr>
                  <w:tcW w:w="655" w:type="pct"/>
                  <w:gridSpan w:val="2"/>
                  <w:noWrap w:val="0"/>
                  <w:vAlign w:val="center"/>
                </w:tcPr>
                <w:p w14:paraId="7944CA1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15min</w:t>
                  </w:r>
                </w:p>
              </w:tc>
              <w:tc>
                <w:tcPr>
                  <w:tcW w:w="755" w:type="pct"/>
                  <w:gridSpan w:val="2"/>
                  <w:noWrap w:val="0"/>
                  <w:vAlign w:val="center"/>
                </w:tcPr>
                <w:p w14:paraId="49075556">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rPr>
                  </w:pPr>
                  <w:r>
                    <w:rPr>
                      <w:rFonts w:hint="eastAsia"/>
                      <w:spacing w:val="-11"/>
                      <w:sz w:val="21"/>
                      <w:szCs w:val="21"/>
                      <w:lang w:val="en-US" w:eastAsia="zh-CN"/>
                    </w:rPr>
                    <w:t>400</w:t>
                  </w:r>
                </w:p>
              </w:tc>
              <w:tc>
                <w:tcPr>
                  <w:tcW w:w="848" w:type="dxa"/>
                  <w:noWrap w:val="0"/>
                  <w:vAlign w:val="center"/>
                </w:tcPr>
                <w:p w14:paraId="691B38FF">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3.3 </w:t>
                  </w:r>
                </w:p>
              </w:tc>
              <w:tc>
                <w:tcPr>
                  <w:tcW w:w="729" w:type="dxa"/>
                  <w:noWrap w:val="0"/>
                  <w:vAlign w:val="center"/>
                </w:tcPr>
                <w:p w14:paraId="78E53839">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100.0 </w:t>
                  </w:r>
                </w:p>
              </w:tc>
            </w:tr>
            <w:tr w14:paraId="1DFD41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0AC8578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45048FC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41760F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血管</w:t>
                  </w:r>
                  <w:r>
                    <w:rPr>
                      <w:rFonts w:hint="eastAsia"/>
                      <w:spacing w:val="-11"/>
                      <w:sz w:val="21"/>
                      <w:szCs w:val="21"/>
                      <w:lang w:val="en-US" w:eastAsia="zh-CN"/>
                    </w:rPr>
                    <w:t>外</w:t>
                  </w:r>
                  <w:r>
                    <w:rPr>
                      <w:spacing w:val="-11"/>
                      <w:sz w:val="21"/>
                      <w:szCs w:val="21"/>
                    </w:rPr>
                    <w:t>科</w:t>
                  </w:r>
                </w:p>
              </w:tc>
              <w:tc>
                <w:tcPr>
                  <w:tcW w:w="626" w:type="pct"/>
                  <w:noWrap w:val="0"/>
                  <w:vAlign w:val="center"/>
                </w:tcPr>
                <w:p w14:paraId="4E83B38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00ACCAD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noWrap w:val="0"/>
                  <w:vAlign w:val="center"/>
                </w:tcPr>
                <w:p w14:paraId="0000A59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lang w:val="en-US" w:eastAsia="zh-CN"/>
                    </w:rPr>
                    <w:t>200</w:t>
                  </w:r>
                </w:p>
              </w:tc>
              <w:tc>
                <w:tcPr>
                  <w:tcW w:w="492" w:type="pct"/>
                  <w:noWrap w:val="0"/>
                  <w:vAlign w:val="center"/>
                </w:tcPr>
                <w:p w14:paraId="6A2B5408">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1.1 </w:t>
                  </w:r>
                </w:p>
              </w:tc>
              <w:tc>
                <w:tcPr>
                  <w:tcW w:w="421" w:type="pct"/>
                  <w:noWrap w:val="0"/>
                  <w:vAlign w:val="center"/>
                </w:tcPr>
                <w:p w14:paraId="5184AAF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33.3 </w:t>
                  </w:r>
                </w:p>
              </w:tc>
            </w:tr>
            <w:tr w14:paraId="6FB01E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56111E4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78CB4D3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24A210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color w:val="000000"/>
                      <w:sz w:val="21"/>
                      <w:szCs w:val="21"/>
                      <w:lang w:val="en-US" w:eastAsia="zh-CN"/>
                    </w:rPr>
                    <w:t>神经外科</w:t>
                  </w:r>
                </w:p>
              </w:tc>
              <w:tc>
                <w:tcPr>
                  <w:tcW w:w="626" w:type="pct"/>
                  <w:noWrap w:val="0"/>
                  <w:vAlign w:val="center"/>
                </w:tcPr>
                <w:p w14:paraId="54F2A99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37652D4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noWrap w:val="0"/>
                  <w:vAlign w:val="center"/>
                </w:tcPr>
                <w:p w14:paraId="0923C95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lang w:val="en-US" w:eastAsia="zh-CN"/>
                    </w:rPr>
                    <w:t>300</w:t>
                  </w:r>
                </w:p>
              </w:tc>
              <w:tc>
                <w:tcPr>
                  <w:tcW w:w="492" w:type="pct"/>
                  <w:noWrap w:val="0"/>
                  <w:vAlign w:val="center"/>
                </w:tcPr>
                <w:p w14:paraId="768C1037">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1.7 </w:t>
                  </w:r>
                </w:p>
              </w:tc>
              <w:tc>
                <w:tcPr>
                  <w:tcW w:w="421" w:type="pct"/>
                  <w:noWrap w:val="0"/>
                  <w:vAlign w:val="center"/>
                </w:tcPr>
                <w:p w14:paraId="26B1C46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50.0 </w:t>
                  </w:r>
                </w:p>
              </w:tc>
            </w:tr>
            <w:tr w14:paraId="343F60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43EA91E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4827B29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5287FD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000000"/>
                      <w:sz w:val="21"/>
                      <w:szCs w:val="21"/>
                      <w:lang w:val="en-US" w:eastAsia="zh-CN" w:bidi="ar-SA"/>
                    </w:rPr>
                  </w:pPr>
                  <w:r>
                    <w:rPr>
                      <w:rFonts w:hint="eastAsia"/>
                      <w:spacing w:val="-11"/>
                      <w:sz w:val="21"/>
                      <w:szCs w:val="21"/>
                      <w:lang w:val="en-US" w:eastAsia="zh-CN"/>
                    </w:rPr>
                    <w:t>肝胆外科</w:t>
                  </w:r>
                </w:p>
              </w:tc>
              <w:tc>
                <w:tcPr>
                  <w:tcW w:w="626" w:type="pct"/>
                  <w:shd w:val="clear" w:color="auto" w:fill="auto"/>
                  <w:noWrap w:val="0"/>
                  <w:vAlign w:val="center"/>
                </w:tcPr>
                <w:p w14:paraId="30298927">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20s</w:t>
                  </w:r>
                </w:p>
              </w:tc>
              <w:tc>
                <w:tcPr>
                  <w:tcW w:w="655" w:type="pct"/>
                  <w:gridSpan w:val="2"/>
                  <w:shd w:val="clear" w:color="auto" w:fill="auto"/>
                  <w:noWrap w:val="0"/>
                  <w:vAlign w:val="center"/>
                </w:tcPr>
                <w:p w14:paraId="06536AB6">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10min</w:t>
                  </w:r>
                </w:p>
              </w:tc>
              <w:tc>
                <w:tcPr>
                  <w:tcW w:w="755" w:type="pct"/>
                  <w:gridSpan w:val="2"/>
                  <w:noWrap w:val="0"/>
                  <w:vAlign w:val="center"/>
                </w:tcPr>
                <w:p w14:paraId="37F3538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lang w:val="en-US" w:eastAsia="zh-CN"/>
                    </w:rPr>
                    <w:t>100</w:t>
                  </w:r>
                </w:p>
              </w:tc>
              <w:tc>
                <w:tcPr>
                  <w:tcW w:w="492" w:type="pct"/>
                  <w:noWrap w:val="0"/>
                  <w:vAlign w:val="center"/>
                </w:tcPr>
                <w:p w14:paraId="5B227A2A">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0.6 </w:t>
                  </w:r>
                </w:p>
              </w:tc>
              <w:tc>
                <w:tcPr>
                  <w:tcW w:w="421" w:type="pct"/>
                  <w:noWrap w:val="0"/>
                  <w:vAlign w:val="center"/>
                </w:tcPr>
                <w:p w14:paraId="0A9C0AB8">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16.7 </w:t>
                  </w:r>
                </w:p>
              </w:tc>
            </w:tr>
            <w:tr w14:paraId="0DA7FC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41DA9A3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2E66E7D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2112" w:type="pct"/>
                  <w:gridSpan w:val="5"/>
                  <w:noWrap w:val="0"/>
                  <w:vAlign w:val="center"/>
                </w:tcPr>
                <w:p w14:paraId="235E99D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合计</w:t>
                  </w:r>
                </w:p>
              </w:tc>
              <w:tc>
                <w:tcPr>
                  <w:tcW w:w="1301" w:type="dxa"/>
                  <w:gridSpan w:val="2"/>
                  <w:noWrap w:val="0"/>
                  <w:vAlign w:val="center"/>
                </w:tcPr>
                <w:p w14:paraId="45DA9D62">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1000</w:t>
                  </w:r>
                </w:p>
              </w:tc>
              <w:tc>
                <w:tcPr>
                  <w:tcW w:w="848" w:type="dxa"/>
                  <w:noWrap w:val="0"/>
                  <w:vAlign w:val="center"/>
                </w:tcPr>
                <w:p w14:paraId="19311CCD">
                  <w:pPr>
                    <w:keepNext w:val="0"/>
                    <w:keepLines w:val="0"/>
                    <w:pageBreakBefore w:val="0"/>
                    <w:kinsoku/>
                    <w:wordWrap/>
                    <w:overflowPunct/>
                    <w:topLinePunct w:val="0"/>
                    <w:autoSpaceDE/>
                    <w:autoSpaceDN/>
                    <w:bidi w:val="0"/>
                    <w:adjustRightInd/>
                    <w:snapToGrid/>
                    <w:spacing w:line="360" w:lineRule="exact"/>
                    <w:jc w:val="center"/>
                    <w:rPr>
                      <w:rFonts w:hint="eastAsia"/>
                      <w:spacing w:val="-11"/>
                      <w:sz w:val="21"/>
                      <w:szCs w:val="21"/>
                      <w:lang w:val="en-US" w:eastAsia="zh-CN"/>
                    </w:rPr>
                  </w:pPr>
                  <w:r>
                    <w:rPr>
                      <w:rFonts w:hint="default"/>
                      <w:spacing w:val="-11"/>
                      <w:sz w:val="21"/>
                      <w:szCs w:val="21"/>
                      <w:lang w:val="en-US" w:eastAsia="zh-CN"/>
                    </w:rPr>
                    <w:t xml:space="preserve">6.7 </w:t>
                  </w:r>
                </w:p>
              </w:tc>
              <w:tc>
                <w:tcPr>
                  <w:tcW w:w="729" w:type="dxa"/>
                  <w:noWrap w:val="0"/>
                  <w:vAlign w:val="center"/>
                </w:tcPr>
                <w:p w14:paraId="54D231F1">
                  <w:pPr>
                    <w:keepNext w:val="0"/>
                    <w:keepLines w:val="0"/>
                    <w:pageBreakBefore w:val="0"/>
                    <w:kinsoku/>
                    <w:wordWrap/>
                    <w:overflowPunct/>
                    <w:topLinePunct w:val="0"/>
                    <w:autoSpaceDE/>
                    <w:autoSpaceDN/>
                    <w:bidi w:val="0"/>
                    <w:adjustRightInd/>
                    <w:snapToGrid/>
                    <w:spacing w:line="360" w:lineRule="exact"/>
                    <w:jc w:val="center"/>
                    <w:rPr>
                      <w:rFonts w:hint="eastAsia"/>
                      <w:spacing w:val="-11"/>
                      <w:sz w:val="21"/>
                      <w:szCs w:val="21"/>
                      <w:lang w:val="en-US" w:eastAsia="zh-CN"/>
                    </w:rPr>
                  </w:pPr>
                  <w:r>
                    <w:rPr>
                      <w:rFonts w:hint="default"/>
                      <w:spacing w:val="-11"/>
                      <w:sz w:val="21"/>
                      <w:szCs w:val="21"/>
                      <w:lang w:val="en-US" w:eastAsia="zh-CN"/>
                    </w:rPr>
                    <w:t xml:space="preserve">200.0 </w:t>
                  </w:r>
                </w:p>
              </w:tc>
            </w:tr>
            <w:tr w14:paraId="78887C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6819708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restart"/>
                  <w:noWrap w:val="0"/>
                  <w:vAlign w:val="center"/>
                </w:tcPr>
                <w:p w14:paraId="4F66CE0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CT</w:t>
                  </w:r>
                </w:p>
              </w:tc>
              <w:tc>
                <w:tcPr>
                  <w:tcW w:w="831" w:type="pct"/>
                  <w:gridSpan w:val="2"/>
                  <w:shd w:val="clear" w:color="auto" w:fill="auto"/>
                  <w:noWrap w:val="0"/>
                  <w:vAlign w:val="center"/>
                </w:tcPr>
                <w:p w14:paraId="64BBC3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心</w:t>
                  </w:r>
                  <w:r>
                    <w:rPr>
                      <w:rFonts w:hint="eastAsia"/>
                      <w:spacing w:val="-11"/>
                      <w:sz w:val="21"/>
                      <w:szCs w:val="21"/>
                      <w:lang w:val="en-US" w:eastAsia="zh-CN"/>
                    </w:rPr>
                    <w:t>胸外</w:t>
                  </w:r>
                  <w:r>
                    <w:rPr>
                      <w:spacing w:val="-11"/>
                      <w:sz w:val="21"/>
                      <w:szCs w:val="21"/>
                    </w:rPr>
                    <w:t>科</w:t>
                  </w:r>
                </w:p>
              </w:tc>
              <w:tc>
                <w:tcPr>
                  <w:tcW w:w="626" w:type="pct"/>
                  <w:noWrap w:val="0"/>
                  <w:vAlign w:val="center"/>
                </w:tcPr>
                <w:p w14:paraId="665EBD4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30s</w:t>
                  </w:r>
                  <w:r>
                    <w:rPr>
                      <w:rFonts w:eastAsia="黑体"/>
                      <w:bCs/>
                      <w:sz w:val="21"/>
                      <w:szCs w:val="21"/>
                    </w:rPr>
                    <w:t>*</w:t>
                  </w:r>
                </w:p>
              </w:tc>
              <w:tc>
                <w:tcPr>
                  <w:tcW w:w="655" w:type="pct"/>
                  <w:gridSpan w:val="2"/>
                  <w:noWrap w:val="0"/>
                  <w:vAlign w:val="center"/>
                </w:tcPr>
                <w:p w14:paraId="4BA794B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w:t>
                  </w:r>
                </w:p>
              </w:tc>
              <w:tc>
                <w:tcPr>
                  <w:tcW w:w="755" w:type="pct"/>
                  <w:gridSpan w:val="2"/>
                  <w:shd w:val="clear" w:color="auto" w:fill="auto"/>
                  <w:noWrap w:val="0"/>
                  <w:vAlign w:val="center"/>
                </w:tcPr>
                <w:p w14:paraId="5E8AB179">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400</w:t>
                  </w:r>
                </w:p>
              </w:tc>
              <w:tc>
                <w:tcPr>
                  <w:tcW w:w="492" w:type="pct"/>
                  <w:noWrap w:val="0"/>
                  <w:vAlign w:val="center"/>
                </w:tcPr>
                <w:p w14:paraId="6E3DC718">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3.3</w:t>
                  </w:r>
                </w:p>
              </w:tc>
              <w:tc>
                <w:tcPr>
                  <w:tcW w:w="421" w:type="pct"/>
                  <w:noWrap w:val="0"/>
                  <w:vAlign w:val="center"/>
                </w:tcPr>
                <w:p w14:paraId="6E421F5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w:t>
                  </w:r>
                </w:p>
              </w:tc>
            </w:tr>
            <w:tr w14:paraId="110391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39F1FF6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1BE761F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4CD8E1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血管</w:t>
                  </w:r>
                  <w:r>
                    <w:rPr>
                      <w:rFonts w:hint="eastAsia"/>
                      <w:spacing w:val="-11"/>
                      <w:sz w:val="21"/>
                      <w:szCs w:val="21"/>
                      <w:lang w:val="en-US" w:eastAsia="zh-CN"/>
                    </w:rPr>
                    <w:t>外</w:t>
                  </w:r>
                  <w:r>
                    <w:rPr>
                      <w:spacing w:val="-11"/>
                      <w:sz w:val="21"/>
                      <w:szCs w:val="21"/>
                    </w:rPr>
                    <w:t>科</w:t>
                  </w:r>
                </w:p>
              </w:tc>
              <w:tc>
                <w:tcPr>
                  <w:tcW w:w="626" w:type="pct"/>
                  <w:noWrap w:val="0"/>
                  <w:vAlign w:val="center"/>
                </w:tcPr>
                <w:p w14:paraId="7C537088">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30s</w:t>
                  </w:r>
                  <w:r>
                    <w:rPr>
                      <w:rFonts w:eastAsia="黑体"/>
                      <w:bCs/>
                      <w:sz w:val="21"/>
                      <w:szCs w:val="21"/>
                    </w:rPr>
                    <w:t>*</w:t>
                  </w:r>
                </w:p>
              </w:tc>
              <w:tc>
                <w:tcPr>
                  <w:tcW w:w="655" w:type="pct"/>
                  <w:gridSpan w:val="2"/>
                  <w:noWrap w:val="0"/>
                  <w:vAlign w:val="center"/>
                </w:tcPr>
                <w:p w14:paraId="798A6A8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w:t>
                  </w:r>
                </w:p>
              </w:tc>
              <w:tc>
                <w:tcPr>
                  <w:tcW w:w="755" w:type="pct"/>
                  <w:gridSpan w:val="2"/>
                  <w:shd w:val="clear" w:color="auto" w:fill="auto"/>
                  <w:noWrap w:val="0"/>
                  <w:vAlign w:val="center"/>
                </w:tcPr>
                <w:p w14:paraId="66107C0E">
                  <w:pPr>
                    <w:keepNext w:val="0"/>
                    <w:keepLines w:val="0"/>
                    <w:pageBreakBefore w:val="0"/>
                    <w:kinsoku/>
                    <w:wordWrap/>
                    <w:overflowPunct/>
                    <w:topLinePunct w:val="0"/>
                    <w:autoSpaceDE/>
                    <w:autoSpaceDN/>
                    <w:bidi w:val="0"/>
                    <w:adjustRightInd/>
                    <w:snapToGrid/>
                    <w:spacing w:line="360" w:lineRule="exact"/>
                    <w:jc w:val="center"/>
                    <w:rPr>
                      <w:spacing w:val="-11"/>
                      <w:sz w:val="21"/>
                      <w:szCs w:val="21"/>
                      <w:lang w:val="en-US" w:eastAsia="zh-CN"/>
                    </w:rPr>
                  </w:pPr>
                  <w:r>
                    <w:rPr>
                      <w:rFonts w:hint="eastAsia"/>
                      <w:spacing w:val="-11"/>
                      <w:sz w:val="21"/>
                      <w:szCs w:val="21"/>
                      <w:lang w:val="en-US" w:eastAsia="zh-CN"/>
                    </w:rPr>
                    <w:t>200</w:t>
                  </w:r>
                </w:p>
              </w:tc>
              <w:tc>
                <w:tcPr>
                  <w:tcW w:w="492" w:type="pct"/>
                  <w:noWrap w:val="0"/>
                  <w:vAlign w:val="center"/>
                </w:tcPr>
                <w:p w14:paraId="7811113F">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1.7 </w:t>
                  </w:r>
                </w:p>
              </w:tc>
              <w:tc>
                <w:tcPr>
                  <w:tcW w:w="421" w:type="pct"/>
                  <w:noWrap w:val="0"/>
                  <w:vAlign w:val="center"/>
                </w:tcPr>
                <w:p w14:paraId="2B29BAC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w:t>
                  </w:r>
                </w:p>
              </w:tc>
            </w:tr>
            <w:tr w14:paraId="51524F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22CA421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1A484DD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285335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color w:val="000000"/>
                      <w:sz w:val="21"/>
                      <w:szCs w:val="21"/>
                      <w:lang w:val="en-US" w:eastAsia="zh-CN"/>
                    </w:rPr>
                    <w:t>神经外科</w:t>
                  </w:r>
                </w:p>
              </w:tc>
              <w:tc>
                <w:tcPr>
                  <w:tcW w:w="626" w:type="pct"/>
                  <w:noWrap w:val="0"/>
                  <w:vAlign w:val="center"/>
                </w:tcPr>
                <w:p w14:paraId="4EAD6AD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30s</w:t>
                  </w:r>
                  <w:r>
                    <w:rPr>
                      <w:rFonts w:eastAsia="黑体"/>
                      <w:bCs/>
                      <w:sz w:val="21"/>
                      <w:szCs w:val="21"/>
                    </w:rPr>
                    <w:t>*</w:t>
                  </w:r>
                </w:p>
              </w:tc>
              <w:tc>
                <w:tcPr>
                  <w:tcW w:w="655" w:type="pct"/>
                  <w:gridSpan w:val="2"/>
                  <w:noWrap w:val="0"/>
                  <w:vAlign w:val="center"/>
                </w:tcPr>
                <w:p w14:paraId="05D24E4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w:t>
                  </w:r>
                </w:p>
              </w:tc>
              <w:tc>
                <w:tcPr>
                  <w:tcW w:w="755" w:type="pct"/>
                  <w:gridSpan w:val="2"/>
                  <w:shd w:val="clear" w:color="auto" w:fill="auto"/>
                  <w:noWrap w:val="0"/>
                  <w:vAlign w:val="center"/>
                </w:tcPr>
                <w:p w14:paraId="0B3DEBEA">
                  <w:pPr>
                    <w:keepNext w:val="0"/>
                    <w:keepLines w:val="0"/>
                    <w:pageBreakBefore w:val="0"/>
                    <w:kinsoku/>
                    <w:wordWrap/>
                    <w:overflowPunct/>
                    <w:topLinePunct w:val="0"/>
                    <w:autoSpaceDE/>
                    <w:autoSpaceDN/>
                    <w:bidi w:val="0"/>
                    <w:adjustRightInd/>
                    <w:snapToGrid/>
                    <w:spacing w:line="360" w:lineRule="exact"/>
                    <w:jc w:val="center"/>
                    <w:rPr>
                      <w:spacing w:val="-11"/>
                      <w:sz w:val="21"/>
                      <w:szCs w:val="21"/>
                      <w:lang w:val="en-US" w:eastAsia="zh-CN"/>
                    </w:rPr>
                  </w:pPr>
                  <w:r>
                    <w:rPr>
                      <w:rFonts w:hint="eastAsia"/>
                      <w:spacing w:val="-11"/>
                      <w:sz w:val="21"/>
                      <w:szCs w:val="21"/>
                      <w:lang w:val="en-US" w:eastAsia="zh-CN"/>
                    </w:rPr>
                    <w:t>300</w:t>
                  </w:r>
                </w:p>
              </w:tc>
              <w:tc>
                <w:tcPr>
                  <w:tcW w:w="492" w:type="pct"/>
                  <w:noWrap w:val="0"/>
                  <w:vAlign w:val="center"/>
                </w:tcPr>
                <w:p w14:paraId="1FADB867">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2.5 </w:t>
                  </w:r>
                </w:p>
              </w:tc>
              <w:tc>
                <w:tcPr>
                  <w:tcW w:w="421" w:type="pct"/>
                  <w:noWrap w:val="0"/>
                  <w:vAlign w:val="center"/>
                </w:tcPr>
                <w:p w14:paraId="03687DE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w:t>
                  </w:r>
                </w:p>
              </w:tc>
            </w:tr>
            <w:tr w14:paraId="6C3102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14DE921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00DE067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7F1C98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000000"/>
                      <w:sz w:val="21"/>
                      <w:szCs w:val="21"/>
                      <w:lang w:val="en-US" w:eastAsia="zh-CN" w:bidi="ar-SA"/>
                    </w:rPr>
                  </w:pPr>
                  <w:r>
                    <w:rPr>
                      <w:rFonts w:hint="eastAsia"/>
                      <w:spacing w:val="-11"/>
                      <w:sz w:val="21"/>
                      <w:szCs w:val="21"/>
                      <w:lang w:val="en-US" w:eastAsia="zh-CN"/>
                    </w:rPr>
                    <w:t>肝胆外科</w:t>
                  </w:r>
                </w:p>
              </w:tc>
              <w:tc>
                <w:tcPr>
                  <w:tcW w:w="626" w:type="pct"/>
                  <w:noWrap w:val="0"/>
                  <w:vAlign w:val="center"/>
                </w:tcPr>
                <w:p w14:paraId="49651EC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30s</w:t>
                  </w:r>
                  <w:r>
                    <w:rPr>
                      <w:rFonts w:eastAsia="黑体"/>
                      <w:bCs/>
                      <w:sz w:val="21"/>
                      <w:szCs w:val="21"/>
                    </w:rPr>
                    <w:t>*</w:t>
                  </w:r>
                </w:p>
              </w:tc>
              <w:tc>
                <w:tcPr>
                  <w:tcW w:w="655" w:type="pct"/>
                  <w:gridSpan w:val="2"/>
                  <w:noWrap w:val="0"/>
                  <w:vAlign w:val="center"/>
                </w:tcPr>
                <w:p w14:paraId="05786175">
                  <w:pPr>
                    <w:keepNext w:val="0"/>
                    <w:keepLines w:val="0"/>
                    <w:pageBreakBefore w:val="0"/>
                    <w:kinsoku/>
                    <w:wordWrap/>
                    <w:overflowPunct/>
                    <w:topLinePunct w:val="0"/>
                    <w:autoSpaceDE/>
                    <w:autoSpaceDN/>
                    <w:bidi w:val="0"/>
                    <w:adjustRightInd/>
                    <w:snapToGrid/>
                    <w:spacing w:line="360" w:lineRule="exact"/>
                    <w:jc w:val="center"/>
                    <w:rPr>
                      <w:rFonts w:hint="eastAsia" w:eastAsia="宋体"/>
                      <w:spacing w:val="-11"/>
                      <w:sz w:val="21"/>
                      <w:szCs w:val="21"/>
                      <w:lang w:val="en-US" w:eastAsia="zh-CN"/>
                    </w:rPr>
                  </w:pPr>
                  <w:r>
                    <w:rPr>
                      <w:rFonts w:hint="eastAsia"/>
                      <w:spacing w:val="-11"/>
                      <w:sz w:val="21"/>
                      <w:szCs w:val="21"/>
                      <w:lang w:val="en-US" w:eastAsia="zh-CN"/>
                    </w:rPr>
                    <w:t>/</w:t>
                  </w:r>
                </w:p>
              </w:tc>
              <w:tc>
                <w:tcPr>
                  <w:tcW w:w="755" w:type="pct"/>
                  <w:gridSpan w:val="2"/>
                  <w:shd w:val="clear" w:color="auto" w:fill="auto"/>
                  <w:noWrap w:val="0"/>
                  <w:vAlign w:val="center"/>
                </w:tcPr>
                <w:p w14:paraId="2A97FE52">
                  <w:pPr>
                    <w:keepNext w:val="0"/>
                    <w:keepLines w:val="0"/>
                    <w:pageBreakBefore w:val="0"/>
                    <w:kinsoku/>
                    <w:wordWrap/>
                    <w:overflowPunct/>
                    <w:topLinePunct w:val="0"/>
                    <w:autoSpaceDE/>
                    <w:autoSpaceDN/>
                    <w:bidi w:val="0"/>
                    <w:adjustRightInd/>
                    <w:snapToGrid/>
                    <w:spacing w:line="360" w:lineRule="exact"/>
                    <w:jc w:val="center"/>
                    <w:rPr>
                      <w:spacing w:val="-11"/>
                      <w:sz w:val="21"/>
                      <w:szCs w:val="21"/>
                      <w:lang w:val="en-US" w:eastAsia="zh-CN"/>
                    </w:rPr>
                  </w:pPr>
                  <w:r>
                    <w:rPr>
                      <w:rFonts w:hint="eastAsia"/>
                      <w:spacing w:val="-11"/>
                      <w:sz w:val="21"/>
                      <w:szCs w:val="21"/>
                      <w:lang w:val="en-US" w:eastAsia="zh-CN"/>
                    </w:rPr>
                    <w:t>100</w:t>
                  </w:r>
                </w:p>
              </w:tc>
              <w:tc>
                <w:tcPr>
                  <w:tcW w:w="492" w:type="pct"/>
                  <w:noWrap w:val="0"/>
                  <w:vAlign w:val="center"/>
                </w:tcPr>
                <w:p w14:paraId="70EB08CD">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0.8 </w:t>
                  </w:r>
                </w:p>
              </w:tc>
              <w:tc>
                <w:tcPr>
                  <w:tcW w:w="421" w:type="pct"/>
                  <w:noWrap w:val="0"/>
                  <w:vAlign w:val="center"/>
                </w:tcPr>
                <w:p w14:paraId="35B608A8">
                  <w:pPr>
                    <w:keepNext w:val="0"/>
                    <w:keepLines w:val="0"/>
                    <w:pageBreakBefore w:val="0"/>
                    <w:kinsoku/>
                    <w:wordWrap/>
                    <w:overflowPunct/>
                    <w:topLinePunct w:val="0"/>
                    <w:autoSpaceDE/>
                    <w:autoSpaceDN/>
                    <w:bidi w:val="0"/>
                    <w:adjustRightInd/>
                    <w:snapToGrid/>
                    <w:spacing w:line="360" w:lineRule="exact"/>
                    <w:jc w:val="center"/>
                    <w:rPr>
                      <w:rFonts w:hint="eastAsia"/>
                      <w:spacing w:val="-11"/>
                      <w:sz w:val="21"/>
                      <w:szCs w:val="21"/>
                      <w:lang w:val="en-US" w:eastAsia="zh-CN"/>
                    </w:rPr>
                  </w:pPr>
                  <w:r>
                    <w:rPr>
                      <w:rFonts w:hint="eastAsia"/>
                      <w:spacing w:val="-11"/>
                      <w:sz w:val="21"/>
                      <w:szCs w:val="21"/>
                      <w:lang w:val="en-US" w:eastAsia="zh-CN"/>
                    </w:rPr>
                    <w:t>/</w:t>
                  </w:r>
                </w:p>
              </w:tc>
            </w:tr>
            <w:tr w14:paraId="656BBB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572059A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1A63B52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2112" w:type="pct"/>
                  <w:gridSpan w:val="5"/>
                  <w:noWrap w:val="0"/>
                  <w:vAlign w:val="center"/>
                </w:tcPr>
                <w:p w14:paraId="4FA77F1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合计</w:t>
                  </w:r>
                </w:p>
              </w:tc>
              <w:tc>
                <w:tcPr>
                  <w:tcW w:w="1301" w:type="dxa"/>
                  <w:gridSpan w:val="2"/>
                  <w:noWrap w:val="0"/>
                  <w:vAlign w:val="center"/>
                </w:tcPr>
                <w:p w14:paraId="66128D50">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1000</w:t>
                  </w:r>
                </w:p>
              </w:tc>
              <w:tc>
                <w:tcPr>
                  <w:tcW w:w="848" w:type="dxa"/>
                  <w:shd w:val="clear" w:color="auto" w:fill="auto"/>
                  <w:noWrap w:val="0"/>
                  <w:vAlign w:val="center"/>
                </w:tcPr>
                <w:p w14:paraId="7B4A7EFA">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8.3 </w:t>
                  </w:r>
                </w:p>
              </w:tc>
              <w:tc>
                <w:tcPr>
                  <w:tcW w:w="421" w:type="pct"/>
                  <w:noWrap w:val="0"/>
                  <w:vAlign w:val="center"/>
                </w:tcPr>
                <w:p w14:paraId="089BE8A0">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w:t>
                  </w:r>
                </w:p>
              </w:tc>
            </w:tr>
            <w:tr w14:paraId="4C4A8C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restart"/>
                  <w:noWrap w:val="0"/>
                  <w:vAlign w:val="center"/>
                </w:tcPr>
                <w:p w14:paraId="2157FBA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DSA手术室（</w:t>
                  </w:r>
                  <w:r>
                    <w:rPr>
                      <w:rFonts w:hint="eastAsia"/>
                      <w:spacing w:val="-11"/>
                      <w:sz w:val="21"/>
                      <w:szCs w:val="21"/>
                      <w:lang w:val="en-US" w:eastAsia="zh-CN"/>
                    </w:rPr>
                    <w:t>OR09</w:t>
                  </w:r>
                  <w:r>
                    <w:rPr>
                      <w:spacing w:val="-11"/>
                      <w:sz w:val="21"/>
                      <w:szCs w:val="21"/>
                    </w:rPr>
                    <w:t>）</w:t>
                  </w:r>
                </w:p>
              </w:tc>
              <w:tc>
                <w:tcPr>
                  <w:tcW w:w="538" w:type="pct"/>
                  <w:gridSpan w:val="2"/>
                  <w:vMerge w:val="restart"/>
                  <w:noWrap w:val="0"/>
                  <w:vAlign w:val="center"/>
                </w:tcPr>
                <w:p w14:paraId="217B326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31" w:type="pct"/>
                  <w:gridSpan w:val="2"/>
                  <w:shd w:val="clear" w:color="auto" w:fill="auto"/>
                  <w:noWrap w:val="0"/>
                  <w:vAlign w:val="center"/>
                </w:tcPr>
                <w:p w14:paraId="5DC2696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spacing w:val="-11"/>
                      <w:sz w:val="21"/>
                      <w:szCs w:val="21"/>
                    </w:rPr>
                    <w:t>心</w:t>
                  </w:r>
                  <w:r>
                    <w:rPr>
                      <w:rFonts w:hint="eastAsia"/>
                      <w:spacing w:val="-11"/>
                      <w:sz w:val="21"/>
                      <w:szCs w:val="21"/>
                      <w:lang w:val="en-US" w:eastAsia="zh-CN"/>
                    </w:rPr>
                    <w:t>胸</w:t>
                  </w:r>
                  <w:r>
                    <w:rPr>
                      <w:spacing w:val="-11"/>
                      <w:sz w:val="21"/>
                      <w:szCs w:val="21"/>
                    </w:rPr>
                    <w:t>内科</w:t>
                  </w:r>
                </w:p>
              </w:tc>
              <w:tc>
                <w:tcPr>
                  <w:tcW w:w="626" w:type="pct"/>
                  <w:noWrap w:val="0"/>
                  <w:vAlign w:val="center"/>
                </w:tcPr>
                <w:p w14:paraId="336EA481">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spacing w:val="-11"/>
                      <w:sz w:val="21"/>
                      <w:szCs w:val="21"/>
                    </w:rPr>
                    <w:t>30s</w:t>
                  </w:r>
                </w:p>
              </w:tc>
              <w:tc>
                <w:tcPr>
                  <w:tcW w:w="655" w:type="pct"/>
                  <w:gridSpan w:val="2"/>
                  <w:noWrap w:val="0"/>
                  <w:vAlign w:val="center"/>
                </w:tcPr>
                <w:p w14:paraId="70A064C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15min</w:t>
                  </w:r>
                </w:p>
              </w:tc>
              <w:tc>
                <w:tcPr>
                  <w:tcW w:w="755" w:type="pct"/>
                  <w:gridSpan w:val="2"/>
                  <w:shd w:val="clear" w:color="auto" w:fill="auto"/>
                  <w:noWrap w:val="0"/>
                  <w:vAlign w:val="center"/>
                </w:tcPr>
                <w:p w14:paraId="3569760D">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400</w:t>
                  </w:r>
                </w:p>
              </w:tc>
              <w:tc>
                <w:tcPr>
                  <w:tcW w:w="848" w:type="dxa"/>
                  <w:noWrap w:val="0"/>
                  <w:vAlign w:val="center"/>
                </w:tcPr>
                <w:p w14:paraId="31D5617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4.2 </w:t>
                  </w:r>
                </w:p>
              </w:tc>
              <w:tc>
                <w:tcPr>
                  <w:tcW w:w="729" w:type="dxa"/>
                  <w:noWrap w:val="0"/>
                  <w:vAlign w:val="center"/>
                </w:tcPr>
                <w:p w14:paraId="23169FD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125.0 </w:t>
                  </w:r>
                </w:p>
              </w:tc>
            </w:tr>
            <w:tr w14:paraId="0163B6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416CC982">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1CC57CF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094B79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spacing w:val="-11"/>
                      <w:sz w:val="21"/>
                      <w:szCs w:val="21"/>
                    </w:rPr>
                    <w:t>血管</w:t>
                  </w:r>
                  <w:r>
                    <w:rPr>
                      <w:rFonts w:hint="eastAsia"/>
                      <w:spacing w:val="-11"/>
                      <w:sz w:val="21"/>
                      <w:szCs w:val="21"/>
                      <w:lang w:val="en-US" w:eastAsia="zh-CN"/>
                    </w:rPr>
                    <w:t>内</w:t>
                  </w:r>
                  <w:r>
                    <w:rPr>
                      <w:spacing w:val="-11"/>
                      <w:sz w:val="21"/>
                      <w:szCs w:val="21"/>
                    </w:rPr>
                    <w:t>科</w:t>
                  </w:r>
                </w:p>
              </w:tc>
              <w:tc>
                <w:tcPr>
                  <w:tcW w:w="626" w:type="pct"/>
                  <w:noWrap w:val="0"/>
                  <w:vAlign w:val="center"/>
                </w:tcPr>
                <w:p w14:paraId="3D995108">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5B6B44A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shd w:val="clear" w:color="auto" w:fill="auto"/>
                  <w:noWrap w:val="0"/>
                  <w:vAlign w:val="center"/>
                </w:tcPr>
                <w:p w14:paraId="6BFA7D9D">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300</w:t>
                  </w:r>
                </w:p>
              </w:tc>
              <w:tc>
                <w:tcPr>
                  <w:tcW w:w="492" w:type="pct"/>
                  <w:noWrap w:val="0"/>
                  <w:vAlign w:val="center"/>
                </w:tcPr>
                <w:p w14:paraId="2EADAA6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1.7 </w:t>
                  </w:r>
                </w:p>
              </w:tc>
              <w:tc>
                <w:tcPr>
                  <w:tcW w:w="421" w:type="pct"/>
                  <w:noWrap w:val="0"/>
                  <w:vAlign w:val="center"/>
                </w:tcPr>
                <w:p w14:paraId="045591B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50.0 </w:t>
                  </w:r>
                </w:p>
              </w:tc>
            </w:tr>
            <w:tr w14:paraId="0FBA7D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0F445A9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47FB744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3D3553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11"/>
                      <w:sz w:val="21"/>
                      <w:szCs w:val="21"/>
                      <w:lang w:val="en-US" w:eastAsia="zh-CN" w:bidi="ar-SA"/>
                    </w:rPr>
                  </w:pPr>
                  <w:r>
                    <w:rPr>
                      <w:rFonts w:hint="eastAsia"/>
                      <w:color w:val="000000"/>
                      <w:sz w:val="21"/>
                      <w:szCs w:val="21"/>
                      <w:lang w:val="en-US" w:eastAsia="zh-CN"/>
                    </w:rPr>
                    <w:t>神经内科</w:t>
                  </w:r>
                </w:p>
              </w:tc>
              <w:tc>
                <w:tcPr>
                  <w:tcW w:w="626" w:type="pct"/>
                  <w:noWrap w:val="0"/>
                  <w:vAlign w:val="center"/>
                </w:tcPr>
                <w:p w14:paraId="0097729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5335409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shd w:val="clear" w:color="auto" w:fill="auto"/>
                  <w:noWrap w:val="0"/>
                  <w:vAlign w:val="center"/>
                </w:tcPr>
                <w:p w14:paraId="5C5516E3">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500</w:t>
                  </w:r>
                </w:p>
              </w:tc>
              <w:tc>
                <w:tcPr>
                  <w:tcW w:w="492" w:type="pct"/>
                  <w:noWrap w:val="0"/>
                  <w:vAlign w:val="center"/>
                </w:tcPr>
                <w:p w14:paraId="14B6B14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2.8 </w:t>
                  </w:r>
                </w:p>
              </w:tc>
              <w:tc>
                <w:tcPr>
                  <w:tcW w:w="421" w:type="pct"/>
                  <w:noWrap w:val="0"/>
                  <w:vAlign w:val="center"/>
                </w:tcPr>
                <w:p w14:paraId="7F83E1E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83.3 </w:t>
                  </w:r>
                </w:p>
              </w:tc>
            </w:tr>
            <w:tr w14:paraId="58FE83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087676E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168BADB9">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2112" w:type="pct"/>
                  <w:gridSpan w:val="5"/>
                  <w:noWrap w:val="0"/>
                  <w:vAlign w:val="center"/>
                </w:tcPr>
                <w:p w14:paraId="65117C1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合计</w:t>
                  </w:r>
                </w:p>
              </w:tc>
              <w:tc>
                <w:tcPr>
                  <w:tcW w:w="1301" w:type="dxa"/>
                  <w:gridSpan w:val="2"/>
                  <w:noWrap w:val="0"/>
                  <w:vAlign w:val="center"/>
                </w:tcPr>
                <w:p w14:paraId="11997B3B">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1200</w:t>
                  </w:r>
                </w:p>
              </w:tc>
              <w:tc>
                <w:tcPr>
                  <w:tcW w:w="848" w:type="dxa"/>
                  <w:noWrap w:val="0"/>
                  <w:vAlign w:val="center"/>
                </w:tcPr>
                <w:p w14:paraId="0DFE076F">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7.8 </w:t>
                  </w:r>
                </w:p>
              </w:tc>
              <w:tc>
                <w:tcPr>
                  <w:tcW w:w="727" w:type="dxa"/>
                  <w:noWrap w:val="0"/>
                  <w:vAlign w:val="center"/>
                </w:tcPr>
                <w:p w14:paraId="3759530E">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233.3 </w:t>
                  </w:r>
                </w:p>
              </w:tc>
            </w:tr>
            <w:tr w14:paraId="7C7720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restart"/>
                  <w:noWrap w:val="0"/>
                  <w:vAlign w:val="center"/>
                </w:tcPr>
                <w:p w14:paraId="067F28A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DSA手术室（</w:t>
                  </w:r>
                  <w:r>
                    <w:rPr>
                      <w:rFonts w:hint="eastAsia"/>
                      <w:spacing w:val="-11"/>
                      <w:sz w:val="21"/>
                      <w:szCs w:val="21"/>
                      <w:lang w:val="en-US" w:eastAsia="zh-CN"/>
                    </w:rPr>
                    <w:t>OR10</w:t>
                  </w:r>
                  <w:r>
                    <w:rPr>
                      <w:spacing w:val="-11"/>
                      <w:sz w:val="21"/>
                      <w:szCs w:val="21"/>
                    </w:rPr>
                    <w:t>）</w:t>
                  </w:r>
                </w:p>
              </w:tc>
              <w:tc>
                <w:tcPr>
                  <w:tcW w:w="538" w:type="pct"/>
                  <w:gridSpan w:val="2"/>
                  <w:vMerge w:val="restart"/>
                  <w:noWrap w:val="0"/>
                  <w:vAlign w:val="center"/>
                </w:tcPr>
                <w:p w14:paraId="40EE3AC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31" w:type="pct"/>
                  <w:gridSpan w:val="2"/>
                  <w:shd w:val="clear" w:color="auto" w:fill="auto"/>
                  <w:noWrap w:val="0"/>
                  <w:vAlign w:val="center"/>
                </w:tcPr>
                <w:p w14:paraId="6B6C46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肝胆外科</w:t>
                  </w:r>
                </w:p>
              </w:tc>
              <w:tc>
                <w:tcPr>
                  <w:tcW w:w="626" w:type="pct"/>
                  <w:noWrap w:val="0"/>
                  <w:vAlign w:val="center"/>
                </w:tcPr>
                <w:p w14:paraId="21AED7BB">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spacing w:val="-11"/>
                      <w:sz w:val="21"/>
                      <w:szCs w:val="21"/>
                    </w:rPr>
                    <w:t>30s</w:t>
                  </w:r>
                </w:p>
              </w:tc>
              <w:tc>
                <w:tcPr>
                  <w:tcW w:w="655" w:type="pct"/>
                  <w:gridSpan w:val="2"/>
                  <w:noWrap w:val="0"/>
                  <w:vAlign w:val="center"/>
                </w:tcPr>
                <w:p w14:paraId="0E91CDB8">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15min</w:t>
                  </w:r>
                </w:p>
              </w:tc>
              <w:tc>
                <w:tcPr>
                  <w:tcW w:w="755" w:type="pct"/>
                  <w:gridSpan w:val="2"/>
                  <w:shd w:val="clear" w:color="auto" w:fill="auto"/>
                  <w:noWrap w:val="0"/>
                  <w:vAlign w:val="center"/>
                </w:tcPr>
                <w:p w14:paraId="4125E24D">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100</w:t>
                  </w:r>
                </w:p>
              </w:tc>
              <w:tc>
                <w:tcPr>
                  <w:tcW w:w="492" w:type="pct"/>
                  <w:noWrap w:val="0"/>
                  <w:vAlign w:val="center"/>
                </w:tcPr>
                <w:p w14:paraId="3AFC210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0.8 </w:t>
                  </w:r>
                </w:p>
              </w:tc>
              <w:tc>
                <w:tcPr>
                  <w:tcW w:w="421" w:type="pct"/>
                  <w:noWrap w:val="0"/>
                  <w:vAlign w:val="center"/>
                </w:tcPr>
                <w:p w14:paraId="20611D7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25.0 </w:t>
                  </w:r>
                </w:p>
              </w:tc>
            </w:tr>
            <w:tr w14:paraId="49D787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79DC053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4759DE0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230E3F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呼吸内科</w:t>
                  </w:r>
                </w:p>
              </w:tc>
              <w:tc>
                <w:tcPr>
                  <w:tcW w:w="626" w:type="pct"/>
                  <w:noWrap w:val="0"/>
                  <w:vAlign w:val="center"/>
                </w:tcPr>
                <w:p w14:paraId="783068A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584528F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shd w:val="clear" w:color="auto" w:fill="auto"/>
                  <w:noWrap w:val="0"/>
                  <w:vAlign w:val="center"/>
                </w:tcPr>
                <w:p w14:paraId="3240DF44">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150</w:t>
                  </w:r>
                </w:p>
              </w:tc>
              <w:tc>
                <w:tcPr>
                  <w:tcW w:w="492" w:type="pct"/>
                  <w:noWrap w:val="0"/>
                  <w:vAlign w:val="center"/>
                </w:tcPr>
                <w:p w14:paraId="044D5ED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0.8 </w:t>
                  </w:r>
                </w:p>
              </w:tc>
              <w:tc>
                <w:tcPr>
                  <w:tcW w:w="421" w:type="pct"/>
                  <w:noWrap w:val="0"/>
                  <w:vAlign w:val="center"/>
                </w:tcPr>
                <w:p w14:paraId="7067B27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25.0 </w:t>
                  </w:r>
                </w:p>
              </w:tc>
            </w:tr>
            <w:tr w14:paraId="641A11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680" w:type="pct"/>
                  <w:gridSpan w:val="2"/>
                  <w:vMerge w:val="continue"/>
                  <w:noWrap w:val="0"/>
                  <w:vAlign w:val="center"/>
                </w:tcPr>
                <w:p w14:paraId="333AF2F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65552FC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0BA912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血管外科</w:t>
                  </w:r>
                </w:p>
              </w:tc>
              <w:tc>
                <w:tcPr>
                  <w:tcW w:w="626" w:type="pct"/>
                  <w:noWrap w:val="0"/>
                  <w:vAlign w:val="center"/>
                </w:tcPr>
                <w:p w14:paraId="0B1D8A15">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50127AE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shd w:val="clear" w:color="auto" w:fill="auto"/>
                  <w:noWrap w:val="0"/>
                  <w:vAlign w:val="center"/>
                </w:tcPr>
                <w:p w14:paraId="4D49A4B1">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500</w:t>
                  </w:r>
                </w:p>
              </w:tc>
              <w:tc>
                <w:tcPr>
                  <w:tcW w:w="492" w:type="pct"/>
                  <w:noWrap w:val="0"/>
                  <w:vAlign w:val="center"/>
                </w:tcPr>
                <w:p w14:paraId="458F75D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2.8 </w:t>
                  </w:r>
                </w:p>
              </w:tc>
              <w:tc>
                <w:tcPr>
                  <w:tcW w:w="421" w:type="pct"/>
                  <w:noWrap w:val="0"/>
                  <w:vAlign w:val="center"/>
                </w:tcPr>
                <w:p w14:paraId="6AEB94A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83.3 </w:t>
                  </w:r>
                </w:p>
              </w:tc>
            </w:tr>
            <w:tr w14:paraId="72AB7F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680" w:type="pct"/>
                  <w:gridSpan w:val="2"/>
                  <w:vMerge w:val="continue"/>
                  <w:noWrap w:val="0"/>
                  <w:vAlign w:val="center"/>
                </w:tcPr>
                <w:p w14:paraId="0D65AA9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6C326B9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2112" w:type="pct"/>
                  <w:gridSpan w:val="5"/>
                  <w:noWrap w:val="0"/>
                  <w:vAlign w:val="center"/>
                </w:tcPr>
                <w:p w14:paraId="36E3B4B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合计</w:t>
                  </w:r>
                </w:p>
              </w:tc>
              <w:tc>
                <w:tcPr>
                  <w:tcW w:w="755" w:type="pct"/>
                  <w:gridSpan w:val="2"/>
                  <w:noWrap w:val="0"/>
                  <w:vAlign w:val="center"/>
                </w:tcPr>
                <w:p w14:paraId="45EC6A28">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750</w:t>
                  </w:r>
                </w:p>
              </w:tc>
              <w:tc>
                <w:tcPr>
                  <w:tcW w:w="848" w:type="dxa"/>
                  <w:noWrap w:val="0"/>
                  <w:vAlign w:val="center"/>
                </w:tcPr>
                <w:p w14:paraId="0CB407E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4.4 </w:t>
                  </w:r>
                </w:p>
              </w:tc>
              <w:tc>
                <w:tcPr>
                  <w:tcW w:w="727" w:type="dxa"/>
                  <w:noWrap w:val="0"/>
                  <w:vAlign w:val="center"/>
                </w:tcPr>
                <w:p w14:paraId="6EEA479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133.3 </w:t>
                  </w:r>
                </w:p>
              </w:tc>
            </w:tr>
            <w:tr w14:paraId="015221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restart"/>
                  <w:noWrap w:val="0"/>
                  <w:vAlign w:val="center"/>
                </w:tcPr>
                <w:p w14:paraId="603A72B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DSA手术室（</w:t>
                  </w:r>
                  <w:r>
                    <w:rPr>
                      <w:rFonts w:hint="eastAsia"/>
                      <w:spacing w:val="-11"/>
                      <w:sz w:val="21"/>
                      <w:szCs w:val="21"/>
                      <w:lang w:val="en-US" w:eastAsia="zh-CN"/>
                    </w:rPr>
                    <w:t>OR11</w:t>
                  </w:r>
                  <w:r>
                    <w:rPr>
                      <w:spacing w:val="-11"/>
                      <w:sz w:val="21"/>
                      <w:szCs w:val="21"/>
                    </w:rPr>
                    <w:t>）</w:t>
                  </w:r>
                </w:p>
              </w:tc>
              <w:tc>
                <w:tcPr>
                  <w:tcW w:w="538" w:type="pct"/>
                  <w:gridSpan w:val="2"/>
                  <w:vMerge w:val="restart"/>
                  <w:noWrap w:val="0"/>
                  <w:vAlign w:val="center"/>
                </w:tcPr>
                <w:p w14:paraId="348E7B08">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DSA</w:t>
                  </w:r>
                </w:p>
              </w:tc>
              <w:tc>
                <w:tcPr>
                  <w:tcW w:w="831" w:type="pct"/>
                  <w:gridSpan w:val="2"/>
                  <w:shd w:val="clear" w:color="auto" w:fill="auto"/>
                  <w:noWrap w:val="0"/>
                  <w:vAlign w:val="center"/>
                </w:tcPr>
                <w:p w14:paraId="036C07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泌尿外科</w:t>
                  </w:r>
                </w:p>
              </w:tc>
              <w:tc>
                <w:tcPr>
                  <w:tcW w:w="626" w:type="pct"/>
                  <w:noWrap w:val="0"/>
                  <w:vAlign w:val="center"/>
                </w:tcPr>
                <w:p w14:paraId="05083B2B">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spacing w:val="-11"/>
                      <w:sz w:val="21"/>
                      <w:szCs w:val="21"/>
                    </w:rPr>
                    <w:t>30s</w:t>
                  </w:r>
                </w:p>
              </w:tc>
              <w:tc>
                <w:tcPr>
                  <w:tcW w:w="655" w:type="pct"/>
                  <w:gridSpan w:val="2"/>
                  <w:noWrap w:val="0"/>
                  <w:vAlign w:val="center"/>
                </w:tcPr>
                <w:p w14:paraId="6D79C77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15min</w:t>
                  </w:r>
                </w:p>
              </w:tc>
              <w:tc>
                <w:tcPr>
                  <w:tcW w:w="755" w:type="pct"/>
                  <w:gridSpan w:val="2"/>
                  <w:shd w:val="clear" w:color="auto" w:fill="auto"/>
                  <w:noWrap w:val="0"/>
                  <w:vAlign w:val="center"/>
                </w:tcPr>
                <w:p w14:paraId="5371D012">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200</w:t>
                  </w:r>
                </w:p>
              </w:tc>
              <w:tc>
                <w:tcPr>
                  <w:tcW w:w="492" w:type="pct"/>
                  <w:noWrap w:val="0"/>
                  <w:vAlign w:val="center"/>
                </w:tcPr>
                <w:p w14:paraId="58FE90E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1.7 </w:t>
                  </w:r>
                </w:p>
              </w:tc>
              <w:tc>
                <w:tcPr>
                  <w:tcW w:w="421" w:type="pct"/>
                  <w:noWrap w:val="0"/>
                  <w:vAlign w:val="center"/>
                </w:tcPr>
                <w:p w14:paraId="370A805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50.0 </w:t>
                  </w:r>
                </w:p>
              </w:tc>
            </w:tr>
            <w:tr w14:paraId="7BA811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51CCADD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4DB33E3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57398A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神经外科</w:t>
                  </w:r>
                </w:p>
              </w:tc>
              <w:tc>
                <w:tcPr>
                  <w:tcW w:w="626" w:type="pct"/>
                  <w:noWrap w:val="0"/>
                  <w:vAlign w:val="center"/>
                </w:tcPr>
                <w:p w14:paraId="477CAD1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444B3A92">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shd w:val="clear" w:color="auto" w:fill="auto"/>
                  <w:noWrap w:val="0"/>
                  <w:vAlign w:val="center"/>
                </w:tcPr>
                <w:p w14:paraId="79B0735B">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200</w:t>
                  </w:r>
                </w:p>
              </w:tc>
              <w:tc>
                <w:tcPr>
                  <w:tcW w:w="492" w:type="pct"/>
                  <w:noWrap w:val="0"/>
                  <w:vAlign w:val="center"/>
                </w:tcPr>
                <w:p w14:paraId="1E8802EC">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1.1 </w:t>
                  </w:r>
                </w:p>
              </w:tc>
              <w:tc>
                <w:tcPr>
                  <w:tcW w:w="421" w:type="pct"/>
                  <w:noWrap w:val="0"/>
                  <w:vAlign w:val="center"/>
                </w:tcPr>
                <w:p w14:paraId="23A2F4B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33.3 </w:t>
                  </w:r>
                </w:p>
              </w:tc>
            </w:tr>
            <w:tr w14:paraId="7D220A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680" w:type="pct"/>
                  <w:gridSpan w:val="2"/>
                  <w:vMerge w:val="continue"/>
                  <w:noWrap w:val="0"/>
                  <w:vAlign w:val="center"/>
                </w:tcPr>
                <w:p w14:paraId="0986FD2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3EC288C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shd w:val="clear" w:color="auto" w:fill="auto"/>
                  <w:noWrap w:val="0"/>
                  <w:vAlign w:val="center"/>
                </w:tcPr>
                <w:p w14:paraId="6EF2A3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cs="Times New Roman"/>
                      <w:spacing w:val="-11"/>
                      <w:sz w:val="21"/>
                      <w:szCs w:val="21"/>
                      <w:lang w:val="en-US" w:eastAsia="zh-CN" w:bidi="ar-SA"/>
                    </w:rPr>
                    <w:t>肿瘤科</w:t>
                  </w:r>
                </w:p>
              </w:tc>
              <w:tc>
                <w:tcPr>
                  <w:tcW w:w="626" w:type="pct"/>
                  <w:noWrap w:val="0"/>
                  <w:vAlign w:val="center"/>
                </w:tcPr>
                <w:p w14:paraId="77F57C20">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2CE895C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1301" w:type="dxa"/>
                  <w:gridSpan w:val="2"/>
                  <w:shd w:val="clear" w:color="auto" w:fill="auto"/>
                  <w:noWrap w:val="0"/>
                  <w:vAlign w:val="center"/>
                </w:tcPr>
                <w:p w14:paraId="70A17E41">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600</w:t>
                  </w:r>
                </w:p>
              </w:tc>
              <w:tc>
                <w:tcPr>
                  <w:tcW w:w="848" w:type="dxa"/>
                  <w:noWrap w:val="0"/>
                  <w:vAlign w:val="center"/>
                </w:tcPr>
                <w:p w14:paraId="7C1BE4F1">
                  <w:pPr>
                    <w:keepNext w:val="0"/>
                    <w:keepLines w:val="0"/>
                    <w:pageBreakBefore w:val="0"/>
                    <w:kinsoku/>
                    <w:wordWrap/>
                    <w:overflowPunct/>
                    <w:topLinePunct w:val="0"/>
                    <w:autoSpaceDE/>
                    <w:autoSpaceDN/>
                    <w:bidi w:val="0"/>
                    <w:adjustRightInd/>
                    <w:snapToGrid/>
                    <w:spacing w:line="360" w:lineRule="exact"/>
                    <w:jc w:val="center"/>
                    <w:rPr>
                      <w:rFonts w:hint="eastAsia"/>
                      <w:spacing w:val="-11"/>
                      <w:sz w:val="21"/>
                      <w:szCs w:val="21"/>
                      <w:lang w:val="en-US" w:eastAsia="zh-CN"/>
                    </w:rPr>
                  </w:pPr>
                  <w:r>
                    <w:rPr>
                      <w:rFonts w:hint="default"/>
                      <w:spacing w:val="-11"/>
                      <w:sz w:val="21"/>
                      <w:szCs w:val="21"/>
                      <w:lang w:val="en-US" w:eastAsia="zh-CN"/>
                    </w:rPr>
                    <w:t xml:space="preserve">3.3 </w:t>
                  </w:r>
                </w:p>
              </w:tc>
              <w:tc>
                <w:tcPr>
                  <w:tcW w:w="729" w:type="dxa"/>
                  <w:noWrap w:val="0"/>
                  <w:vAlign w:val="center"/>
                </w:tcPr>
                <w:p w14:paraId="174C7C2B">
                  <w:pPr>
                    <w:keepNext w:val="0"/>
                    <w:keepLines w:val="0"/>
                    <w:pageBreakBefore w:val="0"/>
                    <w:kinsoku/>
                    <w:wordWrap/>
                    <w:overflowPunct/>
                    <w:topLinePunct w:val="0"/>
                    <w:autoSpaceDE/>
                    <w:autoSpaceDN/>
                    <w:bidi w:val="0"/>
                    <w:adjustRightInd/>
                    <w:snapToGrid/>
                    <w:spacing w:line="360" w:lineRule="exact"/>
                    <w:jc w:val="center"/>
                    <w:rPr>
                      <w:rFonts w:hint="eastAsia"/>
                      <w:spacing w:val="-11"/>
                      <w:sz w:val="21"/>
                      <w:szCs w:val="21"/>
                      <w:lang w:val="en-US" w:eastAsia="zh-CN"/>
                    </w:rPr>
                  </w:pPr>
                  <w:r>
                    <w:rPr>
                      <w:rFonts w:hint="default"/>
                      <w:spacing w:val="-11"/>
                      <w:sz w:val="21"/>
                      <w:szCs w:val="21"/>
                      <w:lang w:val="en-US" w:eastAsia="zh-CN"/>
                    </w:rPr>
                    <w:t xml:space="preserve">100.0 </w:t>
                  </w:r>
                </w:p>
              </w:tc>
            </w:tr>
            <w:tr w14:paraId="79243F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1F6F4A4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54AA2076">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2112" w:type="pct"/>
                  <w:gridSpan w:val="5"/>
                  <w:noWrap w:val="0"/>
                  <w:vAlign w:val="center"/>
                </w:tcPr>
                <w:p w14:paraId="26639AB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合计</w:t>
                  </w:r>
                </w:p>
              </w:tc>
              <w:tc>
                <w:tcPr>
                  <w:tcW w:w="1301" w:type="dxa"/>
                  <w:gridSpan w:val="2"/>
                  <w:noWrap w:val="0"/>
                  <w:vAlign w:val="center"/>
                </w:tcPr>
                <w:p w14:paraId="521920A2">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1000</w:t>
                  </w:r>
                </w:p>
              </w:tc>
              <w:tc>
                <w:tcPr>
                  <w:tcW w:w="848" w:type="dxa"/>
                  <w:noWrap w:val="0"/>
                  <w:vAlign w:val="center"/>
                </w:tcPr>
                <w:p w14:paraId="5DF17C7A">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6.1 </w:t>
                  </w:r>
                </w:p>
              </w:tc>
              <w:tc>
                <w:tcPr>
                  <w:tcW w:w="727" w:type="dxa"/>
                  <w:noWrap w:val="0"/>
                  <w:vAlign w:val="center"/>
                </w:tcPr>
                <w:p w14:paraId="1FDAD27B">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default"/>
                      <w:spacing w:val="-11"/>
                      <w:sz w:val="21"/>
                      <w:szCs w:val="21"/>
                      <w:lang w:val="en-US" w:eastAsia="zh-CN"/>
                    </w:rPr>
                    <w:t xml:space="preserve">183.3 </w:t>
                  </w:r>
                </w:p>
              </w:tc>
            </w:tr>
            <w:tr w14:paraId="630406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restart"/>
                  <w:noWrap w:val="0"/>
                  <w:vAlign w:val="center"/>
                </w:tcPr>
                <w:p w14:paraId="2979A397">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eastAsia"/>
                      <w:spacing w:val="-11"/>
                      <w:sz w:val="21"/>
                      <w:szCs w:val="21"/>
                      <w:lang w:val="en-US" w:eastAsia="zh-CN"/>
                    </w:rPr>
                    <w:t>ERCP</w:t>
                  </w:r>
                  <w:r>
                    <w:rPr>
                      <w:spacing w:val="-11"/>
                      <w:sz w:val="21"/>
                      <w:szCs w:val="21"/>
                    </w:rPr>
                    <w:t>室</w:t>
                  </w:r>
                </w:p>
              </w:tc>
              <w:tc>
                <w:tcPr>
                  <w:tcW w:w="538" w:type="pct"/>
                  <w:gridSpan w:val="2"/>
                  <w:vMerge w:val="restart"/>
                  <w:noWrap w:val="0"/>
                  <w:vAlign w:val="center"/>
                </w:tcPr>
                <w:p w14:paraId="60E224C0">
                  <w:pPr>
                    <w:keepNext w:val="0"/>
                    <w:keepLines w:val="0"/>
                    <w:pageBreakBefore w:val="0"/>
                    <w:kinsoku/>
                    <w:wordWrap/>
                    <w:overflowPunct/>
                    <w:topLinePunct w:val="0"/>
                    <w:autoSpaceDE/>
                    <w:autoSpaceDN/>
                    <w:bidi w:val="0"/>
                    <w:adjustRightInd/>
                    <w:snapToGrid/>
                    <w:spacing w:line="360" w:lineRule="exact"/>
                    <w:jc w:val="center"/>
                    <w:rPr>
                      <w:rFonts w:hint="eastAsia" w:eastAsia="宋体"/>
                      <w:spacing w:val="-11"/>
                      <w:sz w:val="21"/>
                      <w:szCs w:val="21"/>
                      <w:lang w:eastAsia="zh-CN"/>
                    </w:rPr>
                  </w:pPr>
                  <w:r>
                    <w:rPr>
                      <w:rFonts w:hint="eastAsia"/>
                      <w:spacing w:val="-11"/>
                      <w:sz w:val="21"/>
                      <w:szCs w:val="21"/>
                      <w:lang w:val="en-US" w:eastAsia="zh-CN"/>
                    </w:rPr>
                    <w:t>ERCP</w:t>
                  </w:r>
                </w:p>
              </w:tc>
              <w:tc>
                <w:tcPr>
                  <w:tcW w:w="831" w:type="pct"/>
                  <w:gridSpan w:val="2"/>
                  <w:noWrap w:val="0"/>
                  <w:vAlign w:val="center"/>
                </w:tcPr>
                <w:p w14:paraId="741C9C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rFonts w:hint="eastAsia"/>
                      <w:spacing w:val="-11"/>
                      <w:sz w:val="21"/>
                      <w:szCs w:val="21"/>
                      <w:highlight w:val="none"/>
                      <w:lang w:val="en-US" w:eastAsia="zh-CN"/>
                    </w:rPr>
                    <w:t>脾胃病</w:t>
                  </w:r>
                  <w:r>
                    <w:rPr>
                      <w:spacing w:val="-11"/>
                      <w:sz w:val="21"/>
                      <w:szCs w:val="21"/>
                      <w:highlight w:val="none"/>
                    </w:rPr>
                    <w:t>科</w:t>
                  </w:r>
                </w:p>
              </w:tc>
              <w:tc>
                <w:tcPr>
                  <w:tcW w:w="626" w:type="pct"/>
                  <w:noWrap w:val="0"/>
                  <w:vAlign w:val="center"/>
                </w:tcPr>
                <w:p w14:paraId="56E944A3">
                  <w:pPr>
                    <w:keepNext w:val="0"/>
                    <w:keepLines w:val="0"/>
                    <w:pageBreakBefore w:val="0"/>
                    <w:kinsoku/>
                    <w:wordWrap/>
                    <w:overflowPunct/>
                    <w:topLinePunct w:val="0"/>
                    <w:autoSpaceDE/>
                    <w:autoSpaceDN/>
                    <w:bidi w:val="0"/>
                    <w:adjustRightInd/>
                    <w:snapToGrid/>
                    <w:spacing w:line="360" w:lineRule="exact"/>
                    <w:jc w:val="center"/>
                    <w:rPr>
                      <w:b/>
                      <w:bCs/>
                      <w:spacing w:val="-11"/>
                      <w:sz w:val="21"/>
                      <w:szCs w:val="21"/>
                    </w:rPr>
                  </w:pPr>
                  <w:r>
                    <w:rPr>
                      <w:spacing w:val="-11"/>
                      <w:sz w:val="21"/>
                      <w:szCs w:val="21"/>
                    </w:rPr>
                    <w:t>30s</w:t>
                  </w:r>
                </w:p>
              </w:tc>
              <w:tc>
                <w:tcPr>
                  <w:tcW w:w="655" w:type="pct"/>
                  <w:gridSpan w:val="2"/>
                  <w:noWrap w:val="0"/>
                  <w:vAlign w:val="center"/>
                </w:tcPr>
                <w:p w14:paraId="376A99B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15min</w:t>
                  </w:r>
                </w:p>
              </w:tc>
              <w:tc>
                <w:tcPr>
                  <w:tcW w:w="755" w:type="pct"/>
                  <w:gridSpan w:val="2"/>
                  <w:shd w:val="clear" w:color="auto" w:fill="auto"/>
                  <w:noWrap w:val="0"/>
                  <w:vAlign w:val="center"/>
                </w:tcPr>
                <w:p w14:paraId="240319B4">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150</w:t>
                  </w:r>
                </w:p>
              </w:tc>
              <w:tc>
                <w:tcPr>
                  <w:tcW w:w="492" w:type="pct"/>
                  <w:noWrap w:val="0"/>
                  <w:vAlign w:val="center"/>
                </w:tcPr>
                <w:p w14:paraId="1D2109F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1.3 </w:t>
                  </w:r>
                </w:p>
              </w:tc>
              <w:tc>
                <w:tcPr>
                  <w:tcW w:w="421" w:type="pct"/>
                  <w:noWrap w:val="0"/>
                  <w:vAlign w:val="center"/>
                </w:tcPr>
                <w:p w14:paraId="32463B5A">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37.5 </w:t>
                  </w:r>
                </w:p>
              </w:tc>
            </w:tr>
            <w:tr w14:paraId="79D916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2990901D">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69BE789F">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831" w:type="pct"/>
                  <w:gridSpan w:val="2"/>
                  <w:noWrap w:val="0"/>
                  <w:vAlign w:val="center"/>
                </w:tcPr>
                <w:p w14:paraId="1A7192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11"/>
                      <w:sz w:val="21"/>
                      <w:szCs w:val="21"/>
                    </w:rPr>
                  </w:pPr>
                  <w:r>
                    <w:rPr>
                      <w:rFonts w:hint="eastAsia"/>
                      <w:spacing w:val="-11"/>
                      <w:sz w:val="21"/>
                      <w:szCs w:val="21"/>
                      <w:highlight w:val="none"/>
                      <w:lang w:val="en-US" w:eastAsia="zh-CN"/>
                    </w:rPr>
                    <w:t>普</w:t>
                  </w:r>
                  <w:r>
                    <w:rPr>
                      <w:spacing w:val="-11"/>
                      <w:sz w:val="21"/>
                      <w:szCs w:val="21"/>
                      <w:highlight w:val="none"/>
                    </w:rPr>
                    <w:t>外科</w:t>
                  </w:r>
                </w:p>
              </w:tc>
              <w:tc>
                <w:tcPr>
                  <w:tcW w:w="626" w:type="pct"/>
                  <w:noWrap w:val="0"/>
                  <w:vAlign w:val="center"/>
                </w:tcPr>
                <w:p w14:paraId="71FE79F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20s</w:t>
                  </w:r>
                </w:p>
              </w:tc>
              <w:tc>
                <w:tcPr>
                  <w:tcW w:w="655" w:type="pct"/>
                  <w:gridSpan w:val="2"/>
                  <w:noWrap w:val="0"/>
                  <w:vAlign w:val="center"/>
                </w:tcPr>
                <w:p w14:paraId="193DE8D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10min</w:t>
                  </w:r>
                </w:p>
              </w:tc>
              <w:tc>
                <w:tcPr>
                  <w:tcW w:w="755" w:type="pct"/>
                  <w:gridSpan w:val="2"/>
                  <w:shd w:val="clear" w:color="auto" w:fill="auto"/>
                  <w:noWrap w:val="0"/>
                  <w:vAlign w:val="center"/>
                </w:tcPr>
                <w:p w14:paraId="4A0A26EF">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150</w:t>
                  </w:r>
                </w:p>
              </w:tc>
              <w:tc>
                <w:tcPr>
                  <w:tcW w:w="492" w:type="pct"/>
                  <w:noWrap w:val="0"/>
                  <w:vAlign w:val="center"/>
                </w:tcPr>
                <w:p w14:paraId="060A23DB">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0.8 </w:t>
                  </w:r>
                </w:p>
              </w:tc>
              <w:tc>
                <w:tcPr>
                  <w:tcW w:w="421" w:type="pct"/>
                  <w:noWrap w:val="0"/>
                  <w:vAlign w:val="center"/>
                </w:tcPr>
                <w:p w14:paraId="25295C6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25.0 </w:t>
                  </w:r>
                </w:p>
              </w:tc>
            </w:tr>
            <w:tr w14:paraId="044967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80" w:type="pct"/>
                  <w:gridSpan w:val="2"/>
                  <w:vMerge w:val="continue"/>
                  <w:noWrap w:val="0"/>
                  <w:vAlign w:val="center"/>
                </w:tcPr>
                <w:p w14:paraId="488DA1A4">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538" w:type="pct"/>
                  <w:gridSpan w:val="2"/>
                  <w:vMerge w:val="continue"/>
                  <w:noWrap w:val="0"/>
                  <w:vAlign w:val="center"/>
                </w:tcPr>
                <w:p w14:paraId="28551732">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p>
              </w:tc>
              <w:tc>
                <w:tcPr>
                  <w:tcW w:w="2112" w:type="pct"/>
                  <w:gridSpan w:val="5"/>
                  <w:noWrap w:val="0"/>
                  <w:vAlign w:val="center"/>
                </w:tcPr>
                <w:p w14:paraId="503FD6DE">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spacing w:val="-11"/>
                      <w:sz w:val="21"/>
                      <w:szCs w:val="21"/>
                    </w:rPr>
                    <w:t>合计</w:t>
                  </w:r>
                </w:p>
              </w:tc>
              <w:tc>
                <w:tcPr>
                  <w:tcW w:w="755" w:type="pct"/>
                  <w:gridSpan w:val="2"/>
                  <w:noWrap w:val="0"/>
                  <w:vAlign w:val="center"/>
                </w:tcPr>
                <w:p w14:paraId="6C17116E">
                  <w:pPr>
                    <w:keepNext w:val="0"/>
                    <w:keepLines w:val="0"/>
                    <w:pageBreakBefore w:val="0"/>
                    <w:kinsoku/>
                    <w:wordWrap/>
                    <w:overflowPunct/>
                    <w:topLinePunct w:val="0"/>
                    <w:autoSpaceDE/>
                    <w:autoSpaceDN/>
                    <w:bidi w:val="0"/>
                    <w:adjustRightInd/>
                    <w:snapToGrid/>
                    <w:spacing w:line="360" w:lineRule="exact"/>
                    <w:jc w:val="center"/>
                    <w:rPr>
                      <w:rFonts w:hint="default"/>
                      <w:spacing w:val="-11"/>
                      <w:sz w:val="21"/>
                      <w:szCs w:val="21"/>
                      <w:lang w:val="en-US" w:eastAsia="zh-CN"/>
                    </w:rPr>
                  </w:pPr>
                  <w:r>
                    <w:rPr>
                      <w:rFonts w:hint="eastAsia"/>
                      <w:spacing w:val="-11"/>
                      <w:sz w:val="21"/>
                      <w:szCs w:val="21"/>
                      <w:lang w:val="en-US" w:eastAsia="zh-CN"/>
                    </w:rPr>
                    <w:t>300</w:t>
                  </w:r>
                </w:p>
              </w:tc>
              <w:tc>
                <w:tcPr>
                  <w:tcW w:w="848" w:type="dxa"/>
                  <w:noWrap w:val="0"/>
                  <w:vAlign w:val="center"/>
                </w:tcPr>
                <w:p w14:paraId="0FEC9813">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2.1 </w:t>
                  </w:r>
                </w:p>
              </w:tc>
              <w:tc>
                <w:tcPr>
                  <w:tcW w:w="727" w:type="dxa"/>
                  <w:noWrap w:val="0"/>
                  <w:vAlign w:val="center"/>
                </w:tcPr>
                <w:p w14:paraId="592A5AA1">
                  <w:pPr>
                    <w:keepNext w:val="0"/>
                    <w:keepLines w:val="0"/>
                    <w:pageBreakBefore w:val="0"/>
                    <w:kinsoku/>
                    <w:wordWrap/>
                    <w:overflowPunct/>
                    <w:topLinePunct w:val="0"/>
                    <w:autoSpaceDE/>
                    <w:autoSpaceDN/>
                    <w:bidi w:val="0"/>
                    <w:adjustRightInd/>
                    <w:snapToGrid/>
                    <w:spacing w:line="360" w:lineRule="exact"/>
                    <w:jc w:val="center"/>
                    <w:rPr>
                      <w:spacing w:val="-11"/>
                      <w:sz w:val="21"/>
                      <w:szCs w:val="21"/>
                    </w:rPr>
                  </w:pPr>
                  <w:r>
                    <w:rPr>
                      <w:rFonts w:hint="default"/>
                      <w:spacing w:val="-11"/>
                      <w:sz w:val="21"/>
                      <w:szCs w:val="21"/>
                      <w:lang w:val="en-US" w:eastAsia="zh-CN"/>
                    </w:rPr>
                    <w:t xml:space="preserve">62.5 </w:t>
                  </w:r>
                </w:p>
              </w:tc>
            </w:tr>
          </w:tbl>
          <w:p w14:paraId="17FCC2DE">
            <w:pPr>
              <w:autoSpaceDE w:val="0"/>
              <w:autoSpaceDN w:val="0"/>
              <w:spacing w:line="240" w:lineRule="auto"/>
              <w:rPr>
                <w:rFonts w:eastAsia="黑体"/>
                <w:bCs/>
                <w:color w:val="auto"/>
                <w:sz w:val="21"/>
                <w:szCs w:val="21"/>
                <w:highlight w:val="none"/>
              </w:rPr>
            </w:pPr>
            <w:r>
              <w:rPr>
                <w:rFonts w:hint="eastAsia" w:eastAsia="黑体"/>
                <w:bCs/>
                <w:sz w:val="21"/>
                <w:szCs w:val="21"/>
              </w:rPr>
              <w:t>注：*对于</w:t>
            </w:r>
            <w:r>
              <w:rPr>
                <w:rFonts w:eastAsia="黑体"/>
                <w:bCs/>
                <w:sz w:val="21"/>
                <w:szCs w:val="21"/>
              </w:rPr>
              <w:t>DSA</w:t>
            </w:r>
            <w:r>
              <w:rPr>
                <w:rFonts w:hint="eastAsia" w:eastAsia="黑体"/>
                <w:bCs/>
                <w:sz w:val="21"/>
                <w:szCs w:val="21"/>
                <w:lang w:val="en-US" w:eastAsia="zh-CN"/>
              </w:rPr>
              <w:t>+</w:t>
            </w:r>
            <w:r>
              <w:rPr>
                <w:rFonts w:eastAsia="黑体"/>
                <w:bCs/>
                <w:sz w:val="21"/>
                <w:szCs w:val="21"/>
              </w:rPr>
              <w:t>CT复合手术室</w:t>
            </w:r>
            <w:r>
              <w:rPr>
                <w:rFonts w:hint="eastAsia" w:eastAsia="黑体"/>
                <w:bCs/>
                <w:sz w:val="21"/>
                <w:szCs w:val="21"/>
              </w:rPr>
              <w:t>，由于手术过程是否会采用CT扫描或每台手术扫描频次根据患者具体情况确定，目前无法确定，所以本次环评按最不利情况进行保守估算：</w:t>
            </w:r>
            <w:r>
              <w:rPr>
                <w:rFonts w:eastAsia="黑体"/>
                <w:bCs/>
                <w:sz w:val="21"/>
                <w:szCs w:val="21"/>
              </w:rPr>
              <w:t>DSA最大出束时间</w:t>
            </w:r>
            <w:r>
              <w:rPr>
                <w:rFonts w:hint="eastAsia" w:eastAsia="黑体"/>
                <w:bCs/>
                <w:sz w:val="21"/>
                <w:szCs w:val="21"/>
              </w:rPr>
              <w:t>按照介入手术时不采用CT扫描，仅采用</w:t>
            </w:r>
            <w:r>
              <w:rPr>
                <w:rFonts w:hint="eastAsia" w:eastAsia="黑体"/>
                <w:bCs/>
                <w:sz w:val="21"/>
                <w:szCs w:val="21"/>
                <w:lang w:eastAsia="zh-CN"/>
              </w:rPr>
              <w:t>DSA影像</w:t>
            </w:r>
            <w:r>
              <w:rPr>
                <w:rFonts w:hint="eastAsia" w:eastAsia="黑体"/>
                <w:bCs/>
                <w:sz w:val="21"/>
                <w:szCs w:val="21"/>
              </w:rPr>
              <w:t>（单台手术累计拍片最长出束20s）保守估算；CT</w:t>
            </w:r>
            <w:r>
              <w:rPr>
                <w:rFonts w:eastAsia="黑体"/>
                <w:bCs/>
                <w:sz w:val="21"/>
                <w:szCs w:val="21"/>
              </w:rPr>
              <w:t>最大出束时间</w:t>
            </w:r>
            <w:r>
              <w:rPr>
                <w:rFonts w:hint="eastAsia" w:eastAsia="黑体"/>
                <w:bCs/>
                <w:sz w:val="21"/>
                <w:szCs w:val="21"/>
              </w:rPr>
              <w:t>按照每台手术均采用CT扫描，且介入手术前、中、后各扫描1次（每次扫描10s、单台手术累计扫描最长出束30s）进行保守估算</w:t>
            </w:r>
            <w:r>
              <w:rPr>
                <w:rFonts w:hint="eastAsia" w:eastAsia="黑体"/>
                <w:bCs/>
                <w:color w:val="auto"/>
                <w:sz w:val="21"/>
                <w:szCs w:val="21"/>
                <w:highlight w:val="none"/>
              </w:rPr>
              <w:t>。</w:t>
            </w:r>
          </w:p>
          <w:p w14:paraId="0ABAF073">
            <w:pPr>
              <w:ind w:firstLine="482"/>
              <w:rPr>
                <w:b/>
                <w:bCs/>
              </w:rPr>
            </w:pPr>
            <w:r>
              <w:rPr>
                <w:rFonts w:hint="eastAsia"/>
                <w:b/>
                <w:bCs/>
                <w:lang w:val="en-US" w:eastAsia="zh-CN"/>
              </w:rPr>
              <w:t>3</w:t>
            </w:r>
            <w:r>
              <w:rPr>
                <w:b/>
                <w:bCs/>
              </w:rPr>
              <w:t>、工作制度</w:t>
            </w:r>
          </w:p>
          <w:p w14:paraId="40A72639">
            <w:pPr>
              <w:ind w:firstLine="480"/>
              <w:rPr>
                <w:lang w:bidi="ar"/>
              </w:rPr>
            </w:pPr>
            <w:r>
              <w:rPr>
                <w:lang w:bidi="ar"/>
              </w:rPr>
              <w:t>本项目实行8小时单班工作制度，年工作日为250天。</w:t>
            </w:r>
          </w:p>
          <w:p w14:paraId="67722641">
            <w:pPr>
              <w:rPr>
                <w:rFonts w:eastAsia="黑体"/>
              </w:rPr>
            </w:pPr>
            <w:r>
              <w:rPr>
                <w:rFonts w:eastAsia="黑体"/>
              </w:rPr>
              <w:t>三、产业政策符合性分析</w:t>
            </w:r>
          </w:p>
          <w:p w14:paraId="21328BBE">
            <w:pPr>
              <w:ind w:firstLine="480"/>
              <w:contextualSpacing/>
              <w:rPr>
                <w:rFonts w:eastAsia="黑体"/>
              </w:rPr>
            </w:pPr>
            <w:r>
              <w:rPr>
                <w:bCs/>
              </w:rPr>
              <w:t>本项目属于核技术在医学领域应用，</w:t>
            </w:r>
            <w:r>
              <w:t>根据中华人民共和国国家发展和改革委员会令第7号《产业结构调整指导目录（2024年本）》，本项目属鼓励类第六项“核能”第4条“核技术应用：同位素、加速器及辐照应用技术开发，辐射防护技术开发与监测设备制造”</w:t>
            </w:r>
            <w:r>
              <w:rPr>
                <w:bCs/>
              </w:rPr>
              <w:t>，符合国家产业发展政策。</w:t>
            </w:r>
          </w:p>
          <w:p w14:paraId="2B27C2BB">
            <w:pPr>
              <w:rPr>
                <w:rFonts w:eastAsia="黑体"/>
              </w:rPr>
            </w:pPr>
            <w:r>
              <w:rPr>
                <w:rFonts w:eastAsia="黑体"/>
              </w:rPr>
              <w:t>四、项目选址、外环境关系及实践正当性分析</w:t>
            </w:r>
          </w:p>
          <w:p w14:paraId="2F663715">
            <w:pPr>
              <w:ind w:firstLine="482"/>
              <w:rPr>
                <w:b/>
                <w:bCs/>
              </w:rPr>
            </w:pPr>
            <w:r>
              <w:rPr>
                <w:b/>
                <w:bCs/>
              </w:rPr>
              <w:t>1、外环境关系及选址合理性分析</w:t>
            </w:r>
          </w:p>
          <w:p w14:paraId="098F1FB3">
            <w:pPr>
              <w:ind w:firstLine="480"/>
              <w:rPr>
                <w:rFonts w:hint="eastAsia" w:eastAsia="宋体"/>
                <w:highlight w:val="none"/>
                <w:lang w:eastAsia="zh-CN"/>
              </w:rPr>
            </w:pPr>
            <w:r>
              <w:rPr>
                <w:lang w:bidi="ar"/>
              </w:rPr>
              <w:t>本项目位于</w:t>
            </w:r>
            <w:r>
              <w:rPr>
                <w:rFonts w:hint="eastAsia"/>
              </w:rPr>
              <w:t>四川天府新区万安街道高饭店村、开元村（天津路东段）</w:t>
            </w:r>
            <w:r>
              <w:rPr>
                <w:rFonts w:hint="eastAsia"/>
                <w:bCs/>
                <w:spacing w:val="-6"/>
                <w:lang w:eastAsia="zh-CN"/>
              </w:rPr>
              <w:t>四川天府新区人民医院</w:t>
            </w:r>
            <w:r>
              <w:rPr>
                <w:bCs/>
                <w:highlight w:val="none"/>
              </w:rPr>
              <w:t>内</w:t>
            </w:r>
            <w:r>
              <w:rPr>
                <w:rFonts w:hint="eastAsia"/>
                <w:bCs/>
                <w:highlight w:val="none"/>
                <w:lang w:val="en-US" w:eastAsia="zh-CN"/>
              </w:rPr>
              <w:t>中部新建的</w:t>
            </w:r>
            <w:r>
              <w:rPr>
                <w:rFonts w:hint="eastAsia"/>
                <w:highlight w:val="none"/>
                <w:lang w:eastAsia="zh-CN"/>
              </w:rPr>
              <w:t>门诊医技楼</w:t>
            </w:r>
            <w:r>
              <w:rPr>
                <w:highlight w:val="none"/>
              </w:rPr>
              <w:t>（地上四层、</w:t>
            </w:r>
            <w:r>
              <w:rPr>
                <w:rFonts w:hint="eastAsia"/>
                <w:highlight w:val="none"/>
                <w:lang w:eastAsia="zh-CN"/>
              </w:rPr>
              <w:t>地下二层</w:t>
            </w:r>
            <w:r>
              <w:rPr>
                <w:highlight w:val="none"/>
              </w:rPr>
              <w:t>，高</w:t>
            </w:r>
            <w:r>
              <w:rPr>
                <w:rFonts w:hint="eastAsia"/>
                <w:highlight w:val="none"/>
                <w:lang w:val="en-US" w:eastAsia="zh-CN"/>
              </w:rPr>
              <w:t>27.1</w:t>
            </w:r>
            <w:r>
              <w:rPr>
                <w:highlight w:val="none"/>
              </w:rPr>
              <w:t>m）</w:t>
            </w:r>
            <w:r>
              <w:rPr>
                <w:rFonts w:hint="eastAsia"/>
                <w:highlight w:val="none"/>
              </w:rPr>
              <w:t>，目前该建设地块取得《</w:t>
            </w:r>
            <w:r>
              <w:rPr>
                <w:rFonts w:hint="eastAsia"/>
                <w:highlight w:val="none"/>
                <w:lang w:val="en-US" w:eastAsia="zh-CN"/>
              </w:rPr>
              <w:t>不动产权证书</w:t>
            </w:r>
            <w:r>
              <w:rPr>
                <w:rFonts w:hint="eastAsia"/>
                <w:highlight w:val="none"/>
              </w:rPr>
              <w:t>》（川（2026</w:t>
            </w:r>
            <w:r>
              <w:rPr>
                <w:rFonts w:hint="eastAsia"/>
                <w:highlight w:val="none"/>
                <w:lang w:eastAsia="zh-CN"/>
              </w:rPr>
              <w:t>）</w:t>
            </w:r>
            <w:r>
              <w:rPr>
                <w:rFonts w:hint="eastAsia"/>
                <w:highlight w:val="none"/>
              </w:rPr>
              <w:t>成天不动产权第0019172号，详见附件7）</w:t>
            </w:r>
            <w:r>
              <w:rPr>
                <w:rFonts w:hint="eastAsia"/>
                <w:highlight w:val="none"/>
                <w:lang w:eastAsia="zh-CN"/>
              </w:rPr>
              <w:t>。</w:t>
            </w:r>
          </w:p>
          <w:p w14:paraId="0D007AF0">
            <w:pPr>
              <w:numPr>
                <w:ilvl w:val="0"/>
                <w:numId w:val="0"/>
              </w:numPr>
              <w:ind w:firstLine="480" w:firstLineChars="0"/>
              <w:rPr>
                <w:lang w:bidi="ar"/>
              </w:rPr>
            </w:pPr>
            <w:r>
              <w:rPr>
                <w:rFonts w:ascii="Times New Roman" w:hAnsi="Times New Roman" w:eastAsia="宋体" w:cs="Times New Roman"/>
                <w:sz w:val="24"/>
                <w:szCs w:val="24"/>
                <w:lang w:val="en-US" w:eastAsia="zh-CN" w:bidi="ar"/>
              </w:rPr>
              <w:t>（1）</w:t>
            </w:r>
            <w:r>
              <w:rPr>
                <w:lang w:bidi="ar"/>
              </w:rPr>
              <w:t>医院外环境情况</w:t>
            </w:r>
          </w:p>
          <w:p w14:paraId="01D238C7">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lang w:bidi="ar"/>
              </w:rPr>
            </w:pPr>
            <w:r>
              <w:rPr>
                <w:rFonts w:hint="eastAsia"/>
                <w:b/>
                <w:bCs/>
                <w:lang w:bidi="ar"/>
              </w:rPr>
              <w:t>东侧：</w:t>
            </w:r>
            <w:r>
              <w:rPr>
                <w:rFonts w:hint="eastAsia"/>
                <w:lang w:bidi="ar"/>
              </w:rPr>
              <w:t>紧邻规划金安路，约20m处为万安四期安置房北区（在建），约444m为盛世锦都（在建）。</w:t>
            </w:r>
          </w:p>
          <w:p w14:paraId="4A01E5DD">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eastAsia="宋体"/>
                <w:lang w:eastAsia="zh-CN" w:bidi="ar"/>
              </w:rPr>
            </w:pPr>
            <w:r>
              <w:rPr>
                <w:rFonts w:hint="eastAsia"/>
                <w:b/>
                <w:bCs/>
                <w:lang w:bidi="ar"/>
              </w:rPr>
              <w:t>东南侧：</w:t>
            </w:r>
            <w:r>
              <w:rPr>
                <w:rFonts w:hint="eastAsia"/>
                <w:lang w:bidi="ar"/>
              </w:rPr>
              <w:t>约46m为万安四期安置房南区（在建），约359m为德商碧云天玺（在建），约524m为天府麓里（在建）</w:t>
            </w:r>
            <w:r>
              <w:rPr>
                <w:rFonts w:hint="eastAsia"/>
                <w:lang w:eastAsia="zh-CN" w:bidi="ar"/>
              </w:rPr>
              <w:t>；</w:t>
            </w:r>
          </w:p>
          <w:p w14:paraId="0BCD7912">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eastAsia="宋体"/>
                <w:lang w:eastAsia="zh-CN" w:bidi="ar"/>
              </w:rPr>
            </w:pPr>
            <w:r>
              <w:rPr>
                <w:rFonts w:hint="eastAsia"/>
                <w:b/>
                <w:bCs/>
                <w:lang w:bidi="ar"/>
              </w:rPr>
              <w:t>南侧：</w:t>
            </w:r>
            <w:r>
              <w:rPr>
                <w:rFonts w:hint="eastAsia"/>
                <w:lang w:bidi="ar"/>
              </w:rPr>
              <w:t>紧邻规划</w:t>
            </w:r>
            <w:r>
              <w:rPr>
                <w:rFonts w:hint="eastAsia"/>
                <w:lang w:val="en-US" w:eastAsia="zh-CN" w:bidi="ar"/>
              </w:rPr>
              <w:t>茂兴</w:t>
            </w:r>
            <w:r>
              <w:rPr>
                <w:rFonts w:hint="eastAsia"/>
                <w:lang w:bidi="ar"/>
              </w:rPr>
              <w:t>路，约299m为德商碧云天玺（在建）</w:t>
            </w:r>
            <w:r>
              <w:rPr>
                <w:rFonts w:hint="eastAsia"/>
                <w:lang w:eastAsia="zh-CN" w:bidi="ar"/>
              </w:rPr>
              <w:t>；</w:t>
            </w:r>
          </w:p>
          <w:p w14:paraId="5DF251DA">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lang w:eastAsia="zh-CN" w:bidi="ar"/>
              </w:rPr>
            </w:pPr>
            <w:r>
              <w:rPr>
                <w:rFonts w:hint="eastAsia"/>
                <w:b/>
                <w:bCs/>
                <w:lang w:bidi="ar"/>
              </w:rPr>
              <w:t>西南侧：</w:t>
            </w:r>
            <w:r>
              <w:rPr>
                <w:rFonts w:hint="eastAsia"/>
                <w:lang w:bidi="ar"/>
              </w:rPr>
              <w:t>约707m为天府新区万安街道64.69亩（在建）</w:t>
            </w:r>
            <w:r>
              <w:rPr>
                <w:rFonts w:hint="eastAsia"/>
                <w:lang w:eastAsia="zh-CN" w:bidi="ar"/>
              </w:rPr>
              <w:t>；</w:t>
            </w:r>
          </w:p>
          <w:p w14:paraId="683F10D8">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lang w:eastAsia="zh-CN" w:bidi="ar"/>
              </w:rPr>
            </w:pPr>
            <w:r>
              <w:rPr>
                <w:rFonts w:hint="eastAsia"/>
                <w:b/>
                <w:bCs/>
                <w:lang w:bidi="ar"/>
              </w:rPr>
              <w:t>西侧：</w:t>
            </w:r>
            <w:r>
              <w:rPr>
                <w:rFonts w:hint="eastAsia"/>
                <w:lang w:bidi="ar"/>
              </w:rPr>
              <w:t>紧邻</w:t>
            </w:r>
            <w:r>
              <w:rPr>
                <w:rFonts w:hint="eastAsia"/>
                <w:lang w:val="en-US" w:eastAsia="zh-CN" w:bidi="ar"/>
              </w:rPr>
              <w:t>规划</w:t>
            </w:r>
            <w:r>
              <w:rPr>
                <w:rFonts w:hint="eastAsia" w:ascii="Times New Roman" w:hAnsi="Times New Roman" w:eastAsia="宋体" w:cs="Times New Roman"/>
                <w:sz w:val="24"/>
                <w:szCs w:val="24"/>
                <w:lang w:val="en-US" w:eastAsia="zh-CN"/>
              </w:rPr>
              <w:t>尚津路</w:t>
            </w:r>
            <w:r>
              <w:rPr>
                <w:rFonts w:hint="eastAsia"/>
                <w:lang w:bidi="ar"/>
              </w:rPr>
              <w:t>，约405m为地铁6号线，约599m为盛世名邸（在建）</w:t>
            </w:r>
            <w:r>
              <w:rPr>
                <w:rFonts w:hint="eastAsia"/>
                <w:lang w:eastAsia="zh-CN" w:bidi="ar"/>
              </w:rPr>
              <w:t>；</w:t>
            </w:r>
          </w:p>
          <w:p w14:paraId="579F4110">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eastAsia="宋体"/>
                <w:lang w:eastAsia="zh-CN" w:bidi="ar"/>
              </w:rPr>
            </w:pPr>
            <w:r>
              <w:rPr>
                <w:rFonts w:hint="eastAsia"/>
                <w:b/>
                <w:bCs/>
                <w:lang w:bidi="ar"/>
              </w:rPr>
              <w:t>西北侧：</w:t>
            </w:r>
            <w:r>
              <w:rPr>
                <w:rFonts w:hint="eastAsia"/>
                <w:lang w:bidi="ar"/>
              </w:rPr>
              <w:t>约48m为天府麓城（在建），约562m为合能铂悦华庭（在建）</w:t>
            </w:r>
            <w:r>
              <w:rPr>
                <w:rFonts w:hint="eastAsia"/>
                <w:lang w:eastAsia="zh-CN" w:bidi="ar"/>
              </w:rPr>
              <w:t>；</w:t>
            </w:r>
          </w:p>
          <w:p w14:paraId="630F2E27">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lang w:eastAsia="zh-CN" w:bidi="ar"/>
              </w:rPr>
            </w:pPr>
            <w:r>
              <w:rPr>
                <w:rFonts w:hint="eastAsia"/>
                <w:b/>
                <w:bCs/>
                <w:lang w:bidi="ar"/>
              </w:rPr>
              <w:t>北侧：</w:t>
            </w:r>
            <w:r>
              <w:rPr>
                <w:rFonts w:hint="eastAsia"/>
                <w:lang w:bidi="ar"/>
              </w:rPr>
              <w:t>紧邻天津路东段，约41m处为红豆云景，约559m为合能枫丹铂麓四期（在建）</w:t>
            </w:r>
            <w:r>
              <w:rPr>
                <w:rFonts w:hint="eastAsia"/>
                <w:lang w:eastAsia="zh-CN" w:bidi="ar"/>
              </w:rPr>
              <w:t>；</w:t>
            </w:r>
          </w:p>
          <w:p w14:paraId="2CC877E4">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eastAsia" w:eastAsia="宋体"/>
                <w:lang w:eastAsia="zh-CN" w:bidi="ar"/>
              </w:rPr>
            </w:pPr>
            <w:r>
              <w:rPr>
                <w:rFonts w:hint="eastAsia"/>
                <w:b/>
                <w:bCs/>
                <w:lang w:bidi="ar"/>
              </w:rPr>
              <w:t>东北侧：</w:t>
            </w:r>
            <w:r>
              <w:rPr>
                <w:rFonts w:hint="eastAsia"/>
                <w:lang w:bidi="ar"/>
              </w:rPr>
              <w:t>约63m为红豆茗居南区，约232m为红豆茗居北区，约262m为开元村村村民委员会，约299m为四川天府新区开元幼儿园，约519m为天府合印名邸（在建）</w:t>
            </w:r>
            <w:r>
              <w:rPr>
                <w:rFonts w:hint="eastAsia"/>
                <w:lang w:eastAsia="zh-CN" w:bidi="ar"/>
              </w:rPr>
              <w:t>。</w:t>
            </w:r>
          </w:p>
          <w:p w14:paraId="2F322CF3">
            <w:pPr>
              <w:ind w:firstLine="480"/>
              <w:rPr>
                <w:rFonts w:hint="eastAsia" w:eastAsia="宋体"/>
                <w:lang w:eastAsia="zh-CN"/>
              </w:rPr>
            </w:pPr>
            <w:r>
              <w:rPr>
                <w:rFonts w:hint="eastAsia"/>
              </w:rPr>
              <w:t>本项目位于四川天府新区万安街道高饭店村、开元村（天津路东段），根据四川天府新区公园城市建设局出具的《建设项目用地预审与选址意见书》用字第510199202310055号），项目用地性质为医疗卫生用地，符合国土空间用途管制要求。因此，项目符合四川天府新区用地规划要求</w:t>
            </w:r>
            <w:r>
              <w:rPr>
                <w:rFonts w:hint="eastAsia"/>
                <w:lang w:eastAsia="zh-CN"/>
              </w:rPr>
              <w:t>。</w:t>
            </w:r>
          </w:p>
          <w:p w14:paraId="47DAE360">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bidi="ar-SA"/>
              </w:rPr>
              <w:t>（2）</w:t>
            </w:r>
            <w:r>
              <w:rPr>
                <w:rFonts w:hint="default" w:ascii="Times New Roman" w:hAnsi="Times New Roman" w:eastAsia="宋体" w:cs="Times New Roman"/>
                <w:sz w:val="24"/>
                <w:szCs w:val="24"/>
              </w:rPr>
              <w:t>本项目外环境情况</w:t>
            </w:r>
          </w:p>
          <w:p w14:paraId="4BD6169D">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本项目</w:t>
            </w:r>
            <w:r>
              <w:rPr>
                <w:rFonts w:hint="eastAsia" w:cs="Times New Roman"/>
                <w:sz w:val="24"/>
                <w:szCs w:val="24"/>
                <w:lang w:val="en-US" w:eastAsia="zh-CN"/>
              </w:rPr>
              <w:t>核医学科</w:t>
            </w:r>
            <w:r>
              <w:rPr>
                <w:rFonts w:hint="default" w:ascii="Times New Roman" w:hAnsi="Times New Roman" w:eastAsia="宋体" w:cs="Times New Roman"/>
                <w:sz w:val="24"/>
                <w:szCs w:val="24"/>
              </w:rPr>
              <w:t>位于门诊</w:t>
            </w:r>
            <w:r>
              <w:rPr>
                <w:rFonts w:hint="eastAsia" w:ascii="Times New Roman" w:hAnsi="Times New Roman" w:eastAsia="宋体" w:cs="Times New Roman"/>
                <w:sz w:val="24"/>
                <w:szCs w:val="24"/>
                <w:lang w:val="en-US" w:eastAsia="zh-CN"/>
              </w:rPr>
              <w:t>医技楼负</w:t>
            </w:r>
            <w:r>
              <w:rPr>
                <w:rFonts w:hint="default" w:ascii="Times New Roman" w:hAnsi="Times New Roman" w:eastAsia="宋体" w:cs="Times New Roman"/>
                <w:sz w:val="24"/>
                <w:szCs w:val="24"/>
              </w:rPr>
              <w:t>一层</w:t>
            </w:r>
            <w:r>
              <w:rPr>
                <w:rFonts w:hint="eastAsia" w:cs="Times New Roman"/>
                <w:sz w:val="24"/>
                <w:szCs w:val="24"/>
                <w:lang w:eastAsia="zh-CN"/>
              </w:rPr>
              <w:t>，</w:t>
            </w:r>
            <w:r>
              <w:rPr>
                <w:rFonts w:hint="eastAsia" w:cs="Times New Roman"/>
                <w:sz w:val="24"/>
                <w:szCs w:val="24"/>
                <w:lang w:val="en-US" w:eastAsia="zh-CN"/>
              </w:rPr>
              <w:t>手术部和内镜中心位于门诊医技楼四层</w:t>
            </w:r>
            <w:r>
              <w:rPr>
                <w:rFonts w:hint="eastAsia" w:cs="Times New Roman"/>
                <w:sz w:val="24"/>
                <w:szCs w:val="24"/>
                <w:lang w:eastAsia="zh-CN"/>
              </w:rPr>
              <w:t>。</w:t>
            </w:r>
            <w:r>
              <w:rPr>
                <w:rFonts w:hint="default" w:ascii="Times New Roman" w:hAnsi="Times New Roman" w:eastAsia="宋体" w:cs="Times New Roman"/>
                <w:sz w:val="24"/>
                <w:szCs w:val="24"/>
              </w:rPr>
              <w:t>门诊</w:t>
            </w:r>
            <w:r>
              <w:rPr>
                <w:rFonts w:hint="eastAsia" w:ascii="Times New Roman" w:hAnsi="Times New Roman" w:eastAsia="宋体" w:cs="Times New Roman"/>
                <w:sz w:val="24"/>
                <w:szCs w:val="24"/>
                <w:lang w:val="en-US" w:eastAsia="zh-CN"/>
              </w:rPr>
              <w:t>医技</w:t>
            </w:r>
            <w:r>
              <w:rPr>
                <w:rFonts w:hint="default" w:ascii="Times New Roman" w:hAnsi="Times New Roman" w:eastAsia="宋体" w:cs="Times New Roman"/>
                <w:sz w:val="24"/>
                <w:szCs w:val="24"/>
              </w:rPr>
              <w:t>楼共六层，地下二层，地上四层。门诊</w:t>
            </w:r>
            <w:r>
              <w:rPr>
                <w:rFonts w:hint="eastAsia" w:ascii="Times New Roman" w:hAnsi="Times New Roman" w:eastAsia="宋体" w:cs="Times New Roman"/>
                <w:sz w:val="24"/>
                <w:szCs w:val="24"/>
                <w:lang w:val="en-US" w:eastAsia="zh-CN"/>
              </w:rPr>
              <w:t>医技</w:t>
            </w:r>
            <w:r>
              <w:rPr>
                <w:rFonts w:hint="default" w:ascii="Times New Roman" w:hAnsi="Times New Roman" w:eastAsia="宋体" w:cs="Times New Roman"/>
                <w:sz w:val="24"/>
                <w:szCs w:val="24"/>
              </w:rPr>
              <w:t>楼东侧为院内绿化带、道路和院外</w:t>
            </w:r>
            <w:r>
              <w:rPr>
                <w:rFonts w:hint="eastAsia" w:ascii="Times New Roman" w:hAnsi="Times New Roman" w:eastAsia="宋体" w:cs="Times New Roman"/>
                <w:sz w:val="24"/>
                <w:szCs w:val="24"/>
                <w:lang w:val="en-US" w:eastAsia="zh-CN"/>
              </w:rPr>
              <w:t>金安路</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南侧为</w:t>
            </w:r>
            <w:r>
              <w:rPr>
                <w:rFonts w:hint="eastAsia" w:ascii="Times New Roman" w:hAnsi="Times New Roman" w:eastAsia="宋体" w:cs="Times New Roman"/>
                <w:sz w:val="24"/>
                <w:szCs w:val="24"/>
                <w:lang w:val="en-US" w:eastAsia="zh-CN"/>
              </w:rPr>
              <w:t>感染</w:t>
            </w:r>
            <w:r>
              <w:rPr>
                <w:rFonts w:hint="default" w:ascii="Times New Roman" w:hAnsi="Times New Roman" w:eastAsia="宋体" w:cs="Times New Roman"/>
                <w:sz w:val="24"/>
                <w:szCs w:val="24"/>
              </w:rPr>
              <w:t>楼</w:t>
            </w:r>
            <w:r>
              <w:rPr>
                <w:rFonts w:hint="eastAsia" w:ascii="Times New Roman" w:hAnsi="Times New Roman" w:eastAsia="宋体" w:cs="Times New Roman"/>
                <w:sz w:val="24"/>
                <w:szCs w:val="24"/>
                <w:lang w:val="en-US" w:eastAsia="zh-CN"/>
              </w:rPr>
              <w:t>和院外茂兴路</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西侧</w:t>
            </w:r>
            <w:r>
              <w:rPr>
                <w:rFonts w:hint="eastAsia" w:ascii="Times New Roman" w:hAnsi="Times New Roman" w:eastAsia="宋体" w:cs="Times New Roman"/>
                <w:sz w:val="24"/>
                <w:szCs w:val="24"/>
                <w:lang w:val="en-US" w:eastAsia="zh-CN"/>
              </w:rPr>
              <w:t>为院内道路、绿化带和院外尚津路</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北侧为院内道路</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绿化带和院外</w:t>
            </w:r>
            <w:r>
              <w:rPr>
                <w:rFonts w:hint="eastAsia"/>
                <w:lang w:bidi="ar"/>
              </w:rPr>
              <w:t>天津路东段</w:t>
            </w:r>
            <w:r>
              <w:rPr>
                <w:rFonts w:hint="default" w:ascii="Times New Roman" w:hAnsi="Times New Roman" w:eastAsia="宋体" w:cs="Times New Roman"/>
                <w:sz w:val="24"/>
                <w:szCs w:val="24"/>
              </w:rPr>
              <w:t>。</w:t>
            </w:r>
          </w:p>
          <w:p w14:paraId="5E2C891D">
            <w:pPr>
              <w:spacing w:before="120" w:beforeLines="50" w:line="240" w:lineRule="auto"/>
              <w:jc w:val="center"/>
              <w:rPr>
                <w:rFonts w:eastAsia="黑体"/>
                <w:bCs/>
                <w:sz w:val="21"/>
                <w:szCs w:val="21"/>
                <w:highlight w:val="none"/>
              </w:rPr>
            </w:pPr>
            <w:r>
              <w:rPr>
                <w:rFonts w:eastAsia="黑体"/>
                <w:bCs/>
                <w:sz w:val="21"/>
                <w:szCs w:val="21"/>
                <w:highlight w:val="none"/>
              </w:rPr>
              <w:t>表1-</w:t>
            </w:r>
            <w:r>
              <w:rPr>
                <w:rFonts w:hint="eastAsia" w:eastAsia="黑体"/>
                <w:bCs/>
                <w:sz w:val="21"/>
                <w:szCs w:val="21"/>
                <w:highlight w:val="none"/>
                <w:lang w:val="en-US" w:eastAsia="zh-CN"/>
              </w:rPr>
              <w:t>16</w:t>
            </w:r>
            <w:r>
              <w:rPr>
                <w:rFonts w:eastAsia="黑体"/>
                <w:bCs/>
                <w:sz w:val="21"/>
                <w:szCs w:val="21"/>
                <w:highlight w:val="none"/>
              </w:rPr>
              <w:t xml:space="preserve">  </w:t>
            </w:r>
            <w:r>
              <w:rPr>
                <w:rFonts w:hint="eastAsia" w:eastAsia="黑体"/>
                <w:bCs/>
                <w:sz w:val="21"/>
                <w:szCs w:val="21"/>
                <w:highlight w:val="none"/>
                <w:lang w:eastAsia="zh-CN"/>
              </w:rPr>
              <w:t>门诊医技楼</w:t>
            </w:r>
            <w:r>
              <w:rPr>
                <w:rFonts w:eastAsia="黑体"/>
                <w:bCs/>
                <w:sz w:val="21"/>
                <w:szCs w:val="21"/>
                <w:highlight w:val="none"/>
              </w:rPr>
              <w:t>外环境关系表</w:t>
            </w:r>
          </w:p>
          <w:tbl>
            <w:tblPr>
              <w:tblStyle w:val="58"/>
              <w:tblW w:w="498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0"/>
              <w:gridCol w:w="3404"/>
              <w:gridCol w:w="2989"/>
              <w:gridCol w:w="1121"/>
            </w:tblGrid>
            <w:tr w14:paraId="28AFD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pct"/>
                  <w:tcBorders>
                    <w:left w:val="nil"/>
                  </w:tcBorders>
                  <w:vAlign w:val="center"/>
                </w:tcPr>
                <w:p w14:paraId="3CB86030">
                  <w:pPr>
                    <w:pStyle w:val="55"/>
                    <w:spacing w:after="0" w:line="360" w:lineRule="exact"/>
                    <w:ind w:firstLine="0"/>
                    <w:jc w:val="center"/>
                    <w:rPr>
                      <w:sz w:val="21"/>
                      <w:szCs w:val="21"/>
                    </w:rPr>
                  </w:pPr>
                  <w:r>
                    <w:rPr>
                      <w:sz w:val="21"/>
                      <w:szCs w:val="21"/>
                    </w:rPr>
                    <w:t>方位</w:t>
                  </w:r>
                </w:p>
              </w:tc>
              <w:tc>
                <w:tcPr>
                  <w:tcW w:w="2008" w:type="pct"/>
                  <w:vAlign w:val="center"/>
                </w:tcPr>
                <w:p w14:paraId="209158A0">
                  <w:pPr>
                    <w:pStyle w:val="55"/>
                    <w:spacing w:after="0" w:line="360" w:lineRule="exact"/>
                    <w:ind w:firstLine="0"/>
                    <w:jc w:val="center"/>
                    <w:rPr>
                      <w:sz w:val="21"/>
                      <w:szCs w:val="21"/>
                    </w:rPr>
                  </w:pPr>
                  <w:r>
                    <w:rPr>
                      <w:sz w:val="21"/>
                      <w:szCs w:val="21"/>
                    </w:rPr>
                    <w:t>与大楼基础边界直线距离（m）</w:t>
                  </w:r>
                </w:p>
              </w:tc>
              <w:tc>
                <w:tcPr>
                  <w:tcW w:w="1763" w:type="pct"/>
                  <w:vAlign w:val="center"/>
                </w:tcPr>
                <w:p w14:paraId="1B66D2BF">
                  <w:pPr>
                    <w:pStyle w:val="55"/>
                    <w:spacing w:after="0" w:line="360" w:lineRule="exact"/>
                    <w:ind w:firstLine="0"/>
                    <w:jc w:val="center"/>
                    <w:rPr>
                      <w:sz w:val="21"/>
                      <w:szCs w:val="21"/>
                    </w:rPr>
                  </w:pPr>
                  <w:r>
                    <w:rPr>
                      <w:sz w:val="21"/>
                      <w:szCs w:val="21"/>
                    </w:rPr>
                    <w:t>外环境情况</w:t>
                  </w:r>
                </w:p>
              </w:tc>
              <w:tc>
                <w:tcPr>
                  <w:tcW w:w="661" w:type="pct"/>
                  <w:tcBorders>
                    <w:right w:val="nil"/>
                  </w:tcBorders>
                  <w:vAlign w:val="center"/>
                </w:tcPr>
                <w:p w14:paraId="5059EB50">
                  <w:pPr>
                    <w:pStyle w:val="55"/>
                    <w:spacing w:after="0" w:line="360" w:lineRule="exact"/>
                    <w:ind w:firstLine="0"/>
                    <w:jc w:val="center"/>
                    <w:rPr>
                      <w:sz w:val="21"/>
                      <w:szCs w:val="21"/>
                    </w:rPr>
                  </w:pPr>
                  <w:r>
                    <w:rPr>
                      <w:sz w:val="21"/>
                      <w:szCs w:val="21"/>
                    </w:rPr>
                    <w:t>备注</w:t>
                  </w:r>
                </w:p>
              </w:tc>
            </w:tr>
            <w:tr w14:paraId="74204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pct"/>
                  <w:tcBorders>
                    <w:left w:val="nil"/>
                  </w:tcBorders>
                  <w:vAlign w:val="center"/>
                </w:tcPr>
                <w:p w14:paraId="771D590D">
                  <w:pPr>
                    <w:pStyle w:val="55"/>
                    <w:spacing w:after="0" w:line="360" w:lineRule="exact"/>
                    <w:ind w:firstLine="0"/>
                    <w:jc w:val="center"/>
                    <w:rPr>
                      <w:sz w:val="21"/>
                      <w:szCs w:val="21"/>
                    </w:rPr>
                  </w:pPr>
                  <w:r>
                    <w:rPr>
                      <w:sz w:val="21"/>
                      <w:szCs w:val="21"/>
                    </w:rPr>
                    <w:t>北侧</w:t>
                  </w:r>
                </w:p>
              </w:tc>
              <w:tc>
                <w:tcPr>
                  <w:tcW w:w="2008" w:type="pct"/>
                  <w:vAlign w:val="center"/>
                </w:tcPr>
                <w:p w14:paraId="66819CBA">
                  <w:pPr>
                    <w:pStyle w:val="55"/>
                    <w:spacing w:after="0" w:line="360" w:lineRule="exact"/>
                    <w:ind w:firstLine="0"/>
                    <w:jc w:val="center"/>
                    <w:rPr>
                      <w:rFonts w:hint="default" w:eastAsia="宋体"/>
                      <w:sz w:val="21"/>
                      <w:szCs w:val="21"/>
                      <w:lang w:val="en-US" w:eastAsia="zh-CN"/>
                    </w:rPr>
                  </w:pPr>
                  <w:r>
                    <w:rPr>
                      <w:rFonts w:hint="eastAsia"/>
                      <w:sz w:val="21"/>
                      <w:szCs w:val="21"/>
                      <w:lang w:val="en-US" w:eastAsia="zh-CN"/>
                    </w:rPr>
                    <w:t>34m</w:t>
                  </w:r>
                </w:p>
              </w:tc>
              <w:tc>
                <w:tcPr>
                  <w:tcW w:w="1763" w:type="pct"/>
                  <w:vAlign w:val="center"/>
                </w:tcPr>
                <w:p w14:paraId="3B11062D">
                  <w:pPr>
                    <w:pStyle w:val="55"/>
                    <w:spacing w:after="0" w:line="360" w:lineRule="exact"/>
                    <w:ind w:firstLine="0"/>
                    <w:jc w:val="center"/>
                    <w:rPr>
                      <w:rFonts w:hint="default" w:eastAsia="宋体"/>
                      <w:sz w:val="21"/>
                      <w:szCs w:val="21"/>
                      <w:lang w:val="en-US" w:eastAsia="zh-CN"/>
                    </w:rPr>
                  </w:pPr>
                  <w:r>
                    <w:rPr>
                      <w:rFonts w:hint="eastAsia"/>
                      <w:sz w:val="21"/>
                      <w:szCs w:val="21"/>
                      <w:lang w:val="en-US" w:eastAsia="zh-CN"/>
                    </w:rPr>
                    <w:t>院外天津路东段</w:t>
                  </w:r>
                </w:p>
              </w:tc>
              <w:tc>
                <w:tcPr>
                  <w:tcW w:w="661" w:type="pct"/>
                  <w:tcBorders>
                    <w:right w:val="nil"/>
                  </w:tcBorders>
                  <w:vAlign w:val="center"/>
                </w:tcPr>
                <w:p w14:paraId="5CD7261E">
                  <w:pPr>
                    <w:pStyle w:val="55"/>
                    <w:spacing w:after="0" w:line="360" w:lineRule="exact"/>
                    <w:ind w:firstLine="0"/>
                    <w:jc w:val="center"/>
                    <w:rPr>
                      <w:sz w:val="21"/>
                      <w:szCs w:val="21"/>
                    </w:rPr>
                  </w:pPr>
                  <w:r>
                    <w:rPr>
                      <w:sz w:val="21"/>
                      <w:szCs w:val="21"/>
                    </w:rPr>
                    <w:t>/</w:t>
                  </w:r>
                </w:p>
              </w:tc>
            </w:tr>
            <w:tr w14:paraId="2632E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pct"/>
                  <w:tcBorders>
                    <w:left w:val="nil"/>
                  </w:tcBorders>
                  <w:vAlign w:val="center"/>
                </w:tcPr>
                <w:p w14:paraId="1A02289F">
                  <w:pPr>
                    <w:pStyle w:val="55"/>
                    <w:spacing w:after="0" w:line="360" w:lineRule="exact"/>
                    <w:ind w:firstLine="0"/>
                    <w:jc w:val="center"/>
                    <w:rPr>
                      <w:sz w:val="21"/>
                      <w:szCs w:val="21"/>
                    </w:rPr>
                  </w:pPr>
                  <w:r>
                    <w:rPr>
                      <w:sz w:val="21"/>
                      <w:szCs w:val="21"/>
                    </w:rPr>
                    <w:t>东侧</w:t>
                  </w:r>
                </w:p>
              </w:tc>
              <w:tc>
                <w:tcPr>
                  <w:tcW w:w="2008" w:type="pct"/>
                  <w:vAlign w:val="center"/>
                </w:tcPr>
                <w:p w14:paraId="72EF6964">
                  <w:pPr>
                    <w:pStyle w:val="55"/>
                    <w:spacing w:after="0" w:line="360" w:lineRule="exact"/>
                    <w:ind w:firstLine="0"/>
                    <w:jc w:val="center"/>
                    <w:rPr>
                      <w:rFonts w:hint="default" w:eastAsia="宋体"/>
                      <w:sz w:val="21"/>
                      <w:szCs w:val="21"/>
                      <w:lang w:val="en-US" w:eastAsia="zh-CN"/>
                    </w:rPr>
                  </w:pPr>
                  <w:r>
                    <w:rPr>
                      <w:rFonts w:hint="eastAsia"/>
                      <w:sz w:val="21"/>
                      <w:szCs w:val="21"/>
                      <w:lang w:val="en-US" w:eastAsia="zh-CN"/>
                    </w:rPr>
                    <w:t>17m</w:t>
                  </w:r>
                </w:p>
              </w:tc>
              <w:tc>
                <w:tcPr>
                  <w:tcW w:w="1763" w:type="pct"/>
                  <w:vAlign w:val="center"/>
                </w:tcPr>
                <w:p w14:paraId="4C1C0B74">
                  <w:pPr>
                    <w:pStyle w:val="55"/>
                    <w:spacing w:after="0" w:line="360" w:lineRule="exact"/>
                    <w:ind w:firstLine="0"/>
                    <w:jc w:val="center"/>
                    <w:rPr>
                      <w:rFonts w:hint="default" w:eastAsia="宋体"/>
                      <w:sz w:val="21"/>
                      <w:szCs w:val="21"/>
                      <w:lang w:val="en-US" w:eastAsia="zh-CN"/>
                    </w:rPr>
                  </w:pPr>
                  <w:r>
                    <w:rPr>
                      <w:rFonts w:hint="eastAsia"/>
                      <w:sz w:val="21"/>
                      <w:szCs w:val="21"/>
                      <w:lang w:val="en-US" w:eastAsia="zh-CN"/>
                    </w:rPr>
                    <w:t>院外金安路</w:t>
                  </w:r>
                </w:p>
              </w:tc>
              <w:tc>
                <w:tcPr>
                  <w:tcW w:w="661" w:type="pct"/>
                  <w:tcBorders>
                    <w:right w:val="nil"/>
                  </w:tcBorders>
                  <w:vAlign w:val="center"/>
                </w:tcPr>
                <w:p w14:paraId="6024A28C">
                  <w:pPr>
                    <w:pStyle w:val="55"/>
                    <w:spacing w:after="0" w:line="360" w:lineRule="exact"/>
                    <w:ind w:firstLine="0"/>
                    <w:jc w:val="center"/>
                    <w:rPr>
                      <w:sz w:val="21"/>
                      <w:szCs w:val="21"/>
                    </w:rPr>
                  </w:pPr>
                  <w:r>
                    <w:rPr>
                      <w:sz w:val="21"/>
                      <w:szCs w:val="21"/>
                    </w:rPr>
                    <w:t>/</w:t>
                  </w:r>
                </w:p>
              </w:tc>
            </w:tr>
            <w:tr w14:paraId="7F754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pct"/>
                  <w:tcBorders>
                    <w:left w:val="nil"/>
                  </w:tcBorders>
                  <w:vAlign w:val="center"/>
                </w:tcPr>
                <w:p w14:paraId="4681BF77">
                  <w:pPr>
                    <w:pStyle w:val="55"/>
                    <w:spacing w:after="0" w:line="360" w:lineRule="exact"/>
                    <w:ind w:firstLine="0"/>
                    <w:jc w:val="center"/>
                    <w:rPr>
                      <w:rFonts w:hint="eastAsia" w:eastAsia="宋体"/>
                      <w:sz w:val="21"/>
                      <w:szCs w:val="21"/>
                      <w:lang w:val="en-US" w:eastAsia="zh-CN"/>
                    </w:rPr>
                  </w:pPr>
                  <w:r>
                    <w:rPr>
                      <w:rFonts w:hint="eastAsia"/>
                      <w:sz w:val="21"/>
                      <w:szCs w:val="21"/>
                      <w:lang w:val="en-US" w:eastAsia="zh-CN"/>
                    </w:rPr>
                    <w:t>东南侧</w:t>
                  </w:r>
                </w:p>
              </w:tc>
              <w:tc>
                <w:tcPr>
                  <w:tcW w:w="2008" w:type="pct"/>
                  <w:vAlign w:val="center"/>
                </w:tcPr>
                <w:p w14:paraId="10527736">
                  <w:pPr>
                    <w:pStyle w:val="55"/>
                    <w:spacing w:after="0" w:line="360" w:lineRule="exact"/>
                    <w:ind w:firstLine="0"/>
                    <w:jc w:val="center"/>
                    <w:rPr>
                      <w:rFonts w:hint="default"/>
                      <w:sz w:val="21"/>
                      <w:szCs w:val="21"/>
                      <w:lang w:val="en-US" w:eastAsia="zh-CN"/>
                    </w:rPr>
                  </w:pPr>
                  <w:r>
                    <w:rPr>
                      <w:rFonts w:hint="eastAsia"/>
                      <w:sz w:val="21"/>
                      <w:szCs w:val="21"/>
                      <w:lang w:val="en-US" w:eastAsia="zh-CN"/>
                    </w:rPr>
                    <w:t>12m</w:t>
                  </w:r>
                </w:p>
              </w:tc>
              <w:tc>
                <w:tcPr>
                  <w:tcW w:w="1763" w:type="pct"/>
                  <w:vAlign w:val="center"/>
                </w:tcPr>
                <w:p w14:paraId="1149DC8C">
                  <w:pPr>
                    <w:pStyle w:val="55"/>
                    <w:spacing w:after="0" w:line="360" w:lineRule="exact"/>
                    <w:ind w:firstLine="0"/>
                    <w:jc w:val="center"/>
                    <w:rPr>
                      <w:rFonts w:hint="default"/>
                      <w:sz w:val="21"/>
                      <w:szCs w:val="21"/>
                      <w:lang w:val="en-US" w:eastAsia="zh-CN"/>
                    </w:rPr>
                  </w:pPr>
                  <w:r>
                    <w:rPr>
                      <w:rFonts w:hint="eastAsia"/>
                      <w:sz w:val="21"/>
                      <w:szCs w:val="21"/>
                      <w:lang w:val="en-US" w:eastAsia="zh-CN"/>
                    </w:rPr>
                    <w:t>院内高压氧舱与办公楼</w:t>
                  </w:r>
                </w:p>
              </w:tc>
              <w:tc>
                <w:tcPr>
                  <w:tcW w:w="661" w:type="pct"/>
                  <w:tcBorders>
                    <w:right w:val="nil"/>
                  </w:tcBorders>
                  <w:vAlign w:val="center"/>
                </w:tcPr>
                <w:p w14:paraId="2E7574BB">
                  <w:pPr>
                    <w:pStyle w:val="55"/>
                    <w:spacing w:after="0" w:line="360" w:lineRule="exact"/>
                    <w:ind w:firstLine="0"/>
                    <w:jc w:val="center"/>
                    <w:rPr>
                      <w:rFonts w:hint="eastAsia" w:eastAsia="宋体"/>
                      <w:sz w:val="21"/>
                      <w:szCs w:val="21"/>
                      <w:lang w:val="en-US" w:eastAsia="zh-CN"/>
                    </w:rPr>
                  </w:pPr>
                  <w:r>
                    <w:rPr>
                      <w:rFonts w:hint="eastAsia"/>
                      <w:sz w:val="21"/>
                      <w:szCs w:val="21"/>
                      <w:lang w:val="en-US" w:eastAsia="zh-CN"/>
                    </w:rPr>
                    <w:t>/</w:t>
                  </w:r>
                </w:p>
              </w:tc>
            </w:tr>
            <w:tr w14:paraId="76D7E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pct"/>
                  <w:tcBorders>
                    <w:left w:val="nil"/>
                  </w:tcBorders>
                  <w:vAlign w:val="center"/>
                </w:tcPr>
                <w:p w14:paraId="17B948A6">
                  <w:pPr>
                    <w:pStyle w:val="55"/>
                    <w:spacing w:after="0" w:line="360" w:lineRule="exact"/>
                    <w:ind w:firstLine="0"/>
                    <w:jc w:val="center"/>
                    <w:rPr>
                      <w:sz w:val="21"/>
                      <w:szCs w:val="21"/>
                    </w:rPr>
                  </w:pPr>
                  <w:r>
                    <w:rPr>
                      <w:sz w:val="21"/>
                      <w:szCs w:val="21"/>
                    </w:rPr>
                    <w:t>南侧</w:t>
                  </w:r>
                </w:p>
              </w:tc>
              <w:tc>
                <w:tcPr>
                  <w:tcW w:w="2008" w:type="pct"/>
                  <w:vAlign w:val="center"/>
                </w:tcPr>
                <w:p w14:paraId="5A4B2925">
                  <w:pPr>
                    <w:pStyle w:val="55"/>
                    <w:spacing w:after="0" w:line="360" w:lineRule="exact"/>
                    <w:ind w:firstLine="0"/>
                    <w:jc w:val="center"/>
                    <w:rPr>
                      <w:sz w:val="21"/>
                      <w:szCs w:val="21"/>
                    </w:rPr>
                  </w:pPr>
                  <w:r>
                    <w:rPr>
                      <w:rFonts w:hint="eastAsia"/>
                      <w:sz w:val="21"/>
                      <w:szCs w:val="21"/>
                      <w:lang w:val="en-US" w:eastAsia="zh-CN"/>
                    </w:rPr>
                    <w:t>3</w:t>
                  </w:r>
                  <w:r>
                    <w:rPr>
                      <w:sz w:val="21"/>
                      <w:szCs w:val="21"/>
                    </w:rPr>
                    <w:t>5m</w:t>
                  </w:r>
                </w:p>
              </w:tc>
              <w:tc>
                <w:tcPr>
                  <w:tcW w:w="1763" w:type="pct"/>
                  <w:vAlign w:val="center"/>
                </w:tcPr>
                <w:p w14:paraId="02EB0485">
                  <w:pPr>
                    <w:pStyle w:val="55"/>
                    <w:spacing w:after="0" w:line="360" w:lineRule="exact"/>
                    <w:ind w:firstLine="0"/>
                    <w:jc w:val="center"/>
                    <w:rPr>
                      <w:rFonts w:hint="eastAsia" w:eastAsia="宋体"/>
                      <w:sz w:val="21"/>
                      <w:szCs w:val="21"/>
                      <w:lang w:eastAsia="zh-CN"/>
                    </w:rPr>
                  </w:pPr>
                  <w:r>
                    <w:rPr>
                      <w:sz w:val="21"/>
                      <w:szCs w:val="21"/>
                    </w:rPr>
                    <w:t>院外</w:t>
                  </w:r>
                  <w:r>
                    <w:rPr>
                      <w:rFonts w:hint="eastAsia"/>
                      <w:sz w:val="21"/>
                      <w:szCs w:val="21"/>
                      <w:lang w:val="en-US" w:eastAsia="zh-CN"/>
                    </w:rPr>
                    <w:t>茂兴路</w:t>
                  </w:r>
                </w:p>
              </w:tc>
              <w:tc>
                <w:tcPr>
                  <w:tcW w:w="661" w:type="pct"/>
                  <w:tcBorders>
                    <w:right w:val="nil"/>
                  </w:tcBorders>
                  <w:vAlign w:val="center"/>
                </w:tcPr>
                <w:p w14:paraId="56695694">
                  <w:pPr>
                    <w:pStyle w:val="55"/>
                    <w:spacing w:after="0" w:line="360" w:lineRule="exact"/>
                    <w:ind w:firstLine="0"/>
                    <w:jc w:val="center"/>
                    <w:rPr>
                      <w:sz w:val="21"/>
                      <w:szCs w:val="21"/>
                    </w:rPr>
                  </w:pPr>
                  <w:r>
                    <w:rPr>
                      <w:sz w:val="21"/>
                      <w:szCs w:val="21"/>
                    </w:rPr>
                    <w:t>/</w:t>
                  </w:r>
                </w:p>
              </w:tc>
            </w:tr>
            <w:tr w14:paraId="273B3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pct"/>
                  <w:tcBorders>
                    <w:left w:val="nil"/>
                  </w:tcBorders>
                  <w:vAlign w:val="center"/>
                </w:tcPr>
                <w:p w14:paraId="4DDBA6A5">
                  <w:pPr>
                    <w:pStyle w:val="55"/>
                    <w:spacing w:after="0" w:line="360" w:lineRule="exact"/>
                    <w:ind w:firstLine="0"/>
                    <w:jc w:val="center"/>
                    <w:rPr>
                      <w:rFonts w:hint="eastAsia" w:eastAsia="宋体"/>
                      <w:sz w:val="21"/>
                      <w:szCs w:val="21"/>
                      <w:lang w:val="en-US" w:eastAsia="zh-CN"/>
                    </w:rPr>
                  </w:pPr>
                  <w:r>
                    <w:rPr>
                      <w:rFonts w:hint="eastAsia"/>
                      <w:sz w:val="21"/>
                      <w:szCs w:val="21"/>
                      <w:lang w:val="en-US" w:eastAsia="zh-CN"/>
                    </w:rPr>
                    <w:t>西南侧</w:t>
                  </w:r>
                </w:p>
              </w:tc>
              <w:tc>
                <w:tcPr>
                  <w:tcW w:w="2008" w:type="pct"/>
                  <w:vAlign w:val="center"/>
                </w:tcPr>
                <w:p w14:paraId="1EF5B3B8">
                  <w:pPr>
                    <w:pStyle w:val="55"/>
                    <w:spacing w:after="0" w:line="360" w:lineRule="exact"/>
                    <w:ind w:firstLine="0"/>
                    <w:jc w:val="center"/>
                    <w:rPr>
                      <w:rFonts w:hint="default"/>
                      <w:sz w:val="21"/>
                      <w:szCs w:val="21"/>
                      <w:lang w:val="en-US" w:eastAsia="zh-CN"/>
                    </w:rPr>
                  </w:pPr>
                  <w:r>
                    <w:rPr>
                      <w:rFonts w:hint="eastAsia"/>
                      <w:sz w:val="21"/>
                      <w:szCs w:val="21"/>
                      <w:lang w:val="en-US" w:eastAsia="zh-CN"/>
                    </w:rPr>
                    <w:t>24m</w:t>
                  </w:r>
                </w:p>
              </w:tc>
              <w:tc>
                <w:tcPr>
                  <w:tcW w:w="1763" w:type="pct"/>
                  <w:vAlign w:val="center"/>
                </w:tcPr>
                <w:p w14:paraId="300E218E">
                  <w:pPr>
                    <w:pStyle w:val="55"/>
                    <w:spacing w:after="0" w:line="360" w:lineRule="exact"/>
                    <w:ind w:firstLine="0"/>
                    <w:jc w:val="center"/>
                    <w:rPr>
                      <w:rFonts w:hint="default" w:eastAsia="宋体"/>
                      <w:sz w:val="21"/>
                      <w:szCs w:val="21"/>
                      <w:lang w:val="en-US" w:eastAsia="zh-CN"/>
                    </w:rPr>
                  </w:pPr>
                  <w:r>
                    <w:rPr>
                      <w:rFonts w:hint="eastAsia"/>
                      <w:sz w:val="21"/>
                      <w:szCs w:val="21"/>
                      <w:lang w:val="en-US" w:eastAsia="zh-CN"/>
                    </w:rPr>
                    <w:t>院内感染楼</w:t>
                  </w:r>
                </w:p>
              </w:tc>
              <w:tc>
                <w:tcPr>
                  <w:tcW w:w="661" w:type="pct"/>
                  <w:tcBorders>
                    <w:right w:val="nil"/>
                  </w:tcBorders>
                  <w:vAlign w:val="center"/>
                </w:tcPr>
                <w:p w14:paraId="15FCB6DB">
                  <w:pPr>
                    <w:pStyle w:val="55"/>
                    <w:spacing w:after="0" w:line="360" w:lineRule="exact"/>
                    <w:ind w:firstLine="0"/>
                    <w:jc w:val="center"/>
                    <w:rPr>
                      <w:sz w:val="21"/>
                      <w:szCs w:val="21"/>
                    </w:rPr>
                  </w:pPr>
                </w:p>
              </w:tc>
            </w:tr>
            <w:tr w14:paraId="1FB5E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6" w:type="pct"/>
                  <w:tcBorders>
                    <w:left w:val="nil"/>
                  </w:tcBorders>
                  <w:vAlign w:val="center"/>
                </w:tcPr>
                <w:p w14:paraId="13EE9446">
                  <w:pPr>
                    <w:pStyle w:val="55"/>
                    <w:spacing w:after="0" w:line="360" w:lineRule="exact"/>
                    <w:ind w:firstLine="0"/>
                    <w:jc w:val="center"/>
                    <w:rPr>
                      <w:sz w:val="21"/>
                      <w:szCs w:val="21"/>
                    </w:rPr>
                  </w:pPr>
                  <w:r>
                    <w:rPr>
                      <w:sz w:val="21"/>
                      <w:szCs w:val="21"/>
                    </w:rPr>
                    <w:t>西侧</w:t>
                  </w:r>
                </w:p>
              </w:tc>
              <w:tc>
                <w:tcPr>
                  <w:tcW w:w="2008" w:type="pct"/>
                  <w:vAlign w:val="center"/>
                </w:tcPr>
                <w:p w14:paraId="55BBE133">
                  <w:pPr>
                    <w:pStyle w:val="55"/>
                    <w:spacing w:after="0" w:line="360" w:lineRule="exact"/>
                    <w:ind w:firstLine="0"/>
                    <w:jc w:val="center"/>
                    <w:rPr>
                      <w:rFonts w:hint="default" w:eastAsia="宋体"/>
                      <w:sz w:val="21"/>
                      <w:szCs w:val="21"/>
                      <w:lang w:val="en-US" w:eastAsia="zh-CN"/>
                    </w:rPr>
                  </w:pPr>
                  <w:r>
                    <w:rPr>
                      <w:rFonts w:hint="eastAsia"/>
                      <w:sz w:val="21"/>
                      <w:szCs w:val="21"/>
                      <w:lang w:val="en-US" w:eastAsia="zh-CN"/>
                    </w:rPr>
                    <w:t>48m</w:t>
                  </w:r>
                </w:p>
              </w:tc>
              <w:tc>
                <w:tcPr>
                  <w:tcW w:w="1763" w:type="pct"/>
                  <w:vAlign w:val="center"/>
                </w:tcPr>
                <w:p w14:paraId="00B0FFD0">
                  <w:pPr>
                    <w:pStyle w:val="55"/>
                    <w:spacing w:after="0" w:line="360" w:lineRule="exact"/>
                    <w:ind w:firstLine="0"/>
                    <w:jc w:val="center"/>
                    <w:rPr>
                      <w:sz w:val="21"/>
                      <w:szCs w:val="21"/>
                    </w:rPr>
                  </w:pPr>
                  <w:r>
                    <w:rPr>
                      <w:rFonts w:hint="eastAsia"/>
                      <w:sz w:val="21"/>
                      <w:szCs w:val="21"/>
                    </w:rPr>
                    <w:t>院外尚津路</w:t>
                  </w:r>
                </w:p>
              </w:tc>
              <w:tc>
                <w:tcPr>
                  <w:tcW w:w="661" w:type="pct"/>
                  <w:tcBorders>
                    <w:right w:val="nil"/>
                  </w:tcBorders>
                  <w:vAlign w:val="center"/>
                </w:tcPr>
                <w:p w14:paraId="311A9340">
                  <w:pPr>
                    <w:pStyle w:val="55"/>
                    <w:spacing w:after="0" w:line="360" w:lineRule="exact"/>
                    <w:ind w:firstLine="0"/>
                    <w:jc w:val="center"/>
                    <w:rPr>
                      <w:sz w:val="21"/>
                      <w:szCs w:val="21"/>
                    </w:rPr>
                  </w:pPr>
                </w:p>
              </w:tc>
            </w:tr>
          </w:tbl>
          <w:p w14:paraId="3C726EC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highlight w:val="yellow"/>
              </w:rPr>
            </w:pPr>
            <w:r>
              <w:rPr>
                <w:rFonts w:hint="default" w:ascii="Times New Roman" w:hAnsi="Times New Roman" w:eastAsia="宋体" w:cs="Times New Roman"/>
                <w:sz w:val="24"/>
                <w:szCs w:val="24"/>
                <w:highlight w:val="none"/>
              </w:rPr>
              <w:t>本项目</w:t>
            </w:r>
            <w:r>
              <w:rPr>
                <w:rFonts w:hint="eastAsia" w:ascii="Times New Roman" w:hAnsi="Times New Roman" w:eastAsia="宋体" w:cs="Times New Roman"/>
                <w:sz w:val="24"/>
                <w:szCs w:val="24"/>
                <w:highlight w:val="none"/>
                <w:lang w:val="en-US" w:eastAsia="zh-CN"/>
              </w:rPr>
              <w:t>核医学科</w:t>
            </w:r>
            <w:r>
              <w:rPr>
                <w:rFonts w:hint="default" w:ascii="Times New Roman" w:hAnsi="Times New Roman" w:eastAsia="宋体" w:cs="Times New Roman"/>
                <w:sz w:val="24"/>
                <w:szCs w:val="24"/>
                <w:highlight w:val="none"/>
              </w:rPr>
              <w:t>北侧为</w:t>
            </w:r>
            <w:r>
              <w:rPr>
                <w:rFonts w:hint="eastAsia" w:cs="Times New Roman"/>
                <w:sz w:val="24"/>
                <w:szCs w:val="24"/>
                <w:highlight w:val="none"/>
                <w:lang w:val="en-US" w:eastAsia="zh-CN"/>
              </w:rPr>
              <w:t>负一层地下停车场</w:t>
            </w:r>
            <w:r>
              <w:rPr>
                <w:rFonts w:hint="default" w:ascii="Times New Roman" w:hAnsi="Times New Roman" w:eastAsia="宋体" w:cs="Times New Roman"/>
                <w:sz w:val="24"/>
                <w:szCs w:val="24"/>
                <w:highlight w:val="none"/>
              </w:rPr>
              <w:t>，东侧为</w:t>
            </w:r>
            <w:r>
              <w:rPr>
                <w:rFonts w:hint="eastAsia" w:cs="Times New Roman"/>
                <w:sz w:val="24"/>
                <w:szCs w:val="24"/>
                <w:highlight w:val="none"/>
                <w:lang w:val="en-US" w:eastAsia="zh-CN"/>
              </w:rPr>
              <w:t>配电机房</w:t>
            </w:r>
            <w:r>
              <w:rPr>
                <w:rFonts w:hint="default" w:ascii="Times New Roman" w:hAnsi="Times New Roman" w:eastAsia="宋体" w:cs="Times New Roman"/>
                <w:sz w:val="24"/>
                <w:szCs w:val="24"/>
                <w:highlight w:val="none"/>
              </w:rPr>
              <w:t>，西侧为</w:t>
            </w:r>
            <w:r>
              <w:rPr>
                <w:rFonts w:hint="eastAsia" w:cs="Times New Roman"/>
                <w:sz w:val="24"/>
                <w:szCs w:val="24"/>
                <w:highlight w:val="none"/>
                <w:lang w:val="en-US" w:eastAsia="zh-CN"/>
              </w:rPr>
              <w:t>回填土</w:t>
            </w:r>
            <w:r>
              <w:rPr>
                <w:rFonts w:hint="default" w:ascii="Times New Roman" w:hAnsi="Times New Roman" w:eastAsia="宋体" w:cs="Times New Roman"/>
                <w:sz w:val="24"/>
                <w:szCs w:val="24"/>
                <w:highlight w:val="none"/>
              </w:rPr>
              <w:t>，南侧为</w:t>
            </w:r>
            <w:r>
              <w:rPr>
                <w:rFonts w:hint="eastAsia" w:cs="Times New Roman"/>
                <w:sz w:val="24"/>
                <w:szCs w:val="24"/>
                <w:highlight w:val="none"/>
                <w:lang w:val="en-US" w:eastAsia="zh-CN"/>
              </w:rPr>
              <w:t>总务维修办公室、设备维修办公室、总务库房和设备库房等</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一层放射科机房及办公区域</w:t>
            </w:r>
            <w:r>
              <w:rPr>
                <w:rFonts w:hint="default" w:ascii="Times New Roman" w:hAnsi="Times New Roman" w:eastAsia="宋体" w:cs="Times New Roman"/>
                <w:sz w:val="24"/>
                <w:szCs w:val="24"/>
                <w:highlight w:val="none"/>
              </w:rPr>
              <w:t>，楼下为</w:t>
            </w:r>
            <w:r>
              <w:rPr>
                <w:rFonts w:hint="eastAsia" w:cs="Times New Roman"/>
                <w:sz w:val="24"/>
                <w:szCs w:val="24"/>
                <w:highlight w:val="none"/>
                <w:lang w:val="en-US" w:eastAsia="zh-CN"/>
              </w:rPr>
              <w:t>负二层</w:t>
            </w:r>
            <w:r>
              <w:rPr>
                <w:rFonts w:hint="default" w:ascii="Times New Roman" w:hAnsi="Times New Roman" w:eastAsia="宋体" w:cs="Times New Roman"/>
                <w:sz w:val="24"/>
                <w:szCs w:val="24"/>
                <w:highlight w:val="none"/>
              </w:rPr>
              <w:t>地下</w:t>
            </w:r>
            <w:r>
              <w:rPr>
                <w:rFonts w:hint="eastAsia" w:cs="Times New Roman"/>
                <w:sz w:val="24"/>
                <w:szCs w:val="24"/>
                <w:highlight w:val="none"/>
                <w:lang w:val="en-US" w:eastAsia="zh-CN"/>
              </w:rPr>
              <w:t>停车场</w:t>
            </w:r>
            <w:r>
              <w:rPr>
                <w:rFonts w:hint="default" w:ascii="Times New Roman" w:hAnsi="Times New Roman" w:eastAsia="宋体" w:cs="Times New Roman"/>
                <w:sz w:val="24"/>
                <w:szCs w:val="24"/>
                <w:highlight w:val="none"/>
              </w:rPr>
              <w:t>。</w:t>
            </w:r>
          </w:p>
          <w:p w14:paraId="4D692A0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szCs w:val="24"/>
                <w:highlight w:val="yellow"/>
                <w:lang w:val="en-US" w:eastAsia="zh-CN"/>
              </w:rPr>
            </w:pPr>
            <w:r>
              <w:rPr>
                <w:rFonts w:hint="eastAsia" w:ascii="Times New Roman" w:hAnsi="Times New Roman" w:eastAsia="宋体" w:cs="Times New Roman"/>
                <w:sz w:val="24"/>
                <w:szCs w:val="24"/>
                <w:highlight w:val="none"/>
                <w:lang w:val="en-US" w:eastAsia="zh-CN"/>
              </w:rPr>
              <w:t>本项目</w:t>
            </w:r>
            <w:r>
              <w:rPr>
                <w:rFonts w:hint="eastAsia" w:cs="Times New Roman"/>
                <w:sz w:val="24"/>
                <w:szCs w:val="24"/>
                <w:highlight w:val="none"/>
                <w:lang w:val="en-US" w:eastAsia="zh-CN"/>
              </w:rPr>
              <w:t>DSA+CT</w:t>
            </w:r>
            <w:r>
              <w:rPr>
                <w:rFonts w:hint="eastAsia" w:ascii="Times New Roman" w:hAnsi="Times New Roman" w:eastAsia="宋体" w:cs="Times New Roman"/>
                <w:sz w:val="24"/>
                <w:szCs w:val="24"/>
                <w:highlight w:val="none"/>
                <w:lang w:val="en-US" w:eastAsia="zh-CN"/>
              </w:rPr>
              <w:t>复合手术室</w:t>
            </w:r>
            <w:r>
              <w:rPr>
                <w:rFonts w:hint="default" w:ascii="Times New Roman" w:hAnsi="Times New Roman" w:eastAsia="宋体" w:cs="Times New Roman"/>
                <w:sz w:val="24"/>
                <w:szCs w:val="24"/>
                <w:highlight w:val="none"/>
              </w:rPr>
              <w:t>北侧为</w:t>
            </w:r>
            <w:r>
              <w:rPr>
                <w:rFonts w:hint="eastAsia" w:cs="Times New Roman"/>
                <w:sz w:val="24"/>
                <w:szCs w:val="24"/>
                <w:highlight w:val="none"/>
                <w:lang w:val="en-US" w:eastAsia="zh-CN"/>
              </w:rPr>
              <w:t>操作间和设备间</w:t>
            </w:r>
            <w:r>
              <w:rPr>
                <w:rFonts w:hint="default" w:ascii="Times New Roman" w:hAnsi="Times New Roman" w:eastAsia="宋体" w:cs="Times New Roman"/>
                <w:sz w:val="24"/>
                <w:szCs w:val="24"/>
                <w:highlight w:val="none"/>
              </w:rPr>
              <w:t>，东侧为</w:t>
            </w:r>
            <w:r>
              <w:rPr>
                <w:rFonts w:hint="eastAsia" w:cs="Times New Roman"/>
                <w:sz w:val="24"/>
                <w:szCs w:val="24"/>
                <w:highlight w:val="none"/>
                <w:lang w:val="en-US" w:eastAsia="zh-CN"/>
              </w:rPr>
              <w:t>洁净通道和手术室OR14</w:t>
            </w:r>
            <w:r>
              <w:rPr>
                <w:rFonts w:hint="default" w:ascii="Times New Roman" w:hAnsi="Times New Roman" w:eastAsia="宋体" w:cs="Times New Roman"/>
                <w:sz w:val="24"/>
                <w:szCs w:val="24"/>
                <w:highlight w:val="none"/>
              </w:rPr>
              <w:t>，西侧为</w:t>
            </w:r>
            <w:r>
              <w:rPr>
                <w:rFonts w:hint="eastAsia" w:cs="Times New Roman"/>
                <w:sz w:val="24"/>
                <w:szCs w:val="24"/>
                <w:highlight w:val="none"/>
                <w:lang w:val="en-US" w:eastAsia="zh-CN"/>
              </w:rPr>
              <w:t>病患通道</w:t>
            </w:r>
            <w:r>
              <w:rPr>
                <w:rFonts w:hint="default" w:ascii="Times New Roman" w:hAnsi="Times New Roman" w:eastAsia="宋体" w:cs="Times New Roman"/>
                <w:sz w:val="24"/>
                <w:szCs w:val="24"/>
                <w:highlight w:val="none"/>
              </w:rPr>
              <w:t>，南侧为</w:t>
            </w:r>
            <w:r>
              <w:rPr>
                <w:rFonts w:hint="eastAsia" w:cs="Times New Roman"/>
                <w:sz w:val="24"/>
                <w:szCs w:val="24"/>
                <w:highlight w:val="none"/>
                <w:lang w:val="en-US" w:eastAsia="zh-CN"/>
              </w:rPr>
              <w:t>准备间、CT设备室和污物通道等</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五层屋面结构层</w:t>
            </w:r>
            <w:r>
              <w:rPr>
                <w:rFonts w:hint="default" w:ascii="Times New Roman" w:hAnsi="Times New Roman" w:eastAsia="宋体" w:cs="Times New Roman"/>
                <w:sz w:val="24"/>
                <w:szCs w:val="24"/>
                <w:highlight w:val="none"/>
              </w:rPr>
              <w:t>，楼下为</w:t>
            </w:r>
            <w:r>
              <w:rPr>
                <w:rFonts w:hint="eastAsia" w:cs="Times New Roman"/>
                <w:sz w:val="24"/>
                <w:szCs w:val="24"/>
                <w:highlight w:val="none"/>
                <w:lang w:val="en-US" w:eastAsia="zh-CN"/>
              </w:rPr>
              <w:t>三层超声功能检查区彩超室等</w:t>
            </w:r>
            <w:r>
              <w:rPr>
                <w:rFonts w:hint="default" w:ascii="Times New Roman" w:hAnsi="Times New Roman" w:eastAsia="宋体" w:cs="Times New Roman"/>
                <w:sz w:val="24"/>
                <w:szCs w:val="24"/>
                <w:highlight w:val="none"/>
              </w:rPr>
              <w:t>。</w:t>
            </w:r>
          </w:p>
          <w:p w14:paraId="4B36191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本项目3间DSA手术室（</w:t>
            </w:r>
            <w:r>
              <w:rPr>
                <w:rFonts w:hint="eastAsia" w:cs="Times New Roman"/>
                <w:sz w:val="24"/>
                <w:szCs w:val="24"/>
                <w:highlight w:val="none"/>
                <w:lang w:val="en-US" w:eastAsia="zh-CN"/>
              </w:rPr>
              <w:t>OR09</w:t>
            </w:r>
            <w:r>
              <w:rPr>
                <w:rFonts w:hint="eastAsia" w:ascii="Times New Roman" w:hAnsi="Times New Roman" w:eastAsia="宋体" w:cs="Times New Roman"/>
                <w:sz w:val="24"/>
                <w:szCs w:val="24"/>
                <w:highlight w:val="none"/>
                <w:lang w:val="en-US" w:eastAsia="zh-CN"/>
              </w:rPr>
              <w:t>、OR10和OR11）</w:t>
            </w:r>
            <w:r>
              <w:rPr>
                <w:rFonts w:hint="default" w:ascii="Times New Roman" w:hAnsi="Times New Roman" w:eastAsia="宋体" w:cs="Times New Roman"/>
                <w:sz w:val="24"/>
                <w:szCs w:val="24"/>
                <w:highlight w:val="none"/>
              </w:rPr>
              <w:t>北侧为</w:t>
            </w:r>
            <w:r>
              <w:rPr>
                <w:rFonts w:hint="eastAsia" w:cs="Times New Roman"/>
                <w:sz w:val="24"/>
                <w:szCs w:val="24"/>
                <w:highlight w:val="none"/>
                <w:lang w:val="en-US" w:eastAsia="zh-CN"/>
              </w:rPr>
              <w:t>污物通道</w:t>
            </w:r>
            <w:r>
              <w:rPr>
                <w:rFonts w:hint="default" w:ascii="Times New Roman" w:hAnsi="Times New Roman" w:eastAsia="宋体" w:cs="Times New Roman"/>
                <w:sz w:val="24"/>
                <w:szCs w:val="24"/>
                <w:highlight w:val="none"/>
              </w:rPr>
              <w:t>，东侧为</w:t>
            </w:r>
            <w:r>
              <w:rPr>
                <w:rFonts w:hint="eastAsia" w:cs="Times New Roman"/>
                <w:sz w:val="24"/>
                <w:szCs w:val="24"/>
                <w:highlight w:val="none"/>
                <w:lang w:val="en-US" w:eastAsia="zh-CN"/>
              </w:rPr>
              <w:t>库房和室内通道</w:t>
            </w:r>
            <w:r>
              <w:rPr>
                <w:rFonts w:hint="default" w:ascii="Times New Roman" w:hAnsi="Times New Roman" w:eastAsia="宋体" w:cs="Times New Roman"/>
                <w:sz w:val="24"/>
                <w:szCs w:val="24"/>
                <w:highlight w:val="none"/>
              </w:rPr>
              <w:t>，西侧为</w:t>
            </w:r>
            <w:r>
              <w:rPr>
                <w:rFonts w:hint="eastAsia" w:cs="Times New Roman"/>
                <w:sz w:val="24"/>
                <w:szCs w:val="24"/>
                <w:highlight w:val="none"/>
                <w:lang w:val="en-US" w:eastAsia="zh-CN"/>
              </w:rPr>
              <w:t>病患通道</w:t>
            </w:r>
            <w:r>
              <w:rPr>
                <w:rFonts w:hint="default" w:ascii="Times New Roman" w:hAnsi="Times New Roman" w:eastAsia="宋体" w:cs="Times New Roman"/>
                <w:sz w:val="24"/>
                <w:szCs w:val="24"/>
                <w:highlight w:val="none"/>
              </w:rPr>
              <w:t>，南侧为</w:t>
            </w:r>
            <w:r>
              <w:rPr>
                <w:rFonts w:hint="eastAsia" w:cs="Times New Roman"/>
                <w:sz w:val="24"/>
                <w:szCs w:val="24"/>
                <w:highlight w:val="none"/>
                <w:lang w:val="en-US" w:eastAsia="zh-CN"/>
              </w:rPr>
              <w:t>洁净通道</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五层屋面结构层和净化机房</w:t>
            </w:r>
            <w:r>
              <w:rPr>
                <w:rFonts w:hint="default" w:ascii="Times New Roman" w:hAnsi="Times New Roman" w:eastAsia="宋体" w:cs="Times New Roman"/>
                <w:sz w:val="24"/>
                <w:szCs w:val="24"/>
                <w:highlight w:val="none"/>
              </w:rPr>
              <w:t>，楼下为</w:t>
            </w:r>
            <w:r>
              <w:rPr>
                <w:rFonts w:hint="eastAsia" w:cs="Times New Roman"/>
                <w:sz w:val="24"/>
                <w:szCs w:val="24"/>
                <w:highlight w:val="none"/>
                <w:lang w:val="en-US" w:eastAsia="zh-CN"/>
              </w:rPr>
              <w:t>三层超声功能检查区介入治疗室、食道超声室和彩超室等</w:t>
            </w:r>
            <w:r>
              <w:rPr>
                <w:rFonts w:hint="default" w:ascii="Times New Roman" w:hAnsi="Times New Roman" w:eastAsia="宋体" w:cs="Times New Roman"/>
                <w:sz w:val="24"/>
                <w:szCs w:val="24"/>
                <w:highlight w:val="none"/>
              </w:rPr>
              <w:t>。</w:t>
            </w:r>
          </w:p>
          <w:p w14:paraId="211BC4AE">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FF0000"/>
                <w:sz w:val="24"/>
                <w:szCs w:val="24"/>
                <w:highlight w:val="yellow"/>
              </w:rPr>
            </w:pPr>
            <w:r>
              <w:rPr>
                <w:rFonts w:hint="eastAsia" w:ascii="Times New Roman" w:hAnsi="Times New Roman" w:eastAsia="宋体" w:cs="Times New Roman"/>
                <w:sz w:val="24"/>
                <w:szCs w:val="24"/>
                <w:highlight w:val="none"/>
                <w:lang w:val="en-US" w:eastAsia="zh-CN"/>
              </w:rPr>
              <w:t>本项目ERCP室</w:t>
            </w:r>
            <w:r>
              <w:rPr>
                <w:rFonts w:hint="default" w:ascii="Times New Roman" w:hAnsi="Times New Roman" w:eastAsia="宋体" w:cs="Times New Roman"/>
                <w:sz w:val="24"/>
                <w:szCs w:val="24"/>
                <w:highlight w:val="none"/>
              </w:rPr>
              <w:t>北侧为</w:t>
            </w:r>
            <w:r>
              <w:rPr>
                <w:rFonts w:hint="eastAsia" w:cs="Times New Roman"/>
                <w:sz w:val="24"/>
                <w:szCs w:val="24"/>
                <w:highlight w:val="none"/>
                <w:lang w:val="en-US" w:eastAsia="zh-CN"/>
              </w:rPr>
              <w:t>医护通道、室外庭院上空</w:t>
            </w:r>
            <w:r>
              <w:rPr>
                <w:rFonts w:hint="default" w:ascii="Times New Roman" w:hAnsi="Times New Roman" w:eastAsia="宋体" w:cs="Times New Roman"/>
                <w:sz w:val="24"/>
                <w:szCs w:val="24"/>
                <w:highlight w:val="none"/>
              </w:rPr>
              <w:t>，东侧为</w:t>
            </w:r>
            <w:r>
              <w:rPr>
                <w:rFonts w:hint="eastAsia" w:cs="Times New Roman"/>
                <w:sz w:val="24"/>
                <w:szCs w:val="24"/>
                <w:highlight w:val="none"/>
                <w:lang w:val="en-US" w:eastAsia="zh-CN"/>
              </w:rPr>
              <w:t>控制室和准备室</w:t>
            </w:r>
            <w:r>
              <w:rPr>
                <w:rFonts w:hint="default" w:ascii="Times New Roman" w:hAnsi="Times New Roman" w:eastAsia="宋体" w:cs="Times New Roman"/>
                <w:sz w:val="24"/>
                <w:szCs w:val="24"/>
                <w:highlight w:val="none"/>
              </w:rPr>
              <w:t>，西侧为</w:t>
            </w:r>
            <w:r>
              <w:rPr>
                <w:rFonts w:hint="eastAsia" w:cs="Times New Roman"/>
                <w:sz w:val="24"/>
                <w:szCs w:val="24"/>
                <w:highlight w:val="none"/>
                <w:lang w:val="en-US" w:eastAsia="zh-CN"/>
              </w:rPr>
              <w:t>治疗室R9</w:t>
            </w:r>
            <w:r>
              <w:rPr>
                <w:rFonts w:hint="default" w:ascii="Times New Roman" w:hAnsi="Times New Roman" w:eastAsia="宋体" w:cs="Times New Roman"/>
                <w:sz w:val="24"/>
                <w:szCs w:val="24"/>
                <w:highlight w:val="none"/>
              </w:rPr>
              <w:t>，南侧为</w:t>
            </w:r>
            <w:r>
              <w:rPr>
                <w:rFonts w:hint="eastAsia" w:cs="Times New Roman"/>
                <w:sz w:val="24"/>
                <w:szCs w:val="24"/>
                <w:highlight w:val="none"/>
                <w:lang w:val="en-US" w:eastAsia="zh-CN"/>
              </w:rPr>
              <w:t>病患通道和消毒区等</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五层屋面结构层</w:t>
            </w:r>
            <w:r>
              <w:rPr>
                <w:rFonts w:hint="default" w:ascii="Times New Roman" w:hAnsi="Times New Roman" w:eastAsia="宋体" w:cs="Times New Roman"/>
                <w:sz w:val="24"/>
                <w:szCs w:val="24"/>
                <w:highlight w:val="none"/>
              </w:rPr>
              <w:t>，楼下为</w:t>
            </w:r>
            <w:r>
              <w:rPr>
                <w:rFonts w:hint="eastAsia" w:cs="Times New Roman"/>
                <w:color w:val="auto"/>
                <w:sz w:val="24"/>
                <w:szCs w:val="24"/>
                <w:highlight w:val="none"/>
                <w:lang w:val="en-US" w:eastAsia="zh-CN"/>
              </w:rPr>
              <w:t>三层妇产科盆底治疗区域</w:t>
            </w:r>
            <w:r>
              <w:rPr>
                <w:rFonts w:hint="default" w:ascii="Times New Roman" w:hAnsi="Times New Roman" w:eastAsia="宋体" w:cs="Times New Roman"/>
                <w:color w:val="auto"/>
                <w:sz w:val="24"/>
                <w:szCs w:val="24"/>
                <w:highlight w:val="none"/>
              </w:rPr>
              <w:t>。</w:t>
            </w:r>
          </w:p>
          <w:p w14:paraId="2705AEE3">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eastAsia" w:cs="Times New Roman"/>
                <w:sz w:val="24"/>
                <w:szCs w:val="24"/>
                <w:lang w:val="en-US" w:eastAsia="zh-CN"/>
              </w:rPr>
              <w:t>本项目50m评价范围内均为本院医务工作人员、病患及其家属等，无居民住宅及其他环境保护目标。</w:t>
            </w:r>
          </w:p>
          <w:p w14:paraId="69F033CA">
            <w:pPr>
              <w:spacing w:before="120" w:beforeLines="50"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17</w:t>
            </w:r>
            <w:r>
              <w:rPr>
                <w:rFonts w:eastAsia="黑体"/>
                <w:bCs/>
                <w:sz w:val="21"/>
                <w:szCs w:val="21"/>
              </w:rPr>
              <w:t xml:space="preserve">  核医学科与《核医学辐射防护与安全要求》（HJ1188-2021）选址要求对照分析</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79"/>
              <w:gridCol w:w="4651"/>
              <w:gridCol w:w="674"/>
            </w:tblGrid>
            <w:tr w14:paraId="29507D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69" w:type="pct"/>
                  <w:vAlign w:val="center"/>
                </w:tcPr>
                <w:p w14:paraId="3EFFB5E2">
                  <w:pPr>
                    <w:spacing w:line="360" w:lineRule="exact"/>
                    <w:jc w:val="center"/>
                    <w:rPr>
                      <w:b/>
                      <w:bCs w:val="0"/>
                      <w:sz w:val="21"/>
                      <w:szCs w:val="21"/>
                    </w:rPr>
                  </w:pPr>
                  <w:r>
                    <w:rPr>
                      <w:b/>
                      <w:bCs w:val="0"/>
                      <w:sz w:val="21"/>
                      <w:szCs w:val="21"/>
                    </w:rPr>
                    <w:t>标准要求</w:t>
                  </w:r>
                </w:p>
              </w:tc>
              <w:tc>
                <w:tcPr>
                  <w:tcW w:w="2734" w:type="pct"/>
                  <w:vAlign w:val="center"/>
                </w:tcPr>
                <w:p w14:paraId="72F16F59">
                  <w:pPr>
                    <w:spacing w:line="360" w:lineRule="exact"/>
                    <w:jc w:val="center"/>
                    <w:rPr>
                      <w:b/>
                      <w:bCs w:val="0"/>
                      <w:sz w:val="21"/>
                      <w:szCs w:val="21"/>
                    </w:rPr>
                  </w:pPr>
                  <w:r>
                    <w:rPr>
                      <w:b/>
                      <w:bCs w:val="0"/>
                      <w:sz w:val="21"/>
                      <w:szCs w:val="21"/>
                    </w:rPr>
                    <w:t>本项目实际情况</w:t>
                  </w:r>
                </w:p>
              </w:tc>
              <w:tc>
                <w:tcPr>
                  <w:tcW w:w="396" w:type="pct"/>
                  <w:vAlign w:val="center"/>
                </w:tcPr>
                <w:p w14:paraId="334997C7">
                  <w:pPr>
                    <w:spacing w:line="360" w:lineRule="exact"/>
                    <w:jc w:val="center"/>
                    <w:rPr>
                      <w:b/>
                      <w:bCs w:val="0"/>
                      <w:sz w:val="21"/>
                      <w:szCs w:val="21"/>
                    </w:rPr>
                  </w:pPr>
                  <w:r>
                    <w:rPr>
                      <w:b/>
                      <w:bCs w:val="0"/>
                      <w:sz w:val="21"/>
                      <w:szCs w:val="21"/>
                    </w:rPr>
                    <w:t>备注</w:t>
                  </w:r>
                </w:p>
              </w:tc>
            </w:tr>
            <w:tr w14:paraId="7BC242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1869" w:type="pct"/>
                  <w:vAlign w:val="center"/>
                </w:tcPr>
                <w:p w14:paraId="0FE18619">
                  <w:pPr>
                    <w:spacing w:line="360" w:lineRule="exact"/>
                    <w:jc w:val="left"/>
                    <w:rPr>
                      <w:bCs/>
                      <w:sz w:val="21"/>
                      <w:szCs w:val="21"/>
                    </w:rPr>
                  </w:pPr>
                  <w:r>
                    <w:rPr>
                      <w:bCs/>
                      <w:sz w:val="21"/>
                      <w:szCs w:val="21"/>
                    </w:rPr>
                    <w:t>核医学工作场所宜建在医疗机构内单独的建筑物内，或集中于无人长期居留的建筑物的一端或底层，设置相应的物理隔离和单独的人员、物流通道。</w:t>
                  </w:r>
                </w:p>
              </w:tc>
              <w:tc>
                <w:tcPr>
                  <w:tcW w:w="2734" w:type="pct"/>
                  <w:vAlign w:val="center"/>
                </w:tcPr>
                <w:p w14:paraId="59E22700">
                  <w:pPr>
                    <w:spacing w:line="360" w:lineRule="exact"/>
                    <w:rPr>
                      <w:bCs/>
                      <w:sz w:val="21"/>
                      <w:szCs w:val="21"/>
                    </w:rPr>
                  </w:pPr>
                  <w:r>
                    <w:rPr>
                      <w:bCs/>
                      <w:sz w:val="21"/>
                      <w:szCs w:val="21"/>
                    </w:rPr>
                    <w:t>本项目核医学科建设在</w:t>
                  </w:r>
                  <w:r>
                    <w:rPr>
                      <w:rFonts w:hint="eastAsia"/>
                      <w:bCs/>
                      <w:sz w:val="21"/>
                      <w:szCs w:val="21"/>
                      <w:lang w:val="en-US" w:eastAsia="zh-CN"/>
                    </w:rPr>
                    <w:t>门诊医技楼</w:t>
                  </w:r>
                  <w:r>
                    <w:rPr>
                      <w:bCs/>
                      <w:sz w:val="21"/>
                      <w:szCs w:val="21"/>
                    </w:rPr>
                    <w:t>的</w:t>
                  </w:r>
                  <w:r>
                    <w:rPr>
                      <w:rFonts w:hint="eastAsia"/>
                      <w:bCs/>
                      <w:sz w:val="21"/>
                      <w:szCs w:val="21"/>
                      <w:lang w:val="en-US" w:eastAsia="zh-CN"/>
                    </w:rPr>
                    <w:t>负一层</w:t>
                  </w:r>
                  <w:r>
                    <w:rPr>
                      <w:bCs/>
                      <w:sz w:val="21"/>
                      <w:szCs w:val="21"/>
                    </w:rPr>
                    <w:t>，但</w:t>
                  </w:r>
                  <w:r>
                    <w:rPr>
                      <w:rFonts w:hint="eastAsia"/>
                      <w:bCs/>
                      <w:sz w:val="21"/>
                      <w:szCs w:val="21"/>
                      <w:lang w:val="en-US" w:eastAsia="zh-CN"/>
                    </w:rPr>
                    <w:t>与周围其他工作场所</w:t>
                  </w:r>
                  <w:r>
                    <w:rPr>
                      <w:bCs/>
                      <w:sz w:val="21"/>
                      <w:szCs w:val="21"/>
                    </w:rPr>
                    <w:t>间设置有相应的物理隔离，且人流、物料相对独立。</w:t>
                  </w:r>
                </w:p>
              </w:tc>
              <w:tc>
                <w:tcPr>
                  <w:tcW w:w="396" w:type="pct"/>
                  <w:vAlign w:val="center"/>
                </w:tcPr>
                <w:p w14:paraId="53FF1480">
                  <w:pPr>
                    <w:spacing w:line="360" w:lineRule="exact"/>
                    <w:jc w:val="center"/>
                    <w:rPr>
                      <w:sz w:val="21"/>
                      <w:szCs w:val="21"/>
                    </w:rPr>
                  </w:pPr>
                  <w:r>
                    <w:rPr>
                      <w:sz w:val="21"/>
                      <w:szCs w:val="21"/>
                    </w:rPr>
                    <w:t>满足</w:t>
                  </w:r>
                </w:p>
              </w:tc>
            </w:tr>
            <w:tr w14:paraId="412CC7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69" w:type="pct"/>
                  <w:vAlign w:val="center"/>
                </w:tcPr>
                <w:p w14:paraId="668787D4">
                  <w:pPr>
                    <w:spacing w:line="360" w:lineRule="exact"/>
                    <w:rPr>
                      <w:sz w:val="21"/>
                      <w:szCs w:val="21"/>
                    </w:rPr>
                  </w:pPr>
                  <w:r>
                    <w:rPr>
                      <w:sz w:val="21"/>
                      <w:szCs w:val="21"/>
                    </w:rPr>
                    <w:t>核医学工作场所不宜毗邻产科、儿科、食堂等部门及人员密集区，并应与非放射性工作场所有明确的分界隔离。</w:t>
                  </w:r>
                </w:p>
              </w:tc>
              <w:tc>
                <w:tcPr>
                  <w:tcW w:w="2734" w:type="pct"/>
                  <w:vAlign w:val="center"/>
                </w:tcPr>
                <w:p w14:paraId="7872C653">
                  <w:pPr>
                    <w:spacing w:line="360" w:lineRule="exact"/>
                    <w:rPr>
                      <w:sz w:val="21"/>
                      <w:szCs w:val="21"/>
                    </w:rPr>
                  </w:pPr>
                  <w:r>
                    <w:rPr>
                      <w:sz w:val="21"/>
                      <w:szCs w:val="21"/>
                    </w:rPr>
                    <w:t>本项目核医学科在医院内部建设，与周围非辐射工作场所有明确的分界隔离，并有实体屏蔽措施，其在院内不毗邻产科、儿科和食堂等部门（</w:t>
                  </w:r>
                  <w:r>
                    <w:rPr>
                      <w:rFonts w:hint="eastAsia"/>
                      <w:sz w:val="21"/>
                      <w:szCs w:val="21"/>
                      <w:lang w:eastAsia="zh-CN"/>
                    </w:rPr>
                    <w:t>均在</w:t>
                  </w:r>
                  <w:r>
                    <w:rPr>
                      <w:sz w:val="21"/>
                      <w:szCs w:val="21"/>
                    </w:rPr>
                    <w:t>评价范围外），避开了院内人流量较大的门诊大楼、收费处等；</w:t>
                  </w:r>
                  <w:r>
                    <w:rPr>
                      <w:sz w:val="21"/>
                      <w:szCs w:val="21"/>
                      <w:highlight w:val="none"/>
                    </w:rPr>
                    <w:t>经后文环境影响分析可知，通过本项目拟采取的实体屏蔽措施，评价范围内职业人员和公众关注点处的剂量率及年受照剂量均满足本次确定的评价标准要求。</w:t>
                  </w:r>
                </w:p>
              </w:tc>
              <w:tc>
                <w:tcPr>
                  <w:tcW w:w="396" w:type="pct"/>
                  <w:vAlign w:val="center"/>
                </w:tcPr>
                <w:p w14:paraId="662F5716">
                  <w:pPr>
                    <w:spacing w:line="360" w:lineRule="exact"/>
                    <w:jc w:val="center"/>
                    <w:rPr>
                      <w:sz w:val="21"/>
                      <w:szCs w:val="21"/>
                    </w:rPr>
                  </w:pPr>
                  <w:r>
                    <w:rPr>
                      <w:sz w:val="21"/>
                      <w:szCs w:val="21"/>
                    </w:rPr>
                    <w:t>满足</w:t>
                  </w:r>
                </w:p>
              </w:tc>
            </w:tr>
            <w:tr w14:paraId="1BE058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69" w:type="pct"/>
                  <w:vAlign w:val="center"/>
                </w:tcPr>
                <w:p w14:paraId="6DEB71AB">
                  <w:pPr>
                    <w:spacing w:line="360" w:lineRule="exact"/>
                    <w:rPr>
                      <w:sz w:val="21"/>
                      <w:szCs w:val="21"/>
                    </w:rPr>
                  </w:pPr>
                  <w:r>
                    <w:rPr>
                      <w:sz w:val="21"/>
                      <w:szCs w:val="21"/>
                    </w:rPr>
                    <w:t>核医学工作场所排风口的位置尽可能远离周边高层建筑。</w:t>
                  </w:r>
                </w:p>
              </w:tc>
              <w:tc>
                <w:tcPr>
                  <w:tcW w:w="2734" w:type="pct"/>
                  <w:vAlign w:val="center"/>
                </w:tcPr>
                <w:p w14:paraId="7C749B7D">
                  <w:pPr>
                    <w:spacing w:line="360" w:lineRule="exact"/>
                    <w:rPr>
                      <w:sz w:val="21"/>
                      <w:szCs w:val="21"/>
                    </w:rPr>
                  </w:pPr>
                  <w:r>
                    <w:rPr>
                      <w:sz w:val="21"/>
                      <w:szCs w:val="21"/>
                    </w:rPr>
                    <w:t>本项目核医学科控制区内设置有独立排风系统，排风管道引至</w:t>
                  </w:r>
                  <w:r>
                    <w:rPr>
                      <w:rFonts w:hint="eastAsia"/>
                      <w:sz w:val="21"/>
                      <w:szCs w:val="21"/>
                      <w:lang w:eastAsia="zh-CN"/>
                    </w:rPr>
                    <w:t>门诊医技楼</w:t>
                  </w:r>
                  <w:r>
                    <w:rPr>
                      <w:sz w:val="21"/>
                      <w:szCs w:val="21"/>
                    </w:rPr>
                    <w:t>屋顶进行排放，且已尽可能远离周围高层建筑。</w:t>
                  </w:r>
                </w:p>
              </w:tc>
              <w:tc>
                <w:tcPr>
                  <w:tcW w:w="396" w:type="pct"/>
                  <w:vAlign w:val="center"/>
                </w:tcPr>
                <w:p w14:paraId="207DF9AE">
                  <w:pPr>
                    <w:spacing w:line="360" w:lineRule="exact"/>
                    <w:jc w:val="center"/>
                    <w:rPr>
                      <w:sz w:val="21"/>
                      <w:szCs w:val="21"/>
                    </w:rPr>
                  </w:pPr>
                  <w:r>
                    <w:rPr>
                      <w:sz w:val="21"/>
                      <w:szCs w:val="21"/>
                    </w:rPr>
                    <w:t>满足</w:t>
                  </w:r>
                </w:p>
              </w:tc>
            </w:tr>
          </w:tbl>
          <w:p w14:paraId="089D2FBA">
            <w:pPr>
              <w:ind w:firstLine="480"/>
              <w:rPr>
                <w:lang w:bidi="ar"/>
              </w:rPr>
            </w:pPr>
            <w:r>
              <w:t>综上分析，本项目</w:t>
            </w:r>
            <w:r>
              <w:rPr>
                <w:rFonts w:hint="eastAsia"/>
                <w:lang w:eastAsia="zh-CN"/>
              </w:rPr>
              <w:t>门诊医技楼</w:t>
            </w:r>
            <w:r>
              <w:t>选址于医院红线范围内，所在位置相对独立，不邻接产科、儿科、食堂等场所，且设置有单独的出入口，核医学科避开了人群较集中的门诊</w:t>
            </w:r>
            <w:r>
              <w:rPr>
                <w:rFonts w:hint="eastAsia"/>
                <w:lang w:val="en-US" w:eastAsia="zh-CN"/>
              </w:rPr>
              <w:t>区域</w:t>
            </w:r>
            <w:r>
              <w:t>、收费处等人群稠密区域。核医学科选址与《核医学辐射防护与安全要求》（HJ1188-2021）选址原则不冲突，经环境影响分析，评价范围内职业人员和公众关注点处剂量率及年受照剂量均满足本次确定的评价标准要求，因此选址合理。</w:t>
            </w:r>
          </w:p>
          <w:p w14:paraId="113CB4BC">
            <w:pPr>
              <w:ind w:firstLine="480"/>
              <w:rPr>
                <w:rFonts w:eastAsia="黑体"/>
              </w:rPr>
            </w:pPr>
            <w:r>
              <w:rPr>
                <w:rFonts w:eastAsia="黑体"/>
              </w:rPr>
              <w:t>2、与周边环境的相容性分析</w:t>
            </w:r>
          </w:p>
          <w:p w14:paraId="60EE52AF">
            <w:pPr>
              <w:widowControl/>
              <w:ind w:firstLine="480"/>
              <w:rPr>
                <w:bCs/>
              </w:rPr>
            </w:pPr>
            <w:r>
              <w:rPr>
                <w:bCs/>
              </w:rPr>
              <w:t>项目产生的生活废水、医疗废水依托医院污水处理站处理后排入市政污水管网；项目产生的放射性废水利用衰变池暂存衰变，经监测达标后排入医院污水处理站处理后排入市政污水管网，不会对当地水质产生明显影响；项目产生的放射性固废在</w:t>
            </w:r>
            <w:r>
              <w:t>放射性固废暂存间暂存衰变解控后，</w:t>
            </w:r>
            <w:r>
              <w:rPr>
                <w:bCs/>
              </w:rPr>
              <w:t>作为医疗废物管理，收集暂存于医院医疗废物暂存间后，定期交由有资质的医疗废物处置单位收集；项目产生的医疗废物收集暂存于医疗废物暂存间后，定期交由有资质的医疗废物处置单位收集；项目产生的生活垃圾暂存于垃圾收集间后交由市政环卫清运；项目产噪设备为风机，声级约为65dB(A)，经采取降噪措施后噪声影响不大，不会改变区域声环境功能区规划；项目运行阶段产生的电离辐射经有效屏蔽后对周围环境影响较小；同时项目建设不占用医院消防通道和内部公共设施。</w:t>
            </w:r>
          </w:p>
          <w:p w14:paraId="31E6DADE">
            <w:pPr>
              <w:ind w:firstLine="480"/>
              <w:rPr>
                <w:bCs/>
              </w:rPr>
            </w:pPr>
            <w:r>
              <w:rPr>
                <w:bCs/>
              </w:rPr>
              <w:t>因此，本项目的建设不会对周边产生新的环境污染，与周边环境相容。</w:t>
            </w:r>
          </w:p>
          <w:p w14:paraId="00674195">
            <w:pPr>
              <w:ind w:firstLine="480"/>
              <w:rPr>
                <w:rFonts w:eastAsia="黑体"/>
              </w:rPr>
            </w:pPr>
            <w:r>
              <w:rPr>
                <w:rFonts w:eastAsia="黑体"/>
              </w:rPr>
              <w:t>3、实践正当性</w:t>
            </w:r>
          </w:p>
          <w:p w14:paraId="144B96D2">
            <w:pPr>
              <w:ind w:firstLine="480"/>
              <w:rPr>
                <w:bCs/>
              </w:rPr>
            </w:pPr>
            <w:r>
              <w:rPr>
                <w:bCs/>
              </w:rPr>
              <w:t>本项目的建设可以更好地满足患者多层次、多方位、高质量和文明便利的就诊需求，提高对疾病（特别是恶性肿瘤）的诊断和治疗能力。核技术应用项目的开展，可达到一般非放射性诊治方法所不能及的诊断和治疗效果，是其它诊治项目无法替代的，对保障人民群众身体健康、拯救生命起了十分重要的作用，由于放射诊断和治疗的方法效果显著、病人诊断中所受的痛苦较小，方法的优势明显，因此，该项目的实践是必要的。但是，由于在诊断或治疗过程中射线装置、非密封放射性物质和放射源的使用可能会造成如下辐射影响问题：</w:t>
            </w:r>
          </w:p>
          <w:p w14:paraId="32E5B7C7">
            <w:pPr>
              <w:ind w:firstLine="480"/>
              <w:rPr>
                <w:bCs/>
              </w:rPr>
            </w:pPr>
            <w:r>
              <w:rPr>
                <w:bCs/>
              </w:rPr>
              <w:t>（1）给周围环境造成一定的辐射影响。</w:t>
            </w:r>
          </w:p>
          <w:p w14:paraId="31C82C0F">
            <w:pPr>
              <w:ind w:firstLine="480"/>
              <w:rPr>
                <w:bCs/>
              </w:rPr>
            </w:pPr>
            <w:r>
              <w:rPr>
                <w:bCs/>
              </w:rPr>
              <w:t>（2）给医务人员及周围公众造成一定的辐射影响，给病人造成一定的负面影响。</w:t>
            </w:r>
          </w:p>
          <w:p w14:paraId="674F1489">
            <w:pPr>
              <w:widowControl/>
              <w:ind w:firstLine="480"/>
              <w:rPr>
                <w:bCs/>
              </w:rPr>
            </w:pPr>
            <w:r>
              <w:rPr>
                <w:bCs/>
              </w:rPr>
              <w:t>（3）射线装置、非密封放射性物质和放射源使用及管理的失误会造成较大和一般的辐射事故。</w:t>
            </w:r>
          </w:p>
          <w:p w14:paraId="5FD3CAD9">
            <w:pPr>
              <w:widowControl/>
              <w:ind w:firstLine="480"/>
              <w:rPr>
                <w:bCs/>
              </w:rPr>
            </w:pPr>
            <w:r>
              <w:rPr>
                <w:bCs/>
              </w:rPr>
              <w:t>建设单位在放射性诊断和治疗过程中，对射线装置、非密封放射性物质和放射源的使用将按照国家相关的辐射防护要求采取相应的防护措施，并建立相应的规章制度和辐射事故应急预案。因此，在正确使用和管理射线装置、非密封放射性物质和放射源的情况下，可以将本项目产生的辐射影响降至尽可能小。本项目产生的辐射给医务人员、公众及社会带来的利益足以弥补其可能引起的辐射危害，该核技术利用的实践具有正当性。</w:t>
            </w:r>
          </w:p>
          <w:p w14:paraId="5B19C311">
            <w:pPr>
              <w:rPr>
                <w:rFonts w:eastAsia="黑体"/>
              </w:rPr>
            </w:pPr>
            <w:r>
              <w:rPr>
                <w:rFonts w:eastAsia="黑体"/>
              </w:rPr>
              <w:t>五、</w:t>
            </w:r>
            <w:r>
              <w:rPr>
                <w:rFonts w:eastAsia="黑体"/>
                <w:bCs/>
                <w:szCs w:val="28"/>
              </w:rPr>
              <w:t>原有核技术利用项目许可情况</w:t>
            </w:r>
          </w:p>
          <w:p w14:paraId="065D5406">
            <w:pPr>
              <w:widowControl/>
              <w:ind w:firstLine="482"/>
              <w:jc w:val="left"/>
              <w:rPr>
                <w:b/>
              </w:rPr>
            </w:pPr>
            <w:r>
              <w:rPr>
                <w:b/>
              </w:rPr>
              <w:t>（一）医院原有项目辐射安全许可证情况</w:t>
            </w:r>
          </w:p>
          <w:p w14:paraId="456D0C6C">
            <w:pPr>
              <w:ind w:firstLine="480"/>
            </w:pPr>
            <w:r>
              <w:t>医院现持有辐射安全许可证（川环辐证[</w:t>
            </w:r>
            <w:r>
              <w:rPr>
                <w:rFonts w:hint="eastAsia"/>
                <w:lang w:val="en-US" w:eastAsia="zh-CN"/>
              </w:rPr>
              <w:t>29700</w:t>
            </w:r>
            <w:r>
              <w:t>]，见附件</w:t>
            </w:r>
            <w:r>
              <w:rPr>
                <w:rFonts w:hint="eastAsia"/>
              </w:rPr>
              <w:t>3</w:t>
            </w:r>
            <w:r>
              <w:t>），许可种类和范围为“使用Ⅱ类、Ⅲ类射线装置”，有效期至20</w:t>
            </w:r>
            <w:r>
              <w:rPr>
                <w:rFonts w:hint="eastAsia"/>
                <w:lang w:val="en-US" w:eastAsia="zh-CN"/>
              </w:rPr>
              <w:t>30</w:t>
            </w:r>
            <w:r>
              <w:t>年11月</w:t>
            </w:r>
            <w:r>
              <w:rPr>
                <w:rFonts w:hint="eastAsia"/>
                <w:lang w:val="en-US" w:eastAsia="zh-CN"/>
              </w:rPr>
              <w:t>03</w:t>
            </w:r>
            <w:r>
              <w:t>日。</w:t>
            </w:r>
          </w:p>
          <w:p w14:paraId="75AB03BE">
            <w:pPr>
              <w:ind w:firstLine="480"/>
            </w:pPr>
            <w:r>
              <w:t>医院现在用射线装置</w:t>
            </w:r>
            <w:r>
              <w:rPr>
                <w:rFonts w:hint="eastAsia"/>
                <w:lang w:val="en-US" w:eastAsia="zh-CN"/>
              </w:rPr>
              <w:t>15</w:t>
            </w:r>
            <w:r>
              <w:t>台（其中Ⅱ类16台、Ⅲ类67台），均已上证。</w:t>
            </w:r>
            <w:r>
              <w:rPr>
                <w:bCs/>
              </w:rPr>
              <w:t>具体情况见表1-</w:t>
            </w:r>
            <w:r>
              <w:rPr>
                <w:rFonts w:hint="eastAsia"/>
                <w:bCs/>
                <w:lang w:val="en-US" w:eastAsia="zh-CN"/>
              </w:rPr>
              <w:t>18</w:t>
            </w:r>
            <w:r>
              <w:rPr>
                <w:bCs/>
              </w:rPr>
              <w:t>。</w:t>
            </w:r>
          </w:p>
        </w:tc>
      </w:tr>
    </w:tbl>
    <w:p w14:paraId="00542CF2">
      <w:pPr>
        <w:sectPr>
          <w:pgSz w:w="11906" w:h="16838"/>
          <w:pgMar w:top="1418" w:right="1588" w:bottom="1418" w:left="1588" w:header="851" w:footer="992" w:gutter="0"/>
          <w:pgBorders>
            <w:top w:val="none" w:sz="0" w:space="0"/>
            <w:left w:val="none" w:sz="0" w:space="0"/>
            <w:bottom w:val="none" w:sz="0" w:space="0"/>
            <w:right w:val="none" w:sz="0" w:space="0"/>
          </w:pgBorders>
          <w:cols w:space="425" w:num="1"/>
          <w:docGrid w:linePitch="360" w:charSpace="0"/>
        </w:sectPr>
      </w:pP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2"/>
      </w:tblGrid>
      <w:tr w14:paraId="7E21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4637C5B">
            <w:pPr>
              <w:spacing w:before="163" w:line="240" w:lineRule="auto"/>
              <w:jc w:val="center"/>
              <w:rPr>
                <w:rFonts w:eastAsia="黑体"/>
                <w:bCs/>
                <w:sz w:val="21"/>
                <w:szCs w:val="21"/>
              </w:rPr>
            </w:pPr>
            <w:r>
              <w:rPr>
                <w:rFonts w:eastAsia="黑体"/>
                <w:bCs/>
                <w:sz w:val="21"/>
                <w:szCs w:val="21"/>
              </w:rPr>
              <w:t>表1-</w:t>
            </w:r>
            <w:r>
              <w:rPr>
                <w:rFonts w:hint="eastAsia" w:eastAsia="黑体"/>
                <w:bCs/>
                <w:sz w:val="21"/>
                <w:szCs w:val="21"/>
                <w:lang w:val="en-US" w:eastAsia="zh-CN"/>
              </w:rPr>
              <w:t>18</w:t>
            </w:r>
            <w:r>
              <w:rPr>
                <w:rFonts w:eastAsia="黑体"/>
                <w:bCs/>
                <w:sz w:val="21"/>
                <w:szCs w:val="21"/>
              </w:rPr>
              <w:t xml:space="preserve"> </w:t>
            </w:r>
            <w:r>
              <w:rPr>
                <w:rFonts w:eastAsia="黑体"/>
                <w:bCs/>
                <w:sz w:val="21"/>
                <w:szCs w:val="21"/>
                <w:highlight w:val="none"/>
              </w:rPr>
              <w:t xml:space="preserve"> 医院已上证的射线装置</w:t>
            </w:r>
            <w:r>
              <w:rPr>
                <w:rFonts w:eastAsia="黑体"/>
                <w:bCs/>
                <w:sz w:val="21"/>
                <w:szCs w:val="21"/>
              </w:rPr>
              <w:t>一览表</w:t>
            </w:r>
          </w:p>
          <w:tbl>
            <w:tblPr>
              <w:tblStyle w:val="57"/>
              <w:tblW w:w="13773" w:type="dxa"/>
              <w:tblInd w:w="0" w:type="dxa"/>
              <w:tblLayout w:type="fixed"/>
              <w:tblCellMar>
                <w:top w:w="0" w:type="dxa"/>
                <w:left w:w="108" w:type="dxa"/>
                <w:bottom w:w="0" w:type="dxa"/>
                <w:right w:w="108" w:type="dxa"/>
              </w:tblCellMar>
            </w:tblPr>
            <w:tblGrid>
              <w:gridCol w:w="675"/>
              <w:gridCol w:w="2850"/>
              <w:gridCol w:w="1890"/>
              <w:gridCol w:w="813"/>
              <w:gridCol w:w="1185"/>
              <w:gridCol w:w="2025"/>
              <w:gridCol w:w="1365"/>
              <w:gridCol w:w="2970"/>
            </w:tblGrid>
            <w:tr w14:paraId="4FECC421">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vAlign w:val="center"/>
                </w:tcPr>
                <w:p w14:paraId="7677C2D8">
                  <w:pPr>
                    <w:widowControl/>
                    <w:spacing w:line="360" w:lineRule="exact"/>
                    <w:jc w:val="center"/>
                    <w:rPr>
                      <w:sz w:val="21"/>
                      <w:szCs w:val="21"/>
                    </w:rPr>
                  </w:pPr>
                  <w:r>
                    <w:rPr>
                      <w:sz w:val="21"/>
                      <w:szCs w:val="21"/>
                      <w:lang w:bidi="ar"/>
                    </w:rPr>
                    <w:t>序号</w:t>
                  </w:r>
                </w:p>
              </w:tc>
              <w:tc>
                <w:tcPr>
                  <w:tcW w:w="1034" w:type="pct"/>
                  <w:tcBorders>
                    <w:top w:val="single" w:color="auto" w:sz="4" w:space="0"/>
                    <w:left w:val="single" w:color="auto" w:sz="4" w:space="0"/>
                    <w:bottom w:val="single" w:color="auto" w:sz="4" w:space="0"/>
                    <w:right w:val="single" w:color="auto" w:sz="4" w:space="0"/>
                  </w:tcBorders>
                  <w:vAlign w:val="center"/>
                </w:tcPr>
                <w:p w14:paraId="3661089E">
                  <w:pPr>
                    <w:widowControl/>
                    <w:spacing w:line="360" w:lineRule="exact"/>
                    <w:jc w:val="center"/>
                    <w:rPr>
                      <w:sz w:val="21"/>
                      <w:szCs w:val="21"/>
                    </w:rPr>
                  </w:pPr>
                  <w:r>
                    <w:rPr>
                      <w:sz w:val="21"/>
                      <w:szCs w:val="21"/>
                      <w:lang w:bidi="ar"/>
                    </w:rPr>
                    <w:t>装置名称</w:t>
                  </w:r>
                </w:p>
              </w:tc>
              <w:tc>
                <w:tcPr>
                  <w:tcW w:w="686" w:type="pct"/>
                  <w:tcBorders>
                    <w:top w:val="single" w:color="auto" w:sz="4" w:space="0"/>
                    <w:left w:val="single" w:color="auto" w:sz="4" w:space="0"/>
                    <w:bottom w:val="single" w:color="auto" w:sz="4" w:space="0"/>
                    <w:right w:val="single" w:color="auto" w:sz="4" w:space="0"/>
                  </w:tcBorders>
                  <w:vAlign w:val="center"/>
                </w:tcPr>
                <w:p w14:paraId="657CFEC4">
                  <w:pPr>
                    <w:widowControl/>
                    <w:spacing w:line="360" w:lineRule="exact"/>
                    <w:jc w:val="center"/>
                    <w:rPr>
                      <w:sz w:val="21"/>
                      <w:szCs w:val="21"/>
                    </w:rPr>
                  </w:pPr>
                  <w:r>
                    <w:rPr>
                      <w:sz w:val="21"/>
                      <w:szCs w:val="21"/>
                      <w:lang w:bidi="ar"/>
                    </w:rPr>
                    <w:t>规格型号</w:t>
                  </w:r>
                </w:p>
              </w:tc>
              <w:tc>
                <w:tcPr>
                  <w:tcW w:w="295" w:type="pct"/>
                  <w:tcBorders>
                    <w:top w:val="single" w:color="auto" w:sz="4" w:space="0"/>
                    <w:left w:val="single" w:color="auto" w:sz="4" w:space="0"/>
                    <w:bottom w:val="single" w:color="auto" w:sz="4" w:space="0"/>
                    <w:right w:val="single" w:color="auto" w:sz="4" w:space="0"/>
                  </w:tcBorders>
                  <w:vAlign w:val="center"/>
                </w:tcPr>
                <w:p w14:paraId="57172DDE">
                  <w:pPr>
                    <w:widowControl/>
                    <w:spacing w:line="360" w:lineRule="exact"/>
                    <w:jc w:val="center"/>
                    <w:rPr>
                      <w:sz w:val="21"/>
                      <w:szCs w:val="21"/>
                    </w:rPr>
                  </w:pPr>
                  <w:r>
                    <w:rPr>
                      <w:spacing w:val="-11"/>
                      <w:sz w:val="21"/>
                      <w:szCs w:val="21"/>
                    </w:rPr>
                    <w:t>类别</w:t>
                  </w:r>
                </w:p>
              </w:tc>
              <w:tc>
                <w:tcPr>
                  <w:tcW w:w="430" w:type="pct"/>
                  <w:tcBorders>
                    <w:top w:val="single" w:color="auto" w:sz="4" w:space="0"/>
                    <w:left w:val="single" w:color="auto" w:sz="4" w:space="0"/>
                    <w:bottom w:val="single" w:color="auto" w:sz="4" w:space="0"/>
                    <w:right w:val="single" w:color="auto" w:sz="4" w:space="0"/>
                  </w:tcBorders>
                  <w:noWrap/>
                  <w:vAlign w:val="center"/>
                </w:tcPr>
                <w:p w14:paraId="01CB8289">
                  <w:pPr>
                    <w:pStyle w:val="292"/>
                    <w:spacing w:line="360" w:lineRule="exact"/>
                    <w:jc w:val="center"/>
                    <w:rPr>
                      <w:spacing w:val="-11"/>
                    </w:rPr>
                  </w:pPr>
                  <w:r>
                    <w:rPr>
                      <w:spacing w:val="-11"/>
                    </w:rPr>
                    <w:t>数量（台）</w:t>
                  </w:r>
                </w:p>
              </w:tc>
              <w:tc>
                <w:tcPr>
                  <w:tcW w:w="735" w:type="pct"/>
                  <w:tcBorders>
                    <w:top w:val="single" w:color="auto" w:sz="4" w:space="0"/>
                    <w:left w:val="single" w:color="auto" w:sz="4" w:space="0"/>
                    <w:bottom w:val="single" w:color="auto" w:sz="4" w:space="0"/>
                    <w:right w:val="single" w:color="auto" w:sz="4" w:space="0"/>
                  </w:tcBorders>
                  <w:noWrap/>
                  <w:vAlign w:val="center"/>
                </w:tcPr>
                <w:p w14:paraId="186FBB29">
                  <w:pPr>
                    <w:widowControl/>
                    <w:spacing w:line="360" w:lineRule="exact"/>
                    <w:jc w:val="center"/>
                    <w:rPr>
                      <w:sz w:val="21"/>
                      <w:szCs w:val="21"/>
                    </w:rPr>
                  </w:pPr>
                  <w:r>
                    <w:rPr>
                      <w:sz w:val="21"/>
                      <w:szCs w:val="21"/>
                      <w:lang w:bidi="ar"/>
                    </w:rPr>
                    <w:t>技术参数</w:t>
                  </w:r>
                </w:p>
              </w:tc>
              <w:tc>
                <w:tcPr>
                  <w:tcW w:w="495" w:type="pct"/>
                  <w:tcBorders>
                    <w:top w:val="single" w:color="auto" w:sz="4" w:space="0"/>
                    <w:left w:val="single" w:color="auto" w:sz="4" w:space="0"/>
                    <w:bottom w:val="single" w:color="auto" w:sz="4" w:space="0"/>
                    <w:right w:val="single" w:color="auto" w:sz="4" w:space="0"/>
                  </w:tcBorders>
                  <w:noWrap/>
                  <w:vAlign w:val="center"/>
                </w:tcPr>
                <w:p w14:paraId="5BFB0A1D">
                  <w:pPr>
                    <w:widowControl/>
                    <w:spacing w:line="360" w:lineRule="exact"/>
                    <w:jc w:val="center"/>
                    <w:rPr>
                      <w:sz w:val="21"/>
                      <w:szCs w:val="21"/>
                    </w:rPr>
                  </w:pPr>
                  <w:r>
                    <w:rPr>
                      <w:spacing w:val="-11"/>
                      <w:sz w:val="21"/>
                      <w:szCs w:val="21"/>
                    </w:rPr>
                    <w:t>活动种类</w:t>
                  </w:r>
                </w:p>
              </w:tc>
              <w:tc>
                <w:tcPr>
                  <w:tcW w:w="1078" w:type="pct"/>
                  <w:tcBorders>
                    <w:top w:val="single" w:color="auto" w:sz="4" w:space="0"/>
                    <w:left w:val="single" w:color="auto" w:sz="4" w:space="0"/>
                    <w:bottom w:val="single" w:color="auto" w:sz="4" w:space="0"/>
                  </w:tcBorders>
                  <w:vAlign w:val="center"/>
                </w:tcPr>
                <w:p w14:paraId="614C0055">
                  <w:pPr>
                    <w:spacing w:line="360" w:lineRule="exact"/>
                    <w:jc w:val="center"/>
                    <w:rPr>
                      <w:sz w:val="21"/>
                      <w:szCs w:val="21"/>
                    </w:rPr>
                  </w:pPr>
                  <w:r>
                    <w:rPr>
                      <w:sz w:val="21"/>
                      <w:szCs w:val="21"/>
                    </w:rPr>
                    <w:t>工作场所</w:t>
                  </w:r>
                </w:p>
              </w:tc>
            </w:tr>
            <w:tr w14:paraId="72891ADF">
              <w:trPr>
                <w:trHeight w:val="23" w:hRule="atLeast"/>
              </w:trPr>
              <w:tc>
                <w:tcPr>
                  <w:tcW w:w="245" w:type="pct"/>
                  <w:tcBorders>
                    <w:top w:val="single" w:color="auto" w:sz="4" w:space="0"/>
                    <w:bottom w:val="single" w:color="auto" w:sz="4" w:space="0"/>
                    <w:right w:val="single" w:color="auto" w:sz="4" w:space="0"/>
                  </w:tcBorders>
                  <w:noWrap/>
                  <w:vAlign w:val="center"/>
                </w:tcPr>
                <w:p w14:paraId="440632F4">
                  <w:pPr>
                    <w:widowControl/>
                    <w:spacing w:line="360" w:lineRule="exact"/>
                    <w:jc w:val="center"/>
                    <w:rPr>
                      <w:sz w:val="21"/>
                      <w:szCs w:val="21"/>
                    </w:rPr>
                  </w:pPr>
                  <w:r>
                    <w:rPr>
                      <w:sz w:val="21"/>
                      <w:szCs w:val="21"/>
                      <w:lang w:bidi="ar"/>
                    </w:rPr>
                    <w:t>1</w:t>
                  </w:r>
                </w:p>
              </w:tc>
              <w:tc>
                <w:tcPr>
                  <w:tcW w:w="1034" w:type="pct"/>
                  <w:tcBorders>
                    <w:top w:val="single" w:color="auto" w:sz="4" w:space="0"/>
                    <w:left w:val="single" w:color="auto" w:sz="4" w:space="0"/>
                    <w:bottom w:val="single" w:color="auto" w:sz="4" w:space="0"/>
                    <w:right w:val="single" w:color="auto" w:sz="4" w:space="0"/>
                  </w:tcBorders>
                  <w:vAlign w:val="center"/>
                </w:tcPr>
                <w:p w14:paraId="6E2CC85B">
                  <w:pPr>
                    <w:widowControl/>
                    <w:spacing w:line="360" w:lineRule="exact"/>
                    <w:jc w:val="center"/>
                    <w:rPr>
                      <w:rFonts w:hint="default" w:eastAsia="宋体"/>
                      <w:sz w:val="21"/>
                      <w:szCs w:val="21"/>
                      <w:lang w:val="en-US" w:eastAsia="zh-CN"/>
                    </w:rPr>
                  </w:pPr>
                  <w:r>
                    <w:rPr>
                      <w:rFonts w:hint="eastAsia"/>
                      <w:sz w:val="21"/>
                      <w:szCs w:val="21"/>
                      <w:lang w:val="en-US" w:eastAsia="zh-CN" w:bidi="ar"/>
                    </w:rPr>
                    <w:t>C型臂X光机</w:t>
                  </w:r>
                </w:p>
              </w:tc>
              <w:tc>
                <w:tcPr>
                  <w:tcW w:w="686" w:type="pct"/>
                  <w:tcBorders>
                    <w:top w:val="single" w:color="auto" w:sz="4" w:space="0"/>
                    <w:left w:val="single" w:color="auto" w:sz="4" w:space="0"/>
                    <w:bottom w:val="single" w:color="auto" w:sz="4" w:space="0"/>
                    <w:right w:val="single" w:color="auto" w:sz="4" w:space="0"/>
                  </w:tcBorders>
                  <w:vAlign w:val="center"/>
                </w:tcPr>
                <w:p w14:paraId="79C8334C">
                  <w:pPr>
                    <w:widowControl/>
                    <w:spacing w:line="360" w:lineRule="exact"/>
                    <w:jc w:val="center"/>
                    <w:rPr>
                      <w:sz w:val="21"/>
                      <w:szCs w:val="21"/>
                    </w:rPr>
                  </w:pPr>
                  <w:r>
                    <w:rPr>
                      <w:rFonts w:hint="eastAsia"/>
                      <w:sz w:val="21"/>
                      <w:szCs w:val="21"/>
                      <w:lang w:bidi="ar"/>
                    </w:rPr>
                    <w:t>Brivo</w:t>
                  </w:r>
                  <w:r>
                    <w:rPr>
                      <w:rFonts w:hint="eastAsia"/>
                      <w:sz w:val="21"/>
                      <w:szCs w:val="21"/>
                      <w:lang w:val="en-US" w:eastAsia="zh-CN" w:bidi="ar"/>
                    </w:rPr>
                    <w:t xml:space="preserve"> </w:t>
                  </w:r>
                  <w:r>
                    <w:rPr>
                      <w:rFonts w:hint="eastAsia"/>
                      <w:sz w:val="21"/>
                      <w:szCs w:val="21"/>
                      <w:lang w:bidi="ar"/>
                    </w:rPr>
                    <w:t>OEC 715</w:t>
                  </w:r>
                </w:p>
              </w:tc>
              <w:tc>
                <w:tcPr>
                  <w:tcW w:w="295" w:type="pct"/>
                  <w:tcBorders>
                    <w:top w:val="single" w:color="auto" w:sz="4" w:space="0"/>
                    <w:left w:val="single" w:color="auto" w:sz="4" w:space="0"/>
                    <w:bottom w:val="single" w:color="auto" w:sz="4" w:space="0"/>
                    <w:right w:val="single" w:color="auto" w:sz="4" w:space="0"/>
                  </w:tcBorders>
                  <w:vAlign w:val="center"/>
                </w:tcPr>
                <w:p w14:paraId="4AD71332">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0C017B2F">
                  <w:pPr>
                    <w:pStyle w:val="292"/>
                    <w:spacing w:line="360" w:lineRule="exact"/>
                    <w:jc w:val="center"/>
                    <w:rPr>
                      <w:spacing w:val="-11"/>
                    </w:rPr>
                  </w:pPr>
                  <w:r>
                    <w:rPr>
                      <w:spacing w:val="-1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6C322A4A">
                  <w:pPr>
                    <w:widowControl/>
                    <w:spacing w:line="360" w:lineRule="exact"/>
                    <w:jc w:val="center"/>
                    <w:rPr>
                      <w:sz w:val="21"/>
                      <w:szCs w:val="21"/>
                    </w:rPr>
                  </w:pPr>
                  <w:r>
                    <w:rPr>
                      <w:rFonts w:hint="eastAsia"/>
                      <w:sz w:val="21"/>
                      <w:szCs w:val="21"/>
                      <w:lang w:bidi="ar"/>
                    </w:rPr>
                    <w:t>110kV</w:t>
                  </w:r>
                  <w:r>
                    <w:rPr>
                      <w:rFonts w:hint="eastAsia"/>
                      <w:sz w:val="21"/>
                      <w:szCs w:val="21"/>
                      <w:lang w:eastAsia="zh-CN" w:bidi="ar"/>
                    </w:rPr>
                    <w:t>、</w:t>
                  </w:r>
                  <w:r>
                    <w:rPr>
                      <w:rFonts w:hint="eastAsia"/>
                      <w:sz w:val="21"/>
                      <w:szCs w:val="21"/>
                      <w:lang w:bidi="ar"/>
                    </w:rPr>
                    <w:t>20 mA</w:t>
                  </w:r>
                </w:p>
              </w:tc>
              <w:tc>
                <w:tcPr>
                  <w:tcW w:w="495" w:type="pct"/>
                  <w:tcBorders>
                    <w:top w:val="single" w:color="auto" w:sz="4" w:space="0"/>
                    <w:left w:val="single" w:color="auto" w:sz="4" w:space="0"/>
                    <w:bottom w:val="single" w:color="auto" w:sz="4" w:space="0"/>
                    <w:right w:val="single" w:color="auto" w:sz="4" w:space="0"/>
                  </w:tcBorders>
                  <w:noWrap/>
                  <w:vAlign w:val="center"/>
                </w:tcPr>
                <w:p w14:paraId="2223D6B3">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11948667">
                  <w:pPr>
                    <w:widowControl/>
                    <w:spacing w:line="360" w:lineRule="exact"/>
                    <w:jc w:val="center"/>
                    <w:rPr>
                      <w:sz w:val="21"/>
                      <w:szCs w:val="21"/>
                    </w:rPr>
                  </w:pPr>
                  <w:r>
                    <w:rPr>
                      <w:rFonts w:hint="eastAsia"/>
                      <w:sz w:val="21"/>
                      <w:szCs w:val="21"/>
                      <w:lang w:bidi="ar"/>
                    </w:rPr>
                    <w:t>第二住院大楼六楼5号手术间</w:t>
                  </w:r>
                </w:p>
              </w:tc>
            </w:tr>
            <w:tr w14:paraId="1F5298FE">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22243CA6">
                  <w:pPr>
                    <w:widowControl/>
                    <w:spacing w:line="360" w:lineRule="exact"/>
                    <w:jc w:val="center"/>
                    <w:rPr>
                      <w:sz w:val="21"/>
                      <w:szCs w:val="21"/>
                    </w:rPr>
                  </w:pPr>
                  <w:r>
                    <w:rPr>
                      <w:sz w:val="21"/>
                      <w:szCs w:val="21"/>
                      <w:lang w:bidi="ar"/>
                    </w:rPr>
                    <w:t>2</w:t>
                  </w:r>
                </w:p>
              </w:tc>
              <w:tc>
                <w:tcPr>
                  <w:tcW w:w="1034" w:type="pct"/>
                  <w:tcBorders>
                    <w:top w:val="single" w:color="auto" w:sz="4" w:space="0"/>
                    <w:left w:val="single" w:color="auto" w:sz="4" w:space="0"/>
                    <w:bottom w:val="single" w:color="auto" w:sz="4" w:space="0"/>
                    <w:right w:val="single" w:color="auto" w:sz="4" w:space="0"/>
                  </w:tcBorders>
                  <w:vAlign w:val="center"/>
                </w:tcPr>
                <w:p w14:paraId="1F4E96C1">
                  <w:pPr>
                    <w:widowControl/>
                    <w:spacing w:line="360" w:lineRule="exact"/>
                    <w:jc w:val="center"/>
                    <w:rPr>
                      <w:sz w:val="21"/>
                      <w:szCs w:val="21"/>
                    </w:rPr>
                  </w:pPr>
                  <w:r>
                    <w:rPr>
                      <w:rFonts w:hint="eastAsia"/>
                      <w:sz w:val="21"/>
                      <w:szCs w:val="21"/>
                      <w:lang w:bidi="ar"/>
                    </w:rPr>
                    <w:t>NeuViz 16</w:t>
                  </w:r>
                  <w:r>
                    <w:rPr>
                      <w:rFonts w:hint="eastAsia"/>
                      <w:sz w:val="21"/>
                      <w:szCs w:val="21"/>
                      <w:lang w:val="en-US" w:eastAsia="zh-CN" w:bidi="ar"/>
                    </w:rPr>
                    <w:t xml:space="preserve"> </w:t>
                  </w:r>
                  <w:r>
                    <w:rPr>
                      <w:rFonts w:hint="eastAsia"/>
                      <w:sz w:val="21"/>
                      <w:szCs w:val="21"/>
                      <w:lang w:bidi="ar"/>
                    </w:rPr>
                    <w:t>Essence</w:t>
                  </w:r>
                </w:p>
              </w:tc>
              <w:tc>
                <w:tcPr>
                  <w:tcW w:w="686" w:type="pct"/>
                  <w:tcBorders>
                    <w:top w:val="single" w:color="auto" w:sz="4" w:space="0"/>
                    <w:left w:val="single" w:color="auto" w:sz="4" w:space="0"/>
                    <w:bottom w:val="single" w:color="auto" w:sz="4" w:space="0"/>
                    <w:right w:val="single" w:color="auto" w:sz="4" w:space="0"/>
                  </w:tcBorders>
                  <w:vAlign w:val="center"/>
                </w:tcPr>
                <w:p w14:paraId="06DC4865">
                  <w:pPr>
                    <w:widowControl/>
                    <w:spacing w:line="360" w:lineRule="exact"/>
                    <w:jc w:val="center"/>
                    <w:rPr>
                      <w:sz w:val="21"/>
                      <w:szCs w:val="21"/>
                    </w:rPr>
                  </w:pPr>
                  <w:r>
                    <w:rPr>
                      <w:rFonts w:hint="eastAsia"/>
                      <w:sz w:val="21"/>
                      <w:szCs w:val="21"/>
                      <w:lang w:bidi="ar"/>
                    </w:rPr>
                    <w:t>NeuViz 16</w:t>
                  </w:r>
                  <w:r>
                    <w:rPr>
                      <w:rFonts w:hint="eastAsia"/>
                      <w:sz w:val="21"/>
                      <w:szCs w:val="21"/>
                      <w:lang w:val="en-US" w:eastAsia="zh-CN" w:bidi="ar"/>
                    </w:rPr>
                    <w:t xml:space="preserve"> </w:t>
                  </w:r>
                  <w:r>
                    <w:rPr>
                      <w:rFonts w:hint="eastAsia"/>
                      <w:sz w:val="21"/>
                      <w:szCs w:val="21"/>
                      <w:lang w:bidi="ar"/>
                    </w:rPr>
                    <w:t>Essence</w:t>
                  </w:r>
                </w:p>
              </w:tc>
              <w:tc>
                <w:tcPr>
                  <w:tcW w:w="295" w:type="pct"/>
                  <w:tcBorders>
                    <w:top w:val="single" w:color="auto" w:sz="4" w:space="0"/>
                    <w:left w:val="single" w:color="auto" w:sz="4" w:space="0"/>
                    <w:bottom w:val="single" w:color="auto" w:sz="4" w:space="0"/>
                    <w:right w:val="single" w:color="auto" w:sz="4" w:space="0"/>
                  </w:tcBorders>
                  <w:vAlign w:val="center"/>
                </w:tcPr>
                <w:p w14:paraId="2714E8BD">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09ACEA27">
                  <w:pPr>
                    <w:widowControl/>
                    <w:spacing w:line="360" w:lineRule="exact"/>
                    <w:jc w:val="center"/>
                    <w:rPr>
                      <w:sz w:val="21"/>
                      <w:szCs w:val="21"/>
                      <w:lang w:bidi="ar"/>
                    </w:rPr>
                  </w:pPr>
                  <w:r>
                    <w:rPr>
                      <w:spacing w:val="-11"/>
                      <w:sz w:val="21"/>
                      <w:szCs w:val="2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4932CCC3">
                  <w:pPr>
                    <w:widowControl/>
                    <w:spacing w:line="360" w:lineRule="exact"/>
                    <w:jc w:val="center"/>
                    <w:rPr>
                      <w:sz w:val="21"/>
                      <w:szCs w:val="21"/>
                    </w:rPr>
                  </w:pPr>
                  <w:r>
                    <w:rPr>
                      <w:rFonts w:hint="eastAsia"/>
                      <w:sz w:val="21"/>
                      <w:szCs w:val="21"/>
                      <w:lang w:bidi="ar"/>
                    </w:rPr>
                    <w:t>1</w:t>
                  </w:r>
                  <w:r>
                    <w:rPr>
                      <w:rFonts w:hint="eastAsia"/>
                      <w:sz w:val="21"/>
                      <w:szCs w:val="21"/>
                      <w:lang w:val="en-US" w:eastAsia="zh-CN" w:bidi="ar"/>
                    </w:rPr>
                    <w:t>4</w:t>
                  </w:r>
                  <w:r>
                    <w:rPr>
                      <w:rFonts w:hint="eastAsia"/>
                      <w:sz w:val="21"/>
                      <w:szCs w:val="21"/>
                      <w:lang w:bidi="ar"/>
                    </w:rPr>
                    <w:t>0kV</w:t>
                  </w:r>
                  <w:r>
                    <w:rPr>
                      <w:rFonts w:hint="eastAsia"/>
                      <w:sz w:val="21"/>
                      <w:szCs w:val="21"/>
                      <w:lang w:eastAsia="zh-CN" w:bidi="ar"/>
                    </w:rPr>
                    <w:t>、</w:t>
                  </w:r>
                  <w:r>
                    <w:rPr>
                      <w:rFonts w:hint="eastAsia"/>
                      <w:sz w:val="21"/>
                      <w:szCs w:val="21"/>
                      <w:lang w:val="en-US" w:eastAsia="zh-CN" w:bidi="ar"/>
                    </w:rPr>
                    <w:t>4</w:t>
                  </w:r>
                  <w:r>
                    <w:rPr>
                      <w:rFonts w:hint="eastAsia"/>
                      <w:sz w:val="21"/>
                      <w:szCs w:val="21"/>
                      <w:lang w:bidi="ar"/>
                    </w:rPr>
                    <w:t>20 mA</w:t>
                  </w:r>
                </w:p>
              </w:tc>
              <w:tc>
                <w:tcPr>
                  <w:tcW w:w="495" w:type="pct"/>
                  <w:tcBorders>
                    <w:top w:val="single" w:color="auto" w:sz="4" w:space="0"/>
                    <w:left w:val="single" w:color="auto" w:sz="4" w:space="0"/>
                    <w:bottom w:val="single" w:color="auto" w:sz="4" w:space="0"/>
                    <w:right w:val="single" w:color="auto" w:sz="4" w:space="0"/>
                  </w:tcBorders>
                  <w:noWrap/>
                  <w:vAlign w:val="center"/>
                </w:tcPr>
                <w:p w14:paraId="0268BAEE">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642437AF">
                  <w:pPr>
                    <w:widowControl/>
                    <w:spacing w:line="360" w:lineRule="exact"/>
                    <w:jc w:val="center"/>
                    <w:rPr>
                      <w:sz w:val="21"/>
                      <w:szCs w:val="21"/>
                    </w:rPr>
                  </w:pPr>
                  <w:r>
                    <w:rPr>
                      <w:rFonts w:hint="eastAsia"/>
                      <w:sz w:val="21"/>
                      <w:szCs w:val="21"/>
                      <w:lang w:bidi="ar"/>
                    </w:rPr>
                    <w:t>发热门诊CT检査室</w:t>
                  </w:r>
                </w:p>
              </w:tc>
            </w:tr>
            <w:tr w14:paraId="0AAA70EA">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0899C3E1">
                  <w:pPr>
                    <w:widowControl/>
                    <w:spacing w:line="360" w:lineRule="exact"/>
                    <w:jc w:val="center"/>
                    <w:rPr>
                      <w:sz w:val="21"/>
                      <w:szCs w:val="21"/>
                    </w:rPr>
                  </w:pPr>
                  <w:r>
                    <w:rPr>
                      <w:sz w:val="21"/>
                      <w:szCs w:val="21"/>
                      <w:lang w:bidi="ar"/>
                    </w:rPr>
                    <w:t>3</w:t>
                  </w:r>
                </w:p>
              </w:tc>
              <w:tc>
                <w:tcPr>
                  <w:tcW w:w="1034" w:type="pct"/>
                  <w:tcBorders>
                    <w:top w:val="single" w:color="auto" w:sz="4" w:space="0"/>
                    <w:left w:val="single" w:color="auto" w:sz="4" w:space="0"/>
                    <w:bottom w:val="single" w:color="auto" w:sz="4" w:space="0"/>
                    <w:right w:val="single" w:color="auto" w:sz="4" w:space="0"/>
                  </w:tcBorders>
                  <w:vAlign w:val="center"/>
                </w:tcPr>
                <w:p w14:paraId="46BB0FC3">
                  <w:pPr>
                    <w:widowControl/>
                    <w:spacing w:line="360" w:lineRule="exact"/>
                    <w:jc w:val="center"/>
                    <w:rPr>
                      <w:sz w:val="21"/>
                      <w:szCs w:val="21"/>
                    </w:rPr>
                  </w:pPr>
                  <w:r>
                    <w:rPr>
                      <w:rFonts w:hint="eastAsia"/>
                      <w:sz w:val="21"/>
                      <w:szCs w:val="21"/>
                      <w:lang w:bidi="ar"/>
                    </w:rPr>
                    <w:t>1000mAX光机</w:t>
                  </w:r>
                </w:p>
              </w:tc>
              <w:tc>
                <w:tcPr>
                  <w:tcW w:w="686" w:type="pct"/>
                  <w:tcBorders>
                    <w:top w:val="single" w:color="auto" w:sz="4" w:space="0"/>
                    <w:left w:val="single" w:color="auto" w:sz="4" w:space="0"/>
                    <w:bottom w:val="single" w:color="auto" w:sz="4" w:space="0"/>
                    <w:right w:val="single" w:color="auto" w:sz="4" w:space="0"/>
                  </w:tcBorders>
                  <w:vAlign w:val="center"/>
                </w:tcPr>
                <w:p w14:paraId="376E4627">
                  <w:pPr>
                    <w:widowControl/>
                    <w:spacing w:line="360" w:lineRule="exact"/>
                    <w:jc w:val="center"/>
                    <w:rPr>
                      <w:rFonts w:hint="default" w:eastAsia="宋体"/>
                      <w:sz w:val="21"/>
                      <w:szCs w:val="21"/>
                      <w:lang w:val="en-US" w:eastAsia="zh-CN"/>
                    </w:rPr>
                  </w:pPr>
                  <w:r>
                    <w:rPr>
                      <w:rFonts w:hint="eastAsia"/>
                      <w:sz w:val="21"/>
                      <w:szCs w:val="21"/>
                      <w:lang w:val="en-US" w:eastAsia="zh-CN" w:bidi="ar"/>
                    </w:rPr>
                    <w:t>UX-1000</w:t>
                  </w:r>
                </w:p>
              </w:tc>
              <w:tc>
                <w:tcPr>
                  <w:tcW w:w="295" w:type="pct"/>
                  <w:tcBorders>
                    <w:top w:val="single" w:color="auto" w:sz="4" w:space="0"/>
                    <w:left w:val="single" w:color="auto" w:sz="4" w:space="0"/>
                    <w:bottom w:val="single" w:color="auto" w:sz="4" w:space="0"/>
                    <w:right w:val="single" w:color="auto" w:sz="4" w:space="0"/>
                  </w:tcBorders>
                  <w:vAlign w:val="center"/>
                </w:tcPr>
                <w:p w14:paraId="47EC59BC">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71540172">
                  <w:pPr>
                    <w:widowControl/>
                    <w:spacing w:line="360" w:lineRule="exact"/>
                    <w:jc w:val="center"/>
                    <w:rPr>
                      <w:sz w:val="21"/>
                      <w:szCs w:val="21"/>
                      <w:lang w:bidi="ar"/>
                    </w:rPr>
                  </w:pPr>
                  <w:r>
                    <w:rPr>
                      <w:spacing w:val="-11"/>
                      <w:sz w:val="21"/>
                      <w:szCs w:val="2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738C8BE3">
                  <w:pPr>
                    <w:widowControl/>
                    <w:spacing w:line="360" w:lineRule="exact"/>
                    <w:jc w:val="center"/>
                    <w:rPr>
                      <w:sz w:val="21"/>
                      <w:szCs w:val="21"/>
                    </w:rPr>
                  </w:pPr>
                  <w:r>
                    <w:rPr>
                      <w:sz w:val="21"/>
                      <w:szCs w:val="21"/>
                      <w:lang w:bidi="ar"/>
                    </w:rPr>
                    <w:t>150kV、</w:t>
                  </w:r>
                  <w:r>
                    <w:rPr>
                      <w:rFonts w:hint="eastAsia"/>
                      <w:sz w:val="21"/>
                      <w:szCs w:val="21"/>
                      <w:lang w:val="en-US" w:eastAsia="zh-CN" w:bidi="ar"/>
                    </w:rPr>
                    <w:t>10</w:t>
                  </w:r>
                  <w:r>
                    <w:rPr>
                      <w:sz w:val="21"/>
                      <w:szCs w:val="21"/>
                      <w:lang w:bidi="ar"/>
                    </w:rPr>
                    <w:t>00mA</w:t>
                  </w:r>
                </w:p>
              </w:tc>
              <w:tc>
                <w:tcPr>
                  <w:tcW w:w="495" w:type="pct"/>
                  <w:tcBorders>
                    <w:top w:val="single" w:color="auto" w:sz="4" w:space="0"/>
                    <w:left w:val="single" w:color="auto" w:sz="4" w:space="0"/>
                    <w:bottom w:val="single" w:color="auto" w:sz="4" w:space="0"/>
                    <w:right w:val="single" w:color="auto" w:sz="4" w:space="0"/>
                  </w:tcBorders>
                  <w:noWrap/>
                  <w:vAlign w:val="center"/>
                </w:tcPr>
                <w:p w14:paraId="0721C1DE">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02B23330">
                  <w:pPr>
                    <w:widowControl/>
                    <w:spacing w:line="360" w:lineRule="exact"/>
                    <w:jc w:val="center"/>
                    <w:rPr>
                      <w:rFonts w:hint="default" w:eastAsia="宋体"/>
                      <w:sz w:val="21"/>
                      <w:szCs w:val="21"/>
                      <w:lang w:val="en-US" w:eastAsia="zh-CN"/>
                    </w:rPr>
                  </w:pPr>
                  <w:r>
                    <w:rPr>
                      <w:rFonts w:hint="eastAsia"/>
                      <w:sz w:val="21"/>
                      <w:szCs w:val="21"/>
                      <w:lang w:val="en-US" w:eastAsia="zh-CN" w:bidi="ar"/>
                    </w:rPr>
                    <w:t>放射科10号机房</w:t>
                  </w:r>
                </w:p>
              </w:tc>
            </w:tr>
            <w:tr w14:paraId="7EBBBAC9">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0B9558BC">
                  <w:pPr>
                    <w:widowControl/>
                    <w:spacing w:line="360" w:lineRule="exact"/>
                    <w:jc w:val="center"/>
                    <w:rPr>
                      <w:sz w:val="21"/>
                      <w:szCs w:val="21"/>
                    </w:rPr>
                  </w:pPr>
                  <w:r>
                    <w:rPr>
                      <w:sz w:val="21"/>
                      <w:szCs w:val="21"/>
                      <w:lang w:bidi="ar"/>
                    </w:rPr>
                    <w:t>4</w:t>
                  </w:r>
                </w:p>
              </w:tc>
              <w:tc>
                <w:tcPr>
                  <w:tcW w:w="1034" w:type="pct"/>
                  <w:tcBorders>
                    <w:top w:val="single" w:color="auto" w:sz="4" w:space="0"/>
                    <w:left w:val="single" w:color="auto" w:sz="4" w:space="0"/>
                    <w:bottom w:val="single" w:color="auto" w:sz="4" w:space="0"/>
                    <w:right w:val="single" w:color="auto" w:sz="4" w:space="0"/>
                  </w:tcBorders>
                  <w:vAlign w:val="center"/>
                </w:tcPr>
                <w:p w14:paraId="5CC2649E">
                  <w:pPr>
                    <w:widowControl/>
                    <w:spacing w:line="360" w:lineRule="exact"/>
                    <w:jc w:val="center"/>
                    <w:rPr>
                      <w:sz w:val="21"/>
                      <w:szCs w:val="21"/>
                    </w:rPr>
                  </w:pPr>
                  <w:r>
                    <w:rPr>
                      <w:sz w:val="21"/>
                      <w:szCs w:val="21"/>
                      <w:lang w:bidi="ar"/>
                    </w:rPr>
                    <w:t>数字X射摄影系统(</w:t>
                  </w:r>
                  <w:r>
                    <w:rPr>
                      <w:rFonts w:hint="eastAsia"/>
                      <w:sz w:val="21"/>
                      <w:szCs w:val="21"/>
                      <w:lang w:val="en-US" w:eastAsia="zh-CN" w:bidi="ar"/>
                    </w:rPr>
                    <w:t>DR</w:t>
                  </w:r>
                  <w:r>
                    <w:rPr>
                      <w:sz w:val="21"/>
                      <w:szCs w:val="21"/>
                      <w:lang w:bidi="ar"/>
                    </w:rPr>
                    <w:t>)</w:t>
                  </w:r>
                </w:p>
              </w:tc>
              <w:tc>
                <w:tcPr>
                  <w:tcW w:w="686" w:type="pct"/>
                  <w:tcBorders>
                    <w:top w:val="single" w:color="auto" w:sz="4" w:space="0"/>
                    <w:left w:val="single" w:color="auto" w:sz="4" w:space="0"/>
                    <w:bottom w:val="single" w:color="auto" w:sz="4" w:space="0"/>
                    <w:right w:val="single" w:color="auto" w:sz="4" w:space="0"/>
                  </w:tcBorders>
                  <w:vAlign w:val="center"/>
                </w:tcPr>
                <w:p w14:paraId="2B2775E4">
                  <w:pPr>
                    <w:widowControl/>
                    <w:spacing w:line="360" w:lineRule="exact"/>
                    <w:jc w:val="center"/>
                    <w:rPr>
                      <w:sz w:val="21"/>
                      <w:szCs w:val="21"/>
                    </w:rPr>
                  </w:pPr>
                  <w:r>
                    <w:rPr>
                      <w:rFonts w:hint="eastAsia"/>
                      <w:spacing w:val="-6"/>
                      <w:sz w:val="21"/>
                      <w:szCs w:val="21"/>
                      <w:lang w:val="en-US" w:eastAsia="zh-CN" w:bidi="ar"/>
                    </w:rPr>
                    <w:t>F</w:t>
                  </w:r>
                  <w:r>
                    <w:rPr>
                      <w:rFonts w:hint="eastAsia"/>
                      <w:spacing w:val="-6"/>
                      <w:sz w:val="21"/>
                      <w:szCs w:val="21"/>
                      <w:lang w:bidi="ar"/>
                    </w:rPr>
                    <w:t>ssenta</w:t>
                  </w:r>
                  <w:r>
                    <w:rPr>
                      <w:rFonts w:hint="eastAsia"/>
                      <w:spacing w:val="-6"/>
                      <w:sz w:val="21"/>
                      <w:szCs w:val="21"/>
                      <w:lang w:val="en-US" w:eastAsia="zh-CN" w:bidi="ar"/>
                    </w:rPr>
                    <w:t xml:space="preserve"> </w:t>
                  </w:r>
                  <w:r>
                    <w:rPr>
                      <w:rFonts w:hint="eastAsia"/>
                      <w:spacing w:val="-6"/>
                      <w:sz w:val="21"/>
                      <w:szCs w:val="21"/>
                      <w:lang w:bidi="ar"/>
                    </w:rPr>
                    <w:t>DR</w:t>
                  </w:r>
                  <w:r>
                    <w:rPr>
                      <w:rFonts w:hint="eastAsia"/>
                      <w:spacing w:val="-6"/>
                      <w:sz w:val="21"/>
                      <w:szCs w:val="21"/>
                      <w:lang w:val="en-US" w:eastAsia="zh-CN" w:bidi="ar"/>
                    </w:rPr>
                    <w:t xml:space="preserve"> </w:t>
                  </w:r>
                  <w:r>
                    <w:rPr>
                      <w:rFonts w:hint="eastAsia"/>
                      <w:spacing w:val="-6"/>
                      <w:sz w:val="21"/>
                      <w:szCs w:val="21"/>
                      <w:lang w:bidi="ar"/>
                    </w:rPr>
                    <w:t>compact</w:t>
                  </w:r>
                </w:p>
              </w:tc>
              <w:tc>
                <w:tcPr>
                  <w:tcW w:w="295" w:type="pct"/>
                  <w:tcBorders>
                    <w:top w:val="single" w:color="auto" w:sz="4" w:space="0"/>
                    <w:left w:val="single" w:color="auto" w:sz="4" w:space="0"/>
                    <w:bottom w:val="single" w:color="auto" w:sz="4" w:space="0"/>
                    <w:right w:val="single" w:color="auto" w:sz="4" w:space="0"/>
                  </w:tcBorders>
                  <w:vAlign w:val="center"/>
                </w:tcPr>
                <w:p w14:paraId="45144F74">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2DF826CA">
                  <w:pPr>
                    <w:widowControl/>
                    <w:spacing w:line="360" w:lineRule="exact"/>
                    <w:jc w:val="center"/>
                    <w:rPr>
                      <w:sz w:val="21"/>
                      <w:szCs w:val="21"/>
                      <w:lang w:bidi="ar"/>
                    </w:rPr>
                  </w:pPr>
                  <w:r>
                    <w:rPr>
                      <w:spacing w:val="-11"/>
                      <w:sz w:val="21"/>
                      <w:szCs w:val="2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00A222C4">
                  <w:pPr>
                    <w:widowControl/>
                    <w:spacing w:line="360" w:lineRule="exact"/>
                    <w:jc w:val="center"/>
                    <w:rPr>
                      <w:sz w:val="21"/>
                      <w:szCs w:val="21"/>
                    </w:rPr>
                  </w:pPr>
                  <w:r>
                    <w:rPr>
                      <w:sz w:val="21"/>
                      <w:szCs w:val="21"/>
                      <w:lang w:bidi="ar"/>
                    </w:rPr>
                    <w:t>150kV、</w:t>
                  </w:r>
                  <w:r>
                    <w:rPr>
                      <w:rFonts w:hint="eastAsia"/>
                      <w:sz w:val="21"/>
                      <w:szCs w:val="21"/>
                      <w:lang w:val="en-US" w:eastAsia="zh-CN" w:bidi="ar"/>
                    </w:rPr>
                    <w:t>7</w:t>
                  </w:r>
                  <w:r>
                    <w:rPr>
                      <w:sz w:val="21"/>
                      <w:szCs w:val="21"/>
                      <w:lang w:bidi="ar"/>
                    </w:rPr>
                    <w:t>00mA</w:t>
                  </w:r>
                </w:p>
              </w:tc>
              <w:tc>
                <w:tcPr>
                  <w:tcW w:w="495" w:type="pct"/>
                  <w:tcBorders>
                    <w:top w:val="single" w:color="auto" w:sz="4" w:space="0"/>
                    <w:left w:val="single" w:color="auto" w:sz="4" w:space="0"/>
                    <w:bottom w:val="single" w:color="auto" w:sz="4" w:space="0"/>
                    <w:right w:val="single" w:color="auto" w:sz="4" w:space="0"/>
                  </w:tcBorders>
                  <w:noWrap/>
                  <w:vAlign w:val="center"/>
                </w:tcPr>
                <w:p w14:paraId="189DD2EB">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43A1D178">
                  <w:pPr>
                    <w:widowControl/>
                    <w:spacing w:line="360" w:lineRule="exact"/>
                    <w:jc w:val="center"/>
                    <w:rPr>
                      <w:sz w:val="21"/>
                      <w:szCs w:val="21"/>
                    </w:rPr>
                  </w:pPr>
                  <w:r>
                    <w:rPr>
                      <w:rFonts w:hint="eastAsia"/>
                      <w:sz w:val="21"/>
                      <w:szCs w:val="21"/>
                      <w:lang w:val="en-US" w:eastAsia="zh-CN" w:bidi="ar"/>
                    </w:rPr>
                    <w:t>放射科1号机房</w:t>
                  </w:r>
                </w:p>
              </w:tc>
            </w:tr>
            <w:tr w14:paraId="7821B20C">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20B5151C">
                  <w:pPr>
                    <w:widowControl/>
                    <w:spacing w:line="360" w:lineRule="exact"/>
                    <w:jc w:val="center"/>
                    <w:rPr>
                      <w:sz w:val="21"/>
                      <w:szCs w:val="21"/>
                    </w:rPr>
                  </w:pPr>
                  <w:r>
                    <w:rPr>
                      <w:sz w:val="21"/>
                      <w:szCs w:val="21"/>
                      <w:lang w:bidi="ar"/>
                    </w:rPr>
                    <w:t>5</w:t>
                  </w:r>
                </w:p>
              </w:tc>
              <w:tc>
                <w:tcPr>
                  <w:tcW w:w="1034" w:type="pct"/>
                  <w:tcBorders>
                    <w:top w:val="single" w:color="auto" w:sz="4" w:space="0"/>
                    <w:left w:val="single" w:color="auto" w:sz="4" w:space="0"/>
                    <w:bottom w:val="single" w:color="auto" w:sz="4" w:space="0"/>
                    <w:right w:val="single" w:color="auto" w:sz="4" w:space="0"/>
                  </w:tcBorders>
                  <w:vAlign w:val="center"/>
                </w:tcPr>
                <w:p w14:paraId="21273AEA">
                  <w:pPr>
                    <w:widowControl/>
                    <w:spacing w:line="360" w:lineRule="exact"/>
                    <w:jc w:val="center"/>
                    <w:rPr>
                      <w:rFonts w:hint="default" w:eastAsia="宋体"/>
                      <w:sz w:val="21"/>
                      <w:szCs w:val="21"/>
                      <w:lang w:val="en-US" w:eastAsia="zh-CN"/>
                    </w:rPr>
                  </w:pPr>
                  <w:r>
                    <w:rPr>
                      <w:rFonts w:hint="eastAsia"/>
                      <w:sz w:val="21"/>
                      <w:szCs w:val="21"/>
                      <w:lang w:val="en-US" w:eastAsia="zh-CN"/>
                    </w:rPr>
                    <w:t>数字化医用X射线摄影系统</w:t>
                  </w:r>
                </w:p>
              </w:tc>
              <w:tc>
                <w:tcPr>
                  <w:tcW w:w="686" w:type="pct"/>
                  <w:tcBorders>
                    <w:top w:val="single" w:color="auto" w:sz="4" w:space="0"/>
                    <w:left w:val="single" w:color="auto" w:sz="4" w:space="0"/>
                    <w:bottom w:val="single" w:color="auto" w:sz="4" w:space="0"/>
                    <w:right w:val="single" w:color="auto" w:sz="4" w:space="0"/>
                  </w:tcBorders>
                  <w:vAlign w:val="center"/>
                </w:tcPr>
                <w:p w14:paraId="25A41013">
                  <w:pPr>
                    <w:widowControl/>
                    <w:spacing w:line="360" w:lineRule="exact"/>
                    <w:jc w:val="center"/>
                    <w:rPr>
                      <w:rFonts w:hint="default" w:eastAsia="宋体"/>
                      <w:sz w:val="21"/>
                      <w:szCs w:val="21"/>
                      <w:lang w:val="en-US" w:eastAsia="zh-CN"/>
                    </w:rPr>
                  </w:pPr>
                  <w:r>
                    <w:rPr>
                      <w:rFonts w:hint="eastAsia"/>
                      <w:sz w:val="21"/>
                      <w:szCs w:val="21"/>
                      <w:lang w:val="en-US" w:eastAsia="zh-CN"/>
                    </w:rPr>
                    <w:t>DigiEye680E</w:t>
                  </w:r>
                </w:p>
              </w:tc>
              <w:tc>
                <w:tcPr>
                  <w:tcW w:w="295" w:type="pct"/>
                  <w:tcBorders>
                    <w:top w:val="single" w:color="auto" w:sz="4" w:space="0"/>
                    <w:left w:val="single" w:color="auto" w:sz="4" w:space="0"/>
                    <w:bottom w:val="single" w:color="auto" w:sz="4" w:space="0"/>
                    <w:right w:val="single" w:color="auto" w:sz="4" w:space="0"/>
                  </w:tcBorders>
                  <w:vAlign w:val="center"/>
                </w:tcPr>
                <w:p w14:paraId="19F5626A">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6A7CA393">
                  <w:pPr>
                    <w:widowControl/>
                    <w:spacing w:line="360" w:lineRule="exact"/>
                    <w:jc w:val="center"/>
                    <w:rPr>
                      <w:sz w:val="21"/>
                      <w:szCs w:val="21"/>
                      <w:lang w:bidi="ar"/>
                    </w:rPr>
                  </w:pPr>
                  <w:r>
                    <w:rPr>
                      <w:spacing w:val="-11"/>
                      <w:sz w:val="21"/>
                      <w:szCs w:val="2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06CD8EAA">
                  <w:pPr>
                    <w:widowControl/>
                    <w:spacing w:line="360" w:lineRule="exact"/>
                    <w:jc w:val="center"/>
                    <w:rPr>
                      <w:sz w:val="21"/>
                      <w:szCs w:val="21"/>
                    </w:rPr>
                  </w:pPr>
                  <w:r>
                    <w:rPr>
                      <w:rFonts w:hint="eastAsia"/>
                      <w:sz w:val="21"/>
                      <w:szCs w:val="21"/>
                      <w:lang w:val="en-US" w:eastAsia="zh-CN" w:bidi="ar"/>
                    </w:rPr>
                    <w:t>150</w:t>
                  </w:r>
                  <w:r>
                    <w:rPr>
                      <w:sz w:val="21"/>
                      <w:szCs w:val="21"/>
                      <w:lang w:bidi="ar"/>
                    </w:rPr>
                    <w:t>kV、</w:t>
                  </w:r>
                  <w:r>
                    <w:rPr>
                      <w:rFonts w:hint="eastAsia"/>
                      <w:sz w:val="21"/>
                      <w:szCs w:val="21"/>
                      <w:lang w:val="en-US" w:eastAsia="zh-CN" w:bidi="ar"/>
                    </w:rPr>
                    <w:t>640</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54698539">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573EBC37">
                  <w:pPr>
                    <w:widowControl/>
                    <w:spacing w:line="360" w:lineRule="exact"/>
                    <w:jc w:val="center"/>
                    <w:rPr>
                      <w:sz w:val="21"/>
                      <w:szCs w:val="21"/>
                    </w:rPr>
                  </w:pPr>
                  <w:r>
                    <w:rPr>
                      <w:rFonts w:hint="eastAsia"/>
                      <w:sz w:val="21"/>
                      <w:szCs w:val="21"/>
                      <w:lang w:val="en-US" w:eastAsia="zh-CN" w:bidi="ar"/>
                    </w:rPr>
                    <w:t>放射科2号机房</w:t>
                  </w:r>
                </w:p>
              </w:tc>
            </w:tr>
            <w:tr w14:paraId="6E7D1B59">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1FD02C6A">
                  <w:pPr>
                    <w:widowControl/>
                    <w:spacing w:line="360" w:lineRule="exact"/>
                    <w:jc w:val="center"/>
                    <w:rPr>
                      <w:sz w:val="21"/>
                      <w:szCs w:val="21"/>
                    </w:rPr>
                  </w:pPr>
                  <w:r>
                    <w:rPr>
                      <w:sz w:val="21"/>
                      <w:szCs w:val="21"/>
                      <w:lang w:bidi="ar"/>
                    </w:rPr>
                    <w:t>6</w:t>
                  </w:r>
                </w:p>
              </w:tc>
              <w:tc>
                <w:tcPr>
                  <w:tcW w:w="1034" w:type="pct"/>
                  <w:tcBorders>
                    <w:top w:val="single" w:color="auto" w:sz="4" w:space="0"/>
                    <w:left w:val="single" w:color="auto" w:sz="4" w:space="0"/>
                    <w:bottom w:val="single" w:color="auto" w:sz="4" w:space="0"/>
                    <w:right w:val="single" w:color="auto" w:sz="4" w:space="0"/>
                  </w:tcBorders>
                  <w:vAlign w:val="center"/>
                </w:tcPr>
                <w:p w14:paraId="5684538A">
                  <w:pPr>
                    <w:widowControl/>
                    <w:spacing w:line="360" w:lineRule="exact"/>
                    <w:jc w:val="center"/>
                    <w:rPr>
                      <w:rFonts w:hint="default" w:eastAsia="宋体"/>
                      <w:sz w:val="21"/>
                      <w:szCs w:val="21"/>
                      <w:lang w:val="en-US" w:eastAsia="zh-CN"/>
                    </w:rPr>
                  </w:pPr>
                  <w:r>
                    <w:rPr>
                      <w:rFonts w:hint="eastAsia"/>
                      <w:sz w:val="21"/>
                      <w:szCs w:val="21"/>
                      <w:lang w:val="en-US" w:eastAsia="zh-CN"/>
                    </w:rPr>
                    <w:t>X射线计算机体层摄影设备</w:t>
                  </w:r>
                </w:p>
              </w:tc>
              <w:tc>
                <w:tcPr>
                  <w:tcW w:w="686" w:type="pct"/>
                  <w:tcBorders>
                    <w:top w:val="single" w:color="auto" w:sz="4" w:space="0"/>
                    <w:left w:val="single" w:color="auto" w:sz="4" w:space="0"/>
                    <w:bottom w:val="single" w:color="auto" w:sz="4" w:space="0"/>
                    <w:right w:val="single" w:color="auto" w:sz="4" w:space="0"/>
                  </w:tcBorders>
                  <w:vAlign w:val="center"/>
                </w:tcPr>
                <w:p w14:paraId="0DE82C36">
                  <w:pPr>
                    <w:widowControl/>
                    <w:spacing w:line="360" w:lineRule="exact"/>
                    <w:jc w:val="center"/>
                    <w:rPr>
                      <w:rFonts w:hint="default" w:eastAsia="宋体"/>
                      <w:sz w:val="21"/>
                      <w:szCs w:val="21"/>
                      <w:lang w:val="en-US" w:eastAsia="zh-CN"/>
                    </w:rPr>
                  </w:pPr>
                  <w:r>
                    <w:rPr>
                      <w:rFonts w:hint="eastAsia"/>
                      <w:sz w:val="21"/>
                      <w:szCs w:val="21"/>
                      <w:lang w:val="en-US" w:eastAsia="zh-CN"/>
                    </w:rPr>
                    <w:t>SOMATOM Force</w:t>
                  </w:r>
                </w:p>
              </w:tc>
              <w:tc>
                <w:tcPr>
                  <w:tcW w:w="295" w:type="pct"/>
                  <w:tcBorders>
                    <w:top w:val="single" w:color="auto" w:sz="4" w:space="0"/>
                    <w:left w:val="single" w:color="auto" w:sz="4" w:space="0"/>
                    <w:bottom w:val="single" w:color="auto" w:sz="4" w:space="0"/>
                    <w:right w:val="single" w:color="auto" w:sz="4" w:space="0"/>
                  </w:tcBorders>
                  <w:vAlign w:val="center"/>
                </w:tcPr>
                <w:p w14:paraId="24969AEC">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7563287B">
                  <w:pPr>
                    <w:widowControl/>
                    <w:spacing w:line="360" w:lineRule="exact"/>
                    <w:jc w:val="center"/>
                    <w:rPr>
                      <w:sz w:val="21"/>
                      <w:szCs w:val="21"/>
                      <w:lang w:bidi="ar"/>
                    </w:rPr>
                  </w:pPr>
                  <w:r>
                    <w:rPr>
                      <w:spacing w:val="-11"/>
                      <w:sz w:val="21"/>
                      <w:szCs w:val="2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4985172C">
                  <w:pPr>
                    <w:widowControl/>
                    <w:spacing w:line="360" w:lineRule="exact"/>
                    <w:jc w:val="center"/>
                    <w:rPr>
                      <w:sz w:val="21"/>
                      <w:szCs w:val="21"/>
                    </w:rPr>
                  </w:pPr>
                  <w:r>
                    <w:rPr>
                      <w:rFonts w:hint="eastAsia"/>
                      <w:sz w:val="21"/>
                      <w:szCs w:val="21"/>
                      <w:lang w:val="en-US" w:eastAsia="zh-CN" w:bidi="ar"/>
                    </w:rPr>
                    <w:t>150</w:t>
                  </w:r>
                  <w:r>
                    <w:rPr>
                      <w:sz w:val="21"/>
                      <w:szCs w:val="21"/>
                      <w:lang w:bidi="ar"/>
                    </w:rPr>
                    <w:t>kV、</w:t>
                  </w:r>
                  <w:r>
                    <w:rPr>
                      <w:rFonts w:hint="eastAsia"/>
                      <w:sz w:val="21"/>
                      <w:szCs w:val="21"/>
                      <w:lang w:val="en-US" w:eastAsia="zh-CN" w:bidi="ar"/>
                    </w:rPr>
                    <w:t>2600</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34EB4E28">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7C9AE158">
                  <w:pPr>
                    <w:widowControl/>
                    <w:spacing w:line="360" w:lineRule="exact"/>
                    <w:jc w:val="center"/>
                    <w:rPr>
                      <w:rFonts w:hint="default" w:eastAsia="宋体"/>
                      <w:sz w:val="21"/>
                      <w:szCs w:val="21"/>
                      <w:lang w:val="en-US" w:eastAsia="zh-CN"/>
                    </w:rPr>
                  </w:pPr>
                  <w:r>
                    <w:rPr>
                      <w:rFonts w:hint="eastAsia"/>
                      <w:sz w:val="21"/>
                      <w:szCs w:val="21"/>
                      <w:lang w:val="en-US" w:eastAsia="zh-CN"/>
                    </w:rPr>
                    <w:t>放射科3号机房</w:t>
                  </w:r>
                </w:p>
              </w:tc>
            </w:tr>
            <w:tr w14:paraId="47241722">
              <w:trPr>
                <w:trHeight w:val="23" w:hRule="atLeast"/>
              </w:trPr>
              <w:tc>
                <w:tcPr>
                  <w:tcW w:w="245" w:type="pct"/>
                  <w:tcBorders>
                    <w:top w:val="single" w:color="auto" w:sz="4" w:space="0"/>
                    <w:bottom w:val="single" w:color="auto" w:sz="4" w:space="0"/>
                    <w:right w:val="single" w:color="auto" w:sz="4" w:space="0"/>
                  </w:tcBorders>
                  <w:noWrap/>
                  <w:vAlign w:val="center"/>
                </w:tcPr>
                <w:p w14:paraId="4AF199B3">
                  <w:pPr>
                    <w:widowControl/>
                    <w:spacing w:line="360" w:lineRule="exact"/>
                    <w:jc w:val="center"/>
                    <w:rPr>
                      <w:sz w:val="21"/>
                      <w:szCs w:val="21"/>
                    </w:rPr>
                  </w:pPr>
                  <w:r>
                    <w:rPr>
                      <w:sz w:val="21"/>
                      <w:szCs w:val="21"/>
                      <w:lang w:bidi="ar"/>
                    </w:rPr>
                    <w:t>7</w:t>
                  </w:r>
                </w:p>
              </w:tc>
              <w:tc>
                <w:tcPr>
                  <w:tcW w:w="1034" w:type="pct"/>
                  <w:tcBorders>
                    <w:top w:val="single" w:color="auto" w:sz="4" w:space="0"/>
                    <w:left w:val="single" w:color="auto" w:sz="4" w:space="0"/>
                    <w:bottom w:val="single" w:color="auto" w:sz="4" w:space="0"/>
                    <w:right w:val="single" w:color="auto" w:sz="4" w:space="0"/>
                  </w:tcBorders>
                  <w:vAlign w:val="center"/>
                </w:tcPr>
                <w:p w14:paraId="0944DA33">
                  <w:pPr>
                    <w:widowControl/>
                    <w:spacing w:line="360" w:lineRule="exact"/>
                    <w:jc w:val="center"/>
                    <w:rPr>
                      <w:rFonts w:hint="default" w:eastAsia="宋体"/>
                      <w:sz w:val="21"/>
                      <w:szCs w:val="21"/>
                      <w:lang w:val="en-US" w:eastAsia="zh-CN"/>
                    </w:rPr>
                  </w:pPr>
                  <w:r>
                    <w:rPr>
                      <w:rFonts w:hint="eastAsia"/>
                      <w:sz w:val="21"/>
                      <w:szCs w:val="21"/>
                      <w:lang w:val="en-US" w:eastAsia="zh-CN"/>
                    </w:rPr>
                    <w:t>32排64层CT机</w:t>
                  </w:r>
                </w:p>
              </w:tc>
              <w:tc>
                <w:tcPr>
                  <w:tcW w:w="686" w:type="pct"/>
                  <w:tcBorders>
                    <w:top w:val="single" w:color="auto" w:sz="4" w:space="0"/>
                    <w:left w:val="single" w:color="auto" w:sz="4" w:space="0"/>
                    <w:bottom w:val="single" w:color="auto" w:sz="4" w:space="0"/>
                    <w:right w:val="single" w:color="auto" w:sz="4" w:space="0"/>
                  </w:tcBorders>
                  <w:vAlign w:val="center"/>
                </w:tcPr>
                <w:p w14:paraId="29331601">
                  <w:pPr>
                    <w:widowControl/>
                    <w:spacing w:line="360" w:lineRule="exact"/>
                    <w:jc w:val="center"/>
                    <w:rPr>
                      <w:rFonts w:hint="default" w:eastAsia="宋体"/>
                      <w:sz w:val="21"/>
                      <w:szCs w:val="21"/>
                      <w:lang w:val="en-US" w:eastAsia="zh-CN"/>
                    </w:rPr>
                  </w:pPr>
                  <w:r>
                    <w:rPr>
                      <w:rFonts w:hint="eastAsia"/>
                      <w:sz w:val="21"/>
                      <w:szCs w:val="21"/>
                      <w:lang w:val="en-US" w:eastAsia="zh-CN"/>
                    </w:rPr>
                    <w:t>SOMATOM go all</w:t>
                  </w:r>
                </w:p>
              </w:tc>
              <w:tc>
                <w:tcPr>
                  <w:tcW w:w="295" w:type="pct"/>
                  <w:tcBorders>
                    <w:top w:val="single" w:color="auto" w:sz="4" w:space="0"/>
                    <w:left w:val="single" w:color="auto" w:sz="4" w:space="0"/>
                    <w:bottom w:val="single" w:color="auto" w:sz="4" w:space="0"/>
                    <w:right w:val="single" w:color="auto" w:sz="4" w:space="0"/>
                  </w:tcBorders>
                  <w:vAlign w:val="center"/>
                </w:tcPr>
                <w:p w14:paraId="5EC3F617">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1E558F9B">
                  <w:pPr>
                    <w:widowControl/>
                    <w:spacing w:line="360" w:lineRule="exact"/>
                    <w:jc w:val="center"/>
                    <w:rPr>
                      <w:sz w:val="21"/>
                      <w:szCs w:val="21"/>
                      <w:lang w:bidi="ar"/>
                    </w:rPr>
                  </w:pPr>
                  <w:r>
                    <w:rPr>
                      <w:spacing w:val="-11"/>
                      <w:sz w:val="21"/>
                      <w:szCs w:val="2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3F0DA4B0">
                  <w:pPr>
                    <w:widowControl/>
                    <w:spacing w:line="360" w:lineRule="exact"/>
                    <w:jc w:val="center"/>
                    <w:rPr>
                      <w:sz w:val="21"/>
                      <w:szCs w:val="21"/>
                    </w:rPr>
                  </w:pPr>
                  <w:r>
                    <w:rPr>
                      <w:sz w:val="21"/>
                      <w:szCs w:val="21"/>
                      <w:lang w:bidi="ar"/>
                    </w:rPr>
                    <w:t>1</w:t>
                  </w:r>
                  <w:r>
                    <w:rPr>
                      <w:rFonts w:hint="eastAsia"/>
                      <w:sz w:val="21"/>
                      <w:szCs w:val="21"/>
                      <w:lang w:val="en-US" w:eastAsia="zh-CN" w:bidi="ar"/>
                    </w:rPr>
                    <w:t>4</w:t>
                  </w:r>
                  <w:r>
                    <w:rPr>
                      <w:sz w:val="21"/>
                      <w:szCs w:val="21"/>
                      <w:lang w:bidi="ar"/>
                    </w:rPr>
                    <w:t>0kV、8</w:t>
                  </w:r>
                  <w:r>
                    <w:rPr>
                      <w:rFonts w:hint="eastAsia"/>
                      <w:sz w:val="21"/>
                      <w:szCs w:val="21"/>
                      <w:lang w:val="en-US" w:eastAsia="zh-CN" w:bidi="ar"/>
                    </w:rPr>
                    <w:t>25</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20CC1BA7">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782BE6CA">
                  <w:pPr>
                    <w:widowControl/>
                    <w:spacing w:line="360" w:lineRule="exact"/>
                    <w:jc w:val="center"/>
                    <w:rPr>
                      <w:sz w:val="21"/>
                      <w:szCs w:val="21"/>
                    </w:rPr>
                  </w:pPr>
                  <w:r>
                    <w:rPr>
                      <w:rFonts w:hint="eastAsia"/>
                      <w:sz w:val="21"/>
                      <w:szCs w:val="21"/>
                      <w:lang w:val="en-US" w:eastAsia="zh-CN"/>
                    </w:rPr>
                    <w:t>放射科4号机房</w:t>
                  </w:r>
                </w:p>
              </w:tc>
            </w:tr>
            <w:tr w14:paraId="3B22BC40">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0280C31B">
                  <w:pPr>
                    <w:widowControl/>
                    <w:spacing w:line="360" w:lineRule="exact"/>
                    <w:jc w:val="center"/>
                    <w:rPr>
                      <w:sz w:val="21"/>
                      <w:szCs w:val="21"/>
                    </w:rPr>
                  </w:pPr>
                  <w:r>
                    <w:rPr>
                      <w:sz w:val="21"/>
                      <w:szCs w:val="21"/>
                      <w:lang w:bidi="ar"/>
                    </w:rPr>
                    <w:t>8</w:t>
                  </w:r>
                </w:p>
              </w:tc>
              <w:tc>
                <w:tcPr>
                  <w:tcW w:w="1034" w:type="pct"/>
                  <w:tcBorders>
                    <w:top w:val="single" w:color="auto" w:sz="4" w:space="0"/>
                    <w:left w:val="single" w:color="auto" w:sz="4" w:space="0"/>
                    <w:bottom w:val="single" w:color="auto" w:sz="4" w:space="0"/>
                    <w:right w:val="single" w:color="auto" w:sz="4" w:space="0"/>
                  </w:tcBorders>
                  <w:vAlign w:val="center"/>
                </w:tcPr>
                <w:p w14:paraId="7506E9E5">
                  <w:pPr>
                    <w:widowControl/>
                    <w:spacing w:line="360" w:lineRule="exact"/>
                    <w:jc w:val="center"/>
                    <w:rPr>
                      <w:rFonts w:hint="default" w:eastAsia="宋体"/>
                      <w:sz w:val="21"/>
                      <w:szCs w:val="21"/>
                      <w:lang w:val="en-US" w:eastAsia="zh-CN"/>
                    </w:rPr>
                  </w:pPr>
                  <w:r>
                    <w:rPr>
                      <w:rFonts w:hint="eastAsia"/>
                      <w:sz w:val="21"/>
                      <w:szCs w:val="21"/>
                      <w:lang w:val="en-US" w:eastAsia="zh-CN"/>
                    </w:rPr>
                    <w:t>64排128层CT机</w:t>
                  </w:r>
                </w:p>
              </w:tc>
              <w:tc>
                <w:tcPr>
                  <w:tcW w:w="686" w:type="pct"/>
                  <w:tcBorders>
                    <w:top w:val="single" w:color="auto" w:sz="4" w:space="0"/>
                    <w:left w:val="single" w:color="auto" w:sz="4" w:space="0"/>
                    <w:bottom w:val="single" w:color="auto" w:sz="4" w:space="0"/>
                    <w:right w:val="single" w:color="auto" w:sz="4" w:space="0"/>
                  </w:tcBorders>
                  <w:vAlign w:val="center"/>
                </w:tcPr>
                <w:p w14:paraId="0828E421">
                  <w:pPr>
                    <w:widowControl/>
                    <w:spacing w:line="360" w:lineRule="exact"/>
                    <w:jc w:val="center"/>
                    <w:rPr>
                      <w:rFonts w:hint="default" w:eastAsia="宋体"/>
                      <w:sz w:val="21"/>
                      <w:szCs w:val="21"/>
                      <w:lang w:val="en-US" w:eastAsia="zh-CN"/>
                    </w:rPr>
                  </w:pPr>
                  <w:r>
                    <w:rPr>
                      <w:rFonts w:hint="eastAsia"/>
                      <w:sz w:val="21"/>
                      <w:szCs w:val="21"/>
                      <w:lang w:val="en-US" w:eastAsia="zh-CN"/>
                    </w:rPr>
                    <w:t>Brilliance</w:t>
                  </w:r>
                </w:p>
              </w:tc>
              <w:tc>
                <w:tcPr>
                  <w:tcW w:w="295" w:type="pct"/>
                  <w:tcBorders>
                    <w:top w:val="single" w:color="auto" w:sz="4" w:space="0"/>
                    <w:left w:val="single" w:color="auto" w:sz="4" w:space="0"/>
                    <w:bottom w:val="single" w:color="auto" w:sz="4" w:space="0"/>
                    <w:right w:val="single" w:color="auto" w:sz="4" w:space="0"/>
                  </w:tcBorders>
                  <w:vAlign w:val="center"/>
                </w:tcPr>
                <w:p w14:paraId="376BFE37">
                  <w:pPr>
                    <w:widowControl/>
                    <w:spacing w:line="360" w:lineRule="exact"/>
                    <w:jc w:val="center"/>
                    <w:rPr>
                      <w:sz w:val="21"/>
                      <w:szCs w:val="21"/>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68B4E1D2">
                  <w:pPr>
                    <w:widowControl/>
                    <w:spacing w:line="360" w:lineRule="exact"/>
                    <w:jc w:val="center"/>
                    <w:rPr>
                      <w:sz w:val="21"/>
                      <w:szCs w:val="21"/>
                      <w:lang w:bidi="ar"/>
                    </w:rPr>
                  </w:pPr>
                  <w:r>
                    <w:rPr>
                      <w:spacing w:val="-11"/>
                      <w:sz w:val="21"/>
                      <w:szCs w:val="21"/>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1E38880C">
                  <w:pPr>
                    <w:widowControl/>
                    <w:spacing w:line="360" w:lineRule="exact"/>
                    <w:jc w:val="center"/>
                    <w:rPr>
                      <w:sz w:val="21"/>
                      <w:szCs w:val="21"/>
                    </w:rPr>
                  </w:pPr>
                  <w:r>
                    <w:rPr>
                      <w:rFonts w:hint="eastAsia"/>
                      <w:sz w:val="21"/>
                      <w:szCs w:val="21"/>
                      <w:lang w:val="en-US" w:eastAsia="zh-CN" w:bidi="ar"/>
                    </w:rPr>
                    <w:t>140</w:t>
                  </w:r>
                  <w:r>
                    <w:rPr>
                      <w:sz w:val="21"/>
                      <w:szCs w:val="21"/>
                      <w:lang w:bidi="ar"/>
                    </w:rPr>
                    <w:t>kV、</w:t>
                  </w:r>
                  <w:r>
                    <w:rPr>
                      <w:rFonts w:hint="eastAsia"/>
                      <w:sz w:val="21"/>
                      <w:szCs w:val="21"/>
                      <w:lang w:val="en-US" w:eastAsia="zh-CN" w:bidi="ar"/>
                    </w:rPr>
                    <w:t>4</w:t>
                  </w:r>
                  <w:r>
                    <w:rPr>
                      <w:sz w:val="21"/>
                      <w:szCs w:val="21"/>
                      <w:lang w:bidi="ar"/>
                    </w:rPr>
                    <w:t>00mA</w:t>
                  </w:r>
                </w:p>
              </w:tc>
              <w:tc>
                <w:tcPr>
                  <w:tcW w:w="495" w:type="pct"/>
                  <w:tcBorders>
                    <w:top w:val="single" w:color="auto" w:sz="4" w:space="0"/>
                    <w:left w:val="single" w:color="auto" w:sz="4" w:space="0"/>
                    <w:bottom w:val="single" w:color="auto" w:sz="4" w:space="0"/>
                    <w:right w:val="single" w:color="auto" w:sz="4" w:space="0"/>
                  </w:tcBorders>
                  <w:noWrap/>
                  <w:vAlign w:val="center"/>
                </w:tcPr>
                <w:p w14:paraId="1943E439">
                  <w:pPr>
                    <w:widowControl/>
                    <w:spacing w:line="360" w:lineRule="exact"/>
                    <w:jc w:val="center"/>
                    <w:rPr>
                      <w:sz w:val="21"/>
                      <w:szCs w:val="21"/>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727EB480">
                  <w:pPr>
                    <w:widowControl/>
                    <w:spacing w:line="360" w:lineRule="exact"/>
                    <w:jc w:val="center"/>
                    <w:rPr>
                      <w:sz w:val="21"/>
                      <w:szCs w:val="21"/>
                    </w:rPr>
                  </w:pPr>
                  <w:r>
                    <w:rPr>
                      <w:rFonts w:hint="eastAsia"/>
                      <w:sz w:val="21"/>
                      <w:szCs w:val="21"/>
                      <w:lang w:val="en-US" w:eastAsia="zh-CN"/>
                    </w:rPr>
                    <w:t>放射科6号机房</w:t>
                  </w:r>
                </w:p>
              </w:tc>
            </w:tr>
            <w:tr w14:paraId="713AE645">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74A8DF5C">
                  <w:pPr>
                    <w:widowControl/>
                    <w:spacing w:line="360" w:lineRule="exact"/>
                    <w:jc w:val="center"/>
                    <w:rPr>
                      <w:sz w:val="21"/>
                      <w:szCs w:val="21"/>
                    </w:rPr>
                  </w:pPr>
                  <w:r>
                    <w:rPr>
                      <w:sz w:val="21"/>
                      <w:szCs w:val="21"/>
                      <w:lang w:bidi="ar"/>
                    </w:rPr>
                    <w:t>9</w:t>
                  </w:r>
                </w:p>
              </w:tc>
              <w:tc>
                <w:tcPr>
                  <w:tcW w:w="1034" w:type="pct"/>
                  <w:tcBorders>
                    <w:top w:val="single" w:color="auto" w:sz="4" w:space="0"/>
                    <w:left w:val="single" w:color="auto" w:sz="4" w:space="0"/>
                    <w:bottom w:val="single" w:color="auto" w:sz="4" w:space="0"/>
                    <w:right w:val="single" w:color="auto" w:sz="4" w:space="0"/>
                  </w:tcBorders>
                  <w:vAlign w:val="center"/>
                </w:tcPr>
                <w:p w14:paraId="3B031C97">
                  <w:pPr>
                    <w:widowControl/>
                    <w:spacing w:line="360" w:lineRule="exact"/>
                    <w:jc w:val="center"/>
                    <w:rPr>
                      <w:rFonts w:hint="default" w:eastAsia="宋体"/>
                      <w:sz w:val="21"/>
                      <w:szCs w:val="21"/>
                      <w:lang w:val="en-US" w:eastAsia="zh-CN"/>
                    </w:rPr>
                  </w:pPr>
                  <w:r>
                    <w:rPr>
                      <w:rFonts w:hint="eastAsia"/>
                      <w:sz w:val="21"/>
                      <w:szCs w:val="21"/>
                      <w:lang w:val="en-US" w:eastAsia="zh-CN"/>
                    </w:rPr>
                    <w:t>数字减影血管造影机（DSA）</w:t>
                  </w:r>
                </w:p>
              </w:tc>
              <w:tc>
                <w:tcPr>
                  <w:tcW w:w="686" w:type="pct"/>
                  <w:tcBorders>
                    <w:top w:val="single" w:color="auto" w:sz="4" w:space="0"/>
                    <w:left w:val="single" w:color="auto" w:sz="4" w:space="0"/>
                    <w:bottom w:val="single" w:color="auto" w:sz="4" w:space="0"/>
                    <w:right w:val="single" w:color="auto" w:sz="4" w:space="0"/>
                  </w:tcBorders>
                  <w:vAlign w:val="center"/>
                </w:tcPr>
                <w:p w14:paraId="33739DC6">
                  <w:pPr>
                    <w:widowControl/>
                    <w:spacing w:line="360" w:lineRule="exact"/>
                    <w:jc w:val="center"/>
                    <w:rPr>
                      <w:rFonts w:hint="default" w:eastAsia="宋体"/>
                      <w:sz w:val="21"/>
                      <w:szCs w:val="21"/>
                      <w:lang w:val="en-US" w:eastAsia="zh-CN"/>
                    </w:rPr>
                  </w:pPr>
                  <w:r>
                    <w:rPr>
                      <w:rFonts w:hint="eastAsia"/>
                      <w:sz w:val="21"/>
                      <w:szCs w:val="21"/>
                      <w:lang w:val="en-US" w:eastAsia="zh-CN"/>
                    </w:rPr>
                    <w:t xml:space="preserve">Artist Zee </w:t>
                  </w:r>
                  <w:r>
                    <w:rPr>
                      <w:sz w:val="21"/>
                      <w:szCs w:val="21"/>
                      <w:lang w:bidi="ar"/>
                    </w:rPr>
                    <w:t>Ⅲ</w:t>
                  </w:r>
                  <w:r>
                    <w:rPr>
                      <w:rFonts w:hint="eastAsia"/>
                      <w:sz w:val="21"/>
                      <w:szCs w:val="21"/>
                      <w:lang w:val="en-US" w:eastAsia="zh-CN" w:bidi="ar"/>
                    </w:rPr>
                    <w:t xml:space="preserve"> </w:t>
                  </w:r>
                  <w:r>
                    <w:rPr>
                      <w:rFonts w:hint="eastAsia"/>
                      <w:sz w:val="21"/>
                      <w:szCs w:val="21"/>
                      <w:lang w:val="en-US" w:eastAsia="zh-CN"/>
                    </w:rPr>
                    <w:t>ceiling</w:t>
                  </w:r>
                </w:p>
              </w:tc>
              <w:tc>
                <w:tcPr>
                  <w:tcW w:w="295" w:type="pct"/>
                  <w:tcBorders>
                    <w:top w:val="single" w:color="auto" w:sz="4" w:space="0"/>
                    <w:left w:val="single" w:color="auto" w:sz="4" w:space="0"/>
                    <w:bottom w:val="single" w:color="auto" w:sz="4" w:space="0"/>
                    <w:right w:val="single" w:color="auto" w:sz="4" w:space="0"/>
                  </w:tcBorders>
                  <w:vAlign w:val="center"/>
                </w:tcPr>
                <w:p w14:paraId="0EFBE3C4">
                  <w:pPr>
                    <w:widowControl/>
                    <w:spacing w:line="360" w:lineRule="exact"/>
                    <w:jc w:val="center"/>
                    <w:rPr>
                      <w:sz w:val="21"/>
                      <w:szCs w:val="21"/>
                      <w:lang w:bidi="ar"/>
                    </w:rPr>
                  </w:pPr>
                  <w:r>
                    <w:rPr>
                      <w:sz w:val="21"/>
                      <w:szCs w:val="21"/>
                      <w:lang w:bidi="ar"/>
                    </w:rPr>
                    <w:t>Ⅱ类</w:t>
                  </w:r>
                </w:p>
              </w:tc>
              <w:tc>
                <w:tcPr>
                  <w:tcW w:w="430" w:type="pct"/>
                  <w:tcBorders>
                    <w:top w:val="single" w:color="auto" w:sz="4" w:space="0"/>
                    <w:left w:val="single" w:color="auto" w:sz="4" w:space="0"/>
                    <w:bottom w:val="single" w:color="auto" w:sz="4" w:space="0"/>
                    <w:right w:val="single" w:color="auto" w:sz="4" w:space="0"/>
                  </w:tcBorders>
                  <w:noWrap/>
                  <w:vAlign w:val="center"/>
                </w:tcPr>
                <w:p w14:paraId="47A9B02C">
                  <w:pPr>
                    <w:widowControl/>
                    <w:spacing w:line="360" w:lineRule="exact"/>
                    <w:jc w:val="center"/>
                    <w:rPr>
                      <w:spacing w:val="-11"/>
                      <w:sz w:val="21"/>
                      <w:szCs w:val="21"/>
                    </w:rPr>
                  </w:pPr>
                  <w:r>
                    <w:rPr>
                      <w:sz w:val="21"/>
                      <w:szCs w:val="21"/>
                      <w:lang w:bidi="ar"/>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73A043FF">
                  <w:pPr>
                    <w:widowControl/>
                    <w:spacing w:line="360" w:lineRule="exact"/>
                    <w:jc w:val="center"/>
                    <w:rPr>
                      <w:sz w:val="21"/>
                      <w:szCs w:val="21"/>
                      <w:lang w:bidi="ar"/>
                    </w:rPr>
                  </w:pPr>
                  <w:r>
                    <w:rPr>
                      <w:sz w:val="21"/>
                      <w:szCs w:val="21"/>
                      <w:lang w:bidi="ar"/>
                    </w:rPr>
                    <w:t>125kV、1</w:t>
                  </w:r>
                  <w:r>
                    <w:rPr>
                      <w:rFonts w:hint="eastAsia"/>
                      <w:sz w:val="21"/>
                      <w:szCs w:val="21"/>
                      <w:lang w:val="en-US" w:eastAsia="zh-CN" w:bidi="ar"/>
                    </w:rPr>
                    <w:t>00</w:t>
                  </w:r>
                  <w:r>
                    <w:rPr>
                      <w:sz w:val="21"/>
                      <w:szCs w:val="21"/>
                      <w:lang w:bidi="ar"/>
                    </w:rPr>
                    <w:t>0mA</w:t>
                  </w:r>
                </w:p>
              </w:tc>
              <w:tc>
                <w:tcPr>
                  <w:tcW w:w="495" w:type="pct"/>
                  <w:tcBorders>
                    <w:top w:val="single" w:color="auto" w:sz="4" w:space="0"/>
                    <w:left w:val="single" w:color="auto" w:sz="4" w:space="0"/>
                    <w:bottom w:val="single" w:color="auto" w:sz="4" w:space="0"/>
                    <w:right w:val="single" w:color="auto" w:sz="4" w:space="0"/>
                  </w:tcBorders>
                  <w:noWrap/>
                  <w:vAlign w:val="center"/>
                </w:tcPr>
                <w:p w14:paraId="748C5684">
                  <w:pPr>
                    <w:widowControl/>
                    <w:spacing w:line="360" w:lineRule="exact"/>
                    <w:jc w:val="center"/>
                    <w:rPr>
                      <w:sz w:val="21"/>
                      <w:szCs w:val="21"/>
                      <w:lang w:bidi="ar"/>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3F0F51A5">
                  <w:pPr>
                    <w:widowControl/>
                    <w:spacing w:line="360" w:lineRule="exact"/>
                    <w:jc w:val="center"/>
                    <w:rPr>
                      <w:sz w:val="21"/>
                      <w:szCs w:val="21"/>
                      <w:lang w:bidi="ar"/>
                    </w:rPr>
                  </w:pPr>
                  <w:r>
                    <w:rPr>
                      <w:rFonts w:hint="eastAsia"/>
                      <w:sz w:val="21"/>
                      <w:szCs w:val="21"/>
                      <w:lang w:val="en-US" w:eastAsia="zh-CN"/>
                    </w:rPr>
                    <w:t>放射科7号机房</w:t>
                  </w:r>
                </w:p>
              </w:tc>
            </w:tr>
            <w:tr w14:paraId="09EDB22E">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69E7CD47">
                  <w:pPr>
                    <w:widowControl/>
                    <w:spacing w:line="360" w:lineRule="exact"/>
                    <w:jc w:val="center"/>
                    <w:rPr>
                      <w:sz w:val="21"/>
                      <w:szCs w:val="21"/>
                    </w:rPr>
                  </w:pPr>
                  <w:r>
                    <w:rPr>
                      <w:sz w:val="21"/>
                      <w:szCs w:val="21"/>
                      <w:lang w:bidi="ar"/>
                    </w:rPr>
                    <w:t>10</w:t>
                  </w:r>
                </w:p>
              </w:tc>
              <w:tc>
                <w:tcPr>
                  <w:tcW w:w="1034" w:type="pct"/>
                  <w:tcBorders>
                    <w:top w:val="single" w:color="auto" w:sz="4" w:space="0"/>
                    <w:left w:val="single" w:color="auto" w:sz="4" w:space="0"/>
                    <w:bottom w:val="single" w:color="auto" w:sz="4" w:space="0"/>
                    <w:right w:val="single" w:color="auto" w:sz="4" w:space="0"/>
                  </w:tcBorders>
                  <w:vAlign w:val="center"/>
                </w:tcPr>
                <w:p w14:paraId="42CFCADF">
                  <w:pPr>
                    <w:widowControl/>
                    <w:spacing w:line="360" w:lineRule="exact"/>
                    <w:jc w:val="center"/>
                    <w:rPr>
                      <w:rFonts w:hint="default" w:eastAsia="宋体"/>
                      <w:sz w:val="21"/>
                      <w:szCs w:val="21"/>
                      <w:lang w:val="en-US" w:eastAsia="zh-CN"/>
                    </w:rPr>
                  </w:pPr>
                  <w:r>
                    <w:rPr>
                      <w:rFonts w:hint="eastAsia"/>
                      <w:sz w:val="21"/>
                      <w:szCs w:val="21"/>
                      <w:lang w:val="en-US" w:eastAsia="zh-CN"/>
                    </w:rPr>
                    <w:t>双能X射线骨密度仪</w:t>
                  </w:r>
                </w:p>
              </w:tc>
              <w:tc>
                <w:tcPr>
                  <w:tcW w:w="686" w:type="pct"/>
                  <w:tcBorders>
                    <w:top w:val="single" w:color="auto" w:sz="4" w:space="0"/>
                    <w:left w:val="single" w:color="auto" w:sz="4" w:space="0"/>
                    <w:bottom w:val="single" w:color="auto" w:sz="4" w:space="0"/>
                    <w:right w:val="single" w:color="auto" w:sz="4" w:space="0"/>
                  </w:tcBorders>
                  <w:vAlign w:val="center"/>
                </w:tcPr>
                <w:p w14:paraId="5E74A3E5">
                  <w:pPr>
                    <w:widowControl/>
                    <w:spacing w:line="360" w:lineRule="exact"/>
                    <w:jc w:val="center"/>
                    <w:rPr>
                      <w:rFonts w:hint="default" w:eastAsia="宋体"/>
                      <w:sz w:val="21"/>
                      <w:szCs w:val="21"/>
                      <w:lang w:val="en-US" w:eastAsia="zh-CN"/>
                    </w:rPr>
                  </w:pPr>
                  <w:r>
                    <w:rPr>
                      <w:rFonts w:hint="eastAsia"/>
                      <w:sz w:val="21"/>
                      <w:szCs w:val="21"/>
                      <w:lang w:val="en-US" w:eastAsia="zh-CN"/>
                    </w:rPr>
                    <w:t>ALPHYSLF</w:t>
                  </w:r>
                </w:p>
              </w:tc>
              <w:tc>
                <w:tcPr>
                  <w:tcW w:w="295" w:type="pct"/>
                  <w:tcBorders>
                    <w:top w:val="single" w:color="auto" w:sz="4" w:space="0"/>
                    <w:left w:val="single" w:color="auto" w:sz="4" w:space="0"/>
                    <w:bottom w:val="single" w:color="auto" w:sz="4" w:space="0"/>
                    <w:right w:val="single" w:color="auto" w:sz="4" w:space="0"/>
                  </w:tcBorders>
                  <w:vAlign w:val="center"/>
                </w:tcPr>
                <w:p w14:paraId="241297EF">
                  <w:pPr>
                    <w:widowControl/>
                    <w:spacing w:line="360" w:lineRule="exact"/>
                    <w:jc w:val="center"/>
                    <w:rPr>
                      <w:sz w:val="21"/>
                      <w:szCs w:val="21"/>
                      <w:lang w:bidi="ar"/>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0A4F63D6">
                  <w:pPr>
                    <w:widowControl/>
                    <w:spacing w:line="360" w:lineRule="exact"/>
                    <w:jc w:val="center"/>
                    <w:rPr>
                      <w:spacing w:val="-11"/>
                      <w:sz w:val="21"/>
                      <w:szCs w:val="21"/>
                    </w:rPr>
                  </w:pPr>
                  <w:r>
                    <w:rPr>
                      <w:sz w:val="21"/>
                      <w:szCs w:val="21"/>
                      <w:lang w:bidi="ar"/>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5CD0E4E3">
                  <w:pPr>
                    <w:widowControl/>
                    <w:spacing w:line="360" w:lineRule="exact"/>
                    <w:jc w:val="center"/>
                    <w:rPr>
                      <w:sz w:val="21"/>
                      <w:szCs w:val="21"/>
                      <w:lang w:bidi="ar"/>
                    </w:rPr>
                  </w:pPr>
                  <w:r>
                    <w:rPr>
                      <w:sz w:val="21"/>
                      <w:szCs w:val="21"/>
                      <w:lang w:bidi="ar"/>
                    </w:rPr>
                    <w:t>12</w:t>
                  </w:r>
                  <w:r>
                    <w:rPr>
                      <w:rFonts w:hint="eastAsia"/>
                      <w:sz w:val="21"/>
                      <w:szCs w:val="21"/>
                      <w:lang w:val="en-US" w:eastAsia="zh-CN" w:bidi="ar"/>
                    </w:rPr>
                    <w:t>0</w:t>
                  </w:r>
                  <w:r>
                    <w:rPr>
                      <w:sz w:val="21"/>
                      <w:szCs w:val="21"/>
                      <w:lang w:bidi="ar"/>
                    </w:rPr>
                    <w:t>kV、</w:t>
                  </w:r>
                  <w:r>
                    <w:rPr>
                      <w:rFonts w:hint="eastAsia"/>
                      <w:sz w:val="21"/>
                      <w:szCs w:val="21"/>
                      <w:lang w:val="en-US" w:eastAsia="zh-CN" w:bidi="ar"/>
                    </w:rPr>
                    <w:t>2.5</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4BCF8B91">
                  <w:pPr>
                    <w:widowControl/>
                    <w:spacing w:line="360" w:lineRule="exact"/>
                    <w:jc w:val="center"/>
                    <w:rPr>
                      <w:sz w:val="21"/>
                      <w:szCs w:val="21"/>
                      <w:lang w:bidi="ar"/>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54E35211">
                  <w:pPr>
                    <w:widowControl/>
                    <w:spacing w:line="360" w:lineRule="exact"/>
                    <w:jc w:val="center"/>
                    <w:rPr>
                      <w:rFonts w:hint="default" w:eastAsia="宋体"/>
                      <w:sz w:val="21"/>
                      <w:szCs w:val="21"/>
                      <w:lang w:val="en-US" w:eastAsia="zh-CN" w:bidi="ar"/>
                    </w:rPr>
                  </w:pPr>
                  <w:r>
                    <w:rPr>
                      <w:rFonts w:hint="eastAsia"/>
                      <w:sz w:val="21"/>
                      <w:szCs w:val="21"/>
                      <w:lang w:val="en-US" w:eastAsia="zh-CN" w:bidi="ar"/>
                    </w:rPr>
                    <w:t>放射科骨密度检查室</w:t>
                  </w:r>
                </w:p>
              </w:tc>
            </w:tr>
            <w:tr w14:paraId="04D5A850">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47EFAFC6">
                  <w:pPr>
                    <w:widowControl/>
                    <w:spacing w:line="360" w:lineRule="exact"/>
                    <w:jc w:val="center"/>
                    <w:rPr>
                      <w:sz w:val="21"/>
                      <w:szCs w:val="21"/>
                    </w:rPr>
                  </w:pPr>
                  <w:r>
                    <w:rPr>
                      <w:sz w:val="21"/>
                      <w:szCs w:val="21"/>
                      <w:lang w:bidi="ar"/>
                    </w:rPr>
                    <w:t>11</w:t>
                  </w:r>
                </w:p>
              </w:tc>
              <w:tc>
                <w:tcPr>
                  <w:tcW w:w="1034" w:type="pct"/>
                  <w:tcBorders>
                    <w:top w:val="single" w:color="auto" w:sz="4" w:space="0"/>
                    <w:left w:val="single" w:color="auto" w:sz="4" w:space="0"/>
                    <w:bottom w:val="single" w:color="auto" w:sz="4" w:space="0"/>
                    <w:right w:val="single" w:color="auto" w:sz="4" w:space="0"/>
                  </w:tcBorders>
                  <w:vAlign w:val="center"/>
                </w:tcPr>
                <w:p w14:paraId="1FAC5CB0">
                  <w:pPr>
                    <w:widowControl/>
                    <w:spacing w:line="360" w:lineRule="exact"/>
                    <w:jc w:val="center"/>
                    <w:rPr>
                      <w:sz w:val="21"/>
                      <w:szCs w:val="21"/>
                    </w:rPr>
                  </w:pPr>
                  <w:r>
                    <w:rPr>
                      <w:rFonts w:hint="eastAsia"/>
                      <w:sz w:val="21"/>
                      <w:szCs w:val="21"/>
                      <w:lang w:val="en-US" w:eastAsia="zh-CN"/>
                    </w:rPr>
                    <w:t>数字乳腺X射线摄影系统</w:t>
                  </w:r>
                </w:p>
              </w:tc>
              <w:tc>
                <w:tcPr>
                  <w:tcW w:w="686" w:type="pct"/>
                  <w:tcBorders>
                    <w:top w:val="single" w:color="auto" w:sz="4" w:space="0"/>
                    <w:left w:val="single" w:color="auto" w:sz="4" w:space="0"/>
                    <w:bottom w:val="single" w:color="auto" w:sz="4" w:space="0"/>
                    <w:right w:val="single" w:color="auto" w:sz="4" w:space="0"/>
                  </w:tcBorders>
                  <w:vAlign w:val="center"/>
                </w:tcPr>
                <w:p w14:paraId="552A7B0C">
                  <w:pPr>
                    <w:widowControl/>
                    <w:spacing w:line="360" w:lineRule="exact"/>
                    <w:jc w:val="center"/>
                    <w:rPr>
                      <w:sz w:val="21"/>
                      <w:szCs w:val="21"/>
                    </w:rPr>
                  </w:pPr>
                  <w:r>
                    <w:rPr>
                      <w:rFonts w:hint="eastAsia"/>
                      <w:sz w:val="21"/>
                      <w:szCs w:val="21"/>
                      <w:lang w:val="en-US" w:eastAsia="zh-CN"/>
                    </w:rPr>
                    <w:t>Navigator Star Care</w:t>
                  </w:r>
                </w:p>
              </w:tc>
              <w:tc>
                <w:tcPr>
                  <w:tcW w:w="295" w:type="pct"/>
                  <w:tcBorders>
                    <w:top w:val="single" w:color="auto" w:sz="4" w:space="0"/>
                    <w:left w:val="single" w:color="auto" w:sz="4" w:space="0"/>
                    <w:bottom w:val="single" w:color="auto" w:sz="4" w:space="0"/>
                    <w:right w:val="single" w:color="auto" w:sz="4" w:space="0"/>
                  </w:tcBorders>
                  <w:vAlign w:val="center"/>
                </w:tcPr>
                <w:p w14:paraId="028456C2">
                  <w:pPr>
                    <w:widowControl/>
                    <w:spacing w:line="360" w:lineRule="exact"/>
                    <w:jc w:val="center"/>
                    <w:rPr>
                      <w:sz w:val="21"/>
                      <w:szCs w:val="21"/>
                      <w:lang w:bidi="ar"/>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02FA7D3B">
                  <w:pPr>
                    <w:widowControl/>
                    <w:spacing w:line="360" w:lineRule="exact"/>
                    <w:jc w:val="center"/>
                    <w:rPr>
                      <w:spacing w:val="-11"/>
                      <w:sz w:val="21"/>
                      <w:szCs w:val="21"/>
                    </w:rPr>
                  </w:pPr>
                  <w:r>
                    <w:rPr>
                      <w:sz w:val="21"/>
                      <w:szCs w:val="21"/>
                      <w:lang w:bidi="ar"/>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44963CFD">
                  <w:pPr>
                    <w:widowControl/>
                    <w:spacing w:line="360" w:lineRule="exact"/>
                    <w:jc w:val="center"/>
                    <w:rPr>
                      <w:sz w:val="21"/>
                      <w:szCs w:val="21"/>
                      <w:lang w:bidi="ar"/>
                    </w:rPr>
                  </w:pPr>
                  <w:r>
                    <w:rPr>
                      <w:rFonts w:hint="eastAsia"/>
                      <w:sz w:val="21"/>
                      <w:szCs w:val="21"/>
                      <w:lang w:val="en-US" w:eastAsia="zh-CN" w:bidi="ar"/>
                    </w:rPr>
                    <w:t>40</w:t>
                  </w:r>
                  <w:r>
                    <w:rPr>
                      <w:sz w:val="21"/>
                      <w:szCs w:val="21"/>
                      <w:lang w:bidi="ar"/>
                    </w:rPr>
                    <w:t>kV、1</w:t>
                  </w:r>
                  <w:r>
                    <w:rPr>
                      <w:rFonts w:hint="eastAsia"/>
                      <w:sz w:val="21"/>
                      <w:szCs w:val="21"/>
                      <w:lang w:val="en-US" w:eastAsia="zh-CN" w:bidi="ar"/>
                    </w:rPr>
                    <w:t>60</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1476CEEB">
                  <w:pPr>
                    <w:widowControl/>
                    <w:spacing w:line="360" w:lineRule="exact"/>
                    <w:jc w:val="center"/>
                    <w:rPr>
                      <w:sz w:val="21"/>
                      <w:szCs w:val="21"/>
                      <w:lang w:bidi="ar"/>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05B8664C">
                  <w:pPr>
                    <w:widowControl/>
                    <w:spacing w:line="360" w:lineRule="exact"/>
                    <w:jc w:val="center"/>
                    <w:rPr>
                      <w:rFonts w:hint="default" w:eastAsia="宋体"/>
                      <w:sz w:val="21"/>
                      <w:szCs w:val="21"/>
                      <w:lang w:val="en-US" w:eastAsia="zh-CN" w:bidi="ar"/>
                    </w:rPr>
                  </w:pPr>
                  <w:r>
                    <w:rPr>
                      <w:rFonts w:hint="eastAsia"/>
                      <w:sz w:val="21"/>
                      <w:szCs w:val="21"/>
                      <w:lang w:val="en-US" w:eastAsia="zh-CN" w:bidi="ar"/>
                    </w:rPr>
                    <w:t>放射科乳腺机房</w:t>
                  </w:r>
                </w:p>
              </w:tc>
            </w:tr>
            <w:tr w14:paraId="2CB79DCE">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24E40176">
                  <w:pPr>
                    <w:widowControl/>
                    <w:spacing w:line="360" w:lineRule="exact"/>
                    <w:jc w:val="center"/>
                    <w:rPr>
                      <w:sz w:val="21"/>
                      <w:szCs w:val="21"/>
                    </w:rPr>
                  </w:pPr>
                  <w:r>
                    <w:rPr>
                      <w:sz w:val="21"/>
                      <w:szCs w:val="21"/>
                      <w:lang w:bidi="ar"/>
                    </w:rPr>
                    <w:t>12</w:t>
                  </w:r>
                </w:p>
              </w:tc>
              <w:tc>
                <w:tcPr>
                  <w:tcW w:w="1034" w:type="pct"/>
                  <w:tcBorders>
                    <w:top w:val="single" w:color="auto" w:sz="4" w:space="0"/>
                    <w:left w:val="single" w:color="auto" w:sz="4" w:space="0"/>
                    <w:bottom w:val="single" w:color="auto" w:sz="4" w:space="0"/>
                    <w:right w:val="single" w:color="auto" w:sz="4" w:space="0"/>
                  </w:tcBorders>
                  <w:vAlign w:val="center"/>
                </w:tcPr>
                <w:p w14:paraId="5664D286">
                  <w:pPr>
                    <w:widowControl/>
                    <w:spacing w:line="360" w:lineRule="exact"/>
                    <w:jc w:val="center"/>
                    <w:rPr>
                      <w:rFonts w:hint="default" w:eastAsia="宋体"/>
                      <w:sz w:val="21"/>
                      <w:szCs w:val="21"/>
                      <w:lang w:val="en-US" w:eastAsia="zh-CN"/>
                    </w:rPr>
                  </w:pPr>
                  <w:r>
                    <w:rPr>
                      <w:rFonts w:hint="eastAsia"/>
                      <w:sz w:val="21"/>
                      <w:szCs w:val="21"/>
                      <w:lang w:val="en-US" w:eastAsia="zh-CN"/>
                    </w:rPr>
                    <w:t>口腔颌面锥形束计算机体层摄影设备（全景机）</w:t>
                  </w:r>
                </w:p>
              </w:tc>
              <w:tc>
                <w:tcPr>
                  <w:tcW w:w="686" w:type="pct"/>
                  <w:tcBorders>
                    <w:top w:val="single" w:color="auto" w:sz="4" w:space="0"/>
                    <w:left w:val="single" w:color="auto" w:sz="4" w:space="0"/>
                    <w:bottom w:val="single" w:color="auto" w:sz="4" w:space="0"/>
                    <w:right w:val="single" w:color="auto" w:sz="4" w:space="0"/>
                  </w:tcBorders>
                  <w:vAlign w:val="center"/>
                </w:tcPr>
                <w:p w14:paraId="09E94382">
                  <w:pPr>
                    <w:widowControl/>
                    <w:spacing w:line="360" w:lineRule="exact"/>
                    <w:jc w:val="center"/>
                    <w:rPr>
                      <w:rFonts w:hint="default" w:eastAsia="宋体"/>
                      <w:sz w:val="21"/>
                      <w:szCs w:val="21"/>
                      <w:lang w:val="en-US" w:eastAsia="zh-CN"/>
                    </w:rPr>
                  </w:pPr>
                  <w:r>
                    <w:rPr>
                      <w:rFonts w:hint="eastAsia"/>
                      <w:sz w:val="21"/>
                      <w:szCs w:val="21"/>
                      <w:lang w:val="en-US" w:eastAsia="zh-CN"/>
                    </w:rPr>
                    <w:t>SS-X9010Dpro-3DE</w:t>
                  </w:r>
                </w:p>
              </w:tc>
              <w:tc>
                <w:tcPr>
                  <w:tcW w:w="295" w:type="pct"/>
                  <w:tcBorders>
                    <w:top w:val="single" w:color="auto" w:sz="4" w:space="0"/>
                    <w:left w:val="single" w:color="auto" w:sz="4" w:space="0"/>
                    <w:bottom w:val="single" w:color="auto" w:sz="4" w:space="0"/>
                    <w:right w:val="single" w:color="auto" w:sz="4" w:space="0"/>
                  </w:tcBorders>
                  <w:vAlign w:val="center"/>
                </w:tcPr>
                <w:p w14:paraId="70E072DA">
                  <w:pPr>
                    <w:widowControl/>
                    <w:spacing w:line="360" w:lineRule="exact"/>
                    <w:jc w:val="center"/>
                    <w:rPr>
                      <w:sz w:val="21"/>
                      <w:szCs w:val="21"/>
                      <w:lang w:bidi="ar"/>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79018997">
                  <w:pPr>
                    <w:widowControl/>
                    <w:spacing w:line="360" w:lineRule="exact"/>
                    <w:jc w:val="center"/>
                    <w:rPr>
                      <w:spacing w:val="-11"/>
                      <w:sz w:val="21"/>
                      <w:szCs w:val="21"/>
                    </w:rPr>
                  </w:pPr>
                  <w:r>
                    <w:rPr>
                      <w:sz w:val="21"/>
                      <w:szCs w:val="21"/>
                      <w:lang w:bidi="ar"/>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375A242D">
                  <w:pPr>
                    <w:widowControl/>
                    <w:spacing w:line="360" w:lineRule="exact"/>
                    <w:jc w:val="center"/>
                    <w:rPr>
                      <w:sz w:val="21"/>
                      <w:szCs w:val="21"/>
                      <w:lang w:bidi="ar"/>
                    </w:rPr>
                  </w:pPr>
                  <w:r>
                    <w:rPr>
                      <w:rFonts w:hint="eastAsia"/>
                      <w:sz w:val="21"/>
                      <w:szCs w:val="21"/>
                      <w:lang w:val="en-US" w:eastAsia="zh-CN" w:bidi="ar"/>
                    </w:rPr>
                    <w:t>90</w:t>
                  </w:r>
                  <w:r>
                    <w:rPr>
                      <w:sz w:val="21"/>
                      <w:szCs w:val="21"/>
                      <w:lang w:bidi="ar"/>
                    </w:rPr>
                    <w:t>kV、10mA</w:t>
                  </w:r>
                </w:p>
              </w:tc>
              <w:tc>
                <w:tcPr>
                  <w:tcW w:w="495" w:type="pct"/>
                  <w:tcBorders>
                    <w:top w:val="single" w:color="auto" w:sz="4" w:space="0"/>
                    <w:left w:val="single" w:color="auto" w:sz="4" w:space="0"/>
                    <w:bottom w:val="single" w:color="auto" w:sz="4" w:space="0"/>
                    <w:right w:val="single" w:color="auto" w:sz="4" w:space="0"/>
                  </w:tcBorders>
                  <w:noWrap/>
                  <w:vAlign w:val="center"/>
                </w:tcPr>
                <w:p w14:paraId="794C0C51">
                  <w:pPr>
                    <w:widowControl/>
                    <w:spacing w:line="360" w:lineRule="exact"/>
                    <w:jc w:val="center"/>
                    <w:rPr>
                      <w:sz w:val="21"/>
                      <w:szCs w:val="21"/>
                      <w:lang w:bidi="ar"/>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4CAD1BB1">
                  <w:pPr>
                    <w:widowControl/>
                    <w:spacing w:line="360" w:lineRule="exact"/>
                    <w:jc w:val="center"/>
                    <w:rPr>
                      <w:rFonts w:hint="default" w:eastAsia="宋体"/>
                      <w:sz w:val="21"/>
                      <w:szCs w:val="21"/>
                      <w:lang w:val="en-US" w:eastAsia="zh-CN" w:bidi="ar"/>
                    </w:rPr>
                  </w:pPr>
                  <w:r>
                    <w:rPr>
                      <w:rFonts w:hint="eastAsia"/>
                      <w:sz w:val="21"/>
                      <w:szCs w:val="21"/>
                      <w:lang w:val="en-US" w:eastAsia="zh-CN" w:bidi="ar"/>
                    </w:rPr>
                    <w:t>口腔科口腔CT室</w:t>
                  </w:r>
                </w:p>
              </w:tc>
            </w:tr>
            <w:tr w14:paraId="79EEEBEB">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529CEBE6">
                  <w:pPr>
                    <w:widowControl/>
                    <w:spacing w:line="360" w:lineRule="exact"/>
                    <w:jc w:val="center"/>
                    <w:rPr>
                      <w:sz w:val="21"/>
                      <w:szCs w:val="21"/>
                    </w:rPr>
                  </w:pPr>
                  <w:r>
                    <w:rPr>
                      <w:sz w:val="21"/>
                      <w:szCs w:val="21"/>
                      <w:lang w:bidi="ar"/>
                    </w:rPr>
                    <w:t>13</w:t>
                  </w:r>
                </w:p>
              </w:tc>
              <w:tc>
                <w:tcPr>
                  <w:tcW w:w="1034" w:type="pct"/>
                  <w:tcBorders>
                    <w:top w:val="single" w:color="auto" w:sz="4" w:space="0"/>
                    <w:left w:val="single" w:color="auto" w:sz="4" w:space="0"/>
                    <w:bottom w:val="single" w:color="auto" w:sz="4" w:space="0"/>
                    <w:right w:val="single" w:color="auto" w:sz="4" w:space="0"/>
                  </w:tcBorders>
                  <w:vAlign w:val="center"/>
                </w:tcPr>
                <w:p w14:paraId="74F2D737">
                  <w:pPr>
                    <w:widowControl/>
                    <w:spacing w:line="360" w:lineRule="exact"/>
                    <w:jc w:val="center"/>
                    <w:rPr>
                      <w:rFonts w:hint="default" w:eastAsia="宋体"/>
                      <w:sz w:val="21"/>
                      <w:szCs w:val="21"/>
                      <w:lang w:val="en-US" w:eastAsia="zh-CN"/>
                    </w:rPr>
                  </w:pPr>
                  <w:r>
                    <w:rPr>
                      <w:rFonts w:hint="eastAsia"/>
                      <w:sz w:val="21"/>
                      <w:szCs w:val="21"/>
                      <w:lang w:val="en-US" w:eastAsia="zh-CN"/>
                    </w:rPr>
                    <w:t>牙科数码X射线机</w:t>
                  </w:r>
                </w:p>
              </w:tc>
              <w:tc>
                <w:tcPr>
                  <w:tcW w:w="686" w:type="pct"/>
                  <w:tcBorders>
                    <w:top w:val="single" w:color="auto" w:sz="4" w:space="0"/>
                    <w:left w:val="single" w:color="auto" w:sz="4" w:space="0"/>
                    <w:bottom w:val="single" w:color="auto" w:sz="4" w:space="0"/>
                    <w:right w:val="single" w:color="auto" w:sz="4" w:space="0"/>
                  </w:tcBorders>
                  <w:vAlign w:val="center"/>
                </w:tcPr>
                <w:p w14:paraId="684E8170">
                  <w:pPr>
                    <w:widowControl/>
                    <w:spacing w:line="360" w:lineRule="exact"/>
                    <w:jc w:val="center"/>
                    <w:rPr>
                      <w:rFonts w:hint="default" w:eastAsia="宋体"/>
                      <w:sz w:val="21"/>
                      <w:szCs w:val="21"/>
                      <w:lang w:val="en-US" w:eastAsia="zh-CN"/>
                    </w:rPr>
                  </w:pPr>
                  <w:r>
                    <w:rPr>
                      <w:rFonts w:hint="eastAsia"/>
                      <w:sz w:val="21"/>
                      <w:szCs w:val="21"/>
                      <w:lang w:val="en-US" w:eastAsia="zh-CN"/>
                    </w:rPr>
                    <w:t>RAY68（W）</w:t>
                  </w:r>
                </w:p>
              </w:tc>
              <w:tc>
                <w:tcPr>
                  <w:tcW w:w="295" w:type="pct"/>
                  <w:tcBorders>
                    <w:top w:val="single" w:color="auto" w:sz="4" w:space="0"/>
                    <w:left w:val="single" w:color="auto" w:sz="4" w:space="0"/>
                    <w:bottom w:val="single" w:color="auto" w:sz="4" w:space="0"/>
                    <w:right w:val="single" w:color="auto" w:sz="4" w:space="0"/>
                  </w:tcBorders>
                  <w:vAlign w:val="center"/>
                </w:tcPr>
                <w:p w14:paraId="200672F2">
                  <w:pPr>
                    <w:widowControl/>
                    <w:spacing w:line="360" w:lineRule="exact"/>
                    <w:jc w:val="center"/>
                    <w:rPr>
                      <w:sz w:val="21"/>
                      <w:szCs w:val="21"/>
                      <w:lang w:bidi="ar"/>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006C4A93">
                  <w:pPr>
                    <w:widowControl/>
                    <w:spacing w:line="360" w:lineRule="exact"/>
                    <w:jc w:val="center"/>
                    <w:rPr>
                      <w:spacing w:val="-11"/>
                      <w:sz w:val="21"/>
                      <w:szCs w:val="21"/>
                    </w:rPr>
                  </w:pPr>
                  <w:r>
                    <w:rPr>
                      <w:sz w:val="21"/>
                      <w:szCs w:val="21"/>
                      <w:lang w:bidi="ar"/>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5198CEA6">
                  <w:pPr>
                    <w:widowControl/>
                    <w:spacing w:line="360" w:lineRule="exact"/>
                    <w:jc w:val="center"/>
                    <w:rPr>
                      <w:sz w:val="21"/>
                      <w:szCs w:val="21"/>
                      <w:lang w:bidi="ar"/>
                    </w:rPr>
                  </w:pPr>
                  <w:r>
                    <w:rPr>
                      <w:rFonts w:hint="eastAsia"/>
                      <w:sz w:val="21"/>
                      <w:szCs w:val="21"/>
                      <w:lang w:val="en-US" w:eastAsia="zh-CN" w:bidi="ar"/>
                    </w:rPr>
                    <w:t>70</w:t>
                  </w:r>
                  <w:r>
                    <w:rPr>
                      <w:sz w:val="21"/>
                      <w:szCs w:val="21"/>
                      <w:lang w:bidi="ar"/>
                    </w:rPr>
                    <w:t>kV、</w:t>
                  </w:r>
                  <w:r>
                    <w:rPr>
                      <w:rFonts w:hint="eastAsia"/>
                      <w:sz w:val="21"/>
                      <w:szCs w:val="21"/>
                      <w:lang w:val="en-US" w:eastAsia="zh-CN" w:bidi="ar"/>
                    </w:rPr>
                    <w:t>7</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12820ED1">
                  <w:pPr>
                    <w:widowControl/>
                    <w:spacing w:line="360" w:lineRule="exact"/>
                    <w:jc w:val="center"/>
                    <w:rPr>
                      <w:sz w:val="21"/>
                      <w:szCs w:val="21"/>
                      <w:lang w:bidi="ar"/>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07E25B59">
                  <w:pPr>
                    <w:widowControl/>
                    <w:spacing w:line="360" w:lineRule="exact"/>
                    <w:jc w:val="center"/>
                    <w:rPr>
                      <w:rFonts w:hint="default" w:eastAsia="宋体"/>
                      <w:sz w:val="21"/>
                      <w:szCs w:val="21"/>
                      <w:lang w:val="en-US" w:eastAsia="zh-CN" w:bidi="ar"/>
                    </w:rPr>
                  </w:pPr>
                  <w:r>
                    <w:rPr>
                      <w:rFonts w:hint="eastAsia"/>
                      <w:sz w:val="21"/>
                      <w:szCs w:val="21"/>
                      <w:lang w:val="en-US" w:eastAsia="zh-CN" w:bidi="ar"/>
                    </w:rPr>
                    <w:t>口腔科牙片室</w:t>
                  </w:r>
                </w:p>
              </w:tc>
            </w:tr>
            <w:tr w14:paraId="507479DC">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0CB0B24E">
                  <w:pPr>
                    <w:widowControl/>
                    <w:spacing w:line="360" w:lineRule="exact"/>
                    <w:jc w:val="center"/>
                    <w:rPr>
                      <w:sz w:val="21"/>
                      <w:szCs w:val="21"/>
                    </w:rPr>
                  </w:pPr>
                  <w:r>
                    <w:rPr>
                      <w:sz w:val="21"/>
                      <w:szCs w:val="21"/>
                      <w:lang w:bidi="ar"/>
                    </w:rPr>
                    <w:t>14</w:t>
                  </w:r>
                </w:p>
              </w:tc>
              <w:tc>
                <w:tcPr>
                  <w:tcW w:w="1034" w:type="pct"/>
                  <w:tcBorders>
                    <w:top w:val="single" w:color="auto" w:sz="4" w:space="0"/>
                    <w:left w:val="single" w:color="auto" w:sz="4" w:space="0"/>
                    <w:bottom w:val="single" w:color="auto" w:sz="4" w:space="0"/>
                    <w:right w:val="single" w:color="auto" w:sz="4" w:space="0"/>
                  </w:tcBorders>
                  <w:vAlign w:val="center"/>
                </w:tcPr>
                <w:p w14:paraId="789F6D41">
                  <w:pPr>
                    <w:widowControl/>
                    <w:spacing w:line="360" w:lineRule="exact"/>
                    <w:jc w:val="center"/>
                    <w:rPr>
                      <w:rFonts w:hint="default" w:eastAsia="宋体"/>
                      <w:sz w:val="21"/>
                      <w:szCs w:val="21"/>
                      <w:lang w:val="en-US" w:eastAsia="zh-CN"/>
                    </w:rPr>
                  </w:pPr>
                  <w:r>
                    <w:rPr>
                      <w:rFonts w:hint="eastAsia"/>
                      <w:sz w:val="21"/>
                      <w:szCs w:val="21"/>
                      <w:lang w:val="en-US" w:eastAsia="zh-CN"/>
                    </w:rPr>
                    <w:t>移动式X射线机</w:t>
                  </w:r>
                </w:p>
              </w:tc>
              <w:tc>
                <w:tcPr>
                  <w:tcW w:w="686" w:type="pct"/>
                  <w:tcBorders>
                    <w:top w:val="single" w:color="auto" w:sz="4" w:space="0"/>
                    <w:left w:val="single" w:color="auto" w:sz="4" w:space="0"/>
                    <w:bottom w:val="single" w:color="auto" w:sz="4" w:space="0"/>
                    <w:right w:val="single" w:color="auto" w:sz="4" w:space="0"/>
                  </w:tcBorders>
                  <w:vAlign w:val="center"/>
                </w:tcPr>
                <w:p w14:paraId="06810123">
                  <w:pPr>
                    <w:widowControl/>
                    <w:spacing w:line="360" w:lineRule="exact"/>
                    <w:jc w:val="center"/>
                    <w:rPr>
                      <w:rFonts w:hint="default"/>
                      <w:lang w:val="en-US" w:eastAsia="zh-CN"/>
                    </w:rPr>
                  </w:pPr>
                  <w:r>
                    <w:rPr>
                      <w:rFonts w:hint="eastAsia"/>
                      <w:sz w:val="21"/>
                      <w:szCs w:val="21"/>
                      <w:lang w:val="en-US" w:eastAsia="zh-CN"/>
                    </w:rPr>
                    <w:t>Mobieye 700P</w:t>
                  </w:r>
                </w:p>
              </w:tc>
              <w:tc>
                <w:tcPr>
                  <w:tcW w:w="295" w:type="pct"/>
                  <w:tcBorders>
                    <w:top w:val="single" w:color="auto" w:sz="4" w:space="0"/>
                    <w:left w:val="single" w:color="auto" w:sz="4" w:space="0"/>
                    <w:bottom w:val="single" w:color="auto" w:sz="4" w:space="0"/>
                    <w:right w:val="single" w:color="auto" w:sz="4" w:space="0"/>
                  </w:tcBorders>
                  <w:vAlign w:val="center"/>
                </w:tcPr>
                <w:p w14:paraId="462691AC">
                  <w:pPr>
                    <w:widowControl/>
                    <w:spacing w:line="360" w:lineRule="exact"/>
                    <w:jc w:val="center"/>
                    <w:rPr>
                      <w:sz w:val="21"/>
                      <w:szCs w:val="21"/>
                      <w:lang w:bidi="ar"/>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495895DE">
                  <w:pPr>
                    <w:widowControl/>
                    <w:spacing w:line="360" w:lineRule="exact"/>
                    <w:jc w:val="center"/>
                    <w:rPr>
                      <w:spacing w:val="-11"/>
                      <w:sz w:val="21"/>
                      <w:szCs w:val="21"/>
                    </w:rPr>
                  </w:pPr>
                  <w:r>
                    <w:rPr>
                      <w:sz w:val="21"/>
                      <w:szCs w:val="21"/>
                      <w:lang w:bidi="ar"/>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4B5A8387">
                  <w:pPr>
                    <w:widowControl/>
                    <w:spacing w:line="360" w:lineRule="exact"/>
                    <w:jc w:val="center"/>
                    <w:rPr>
                      <w:sz w:val="21"/>
                      <w:szCs w:val="21"/>
                      <w:lang w:bidi="ar"/>
                    </w:rPr>
                  </w:pPr>
                  <w:r>
                    <w:rPr>
                      <w:sz w:val="21"/>
                      <w:szCs w:val="21"/>
                      <w:lang w:bidi="ar"/>
                    </w:rPr>
                    <w:t>1</w:t>
                  </w:r>
                  <w:r>
                    <w:rPr>
                      <w:rFonts w:hint="eastAsia"/>
                      <w:sz w:val="21"/>
                      <w:szCs w:val="21"/>
                      <w:lang w:val="en-US" w:eastAsia="zh-CN" w:bidi="ar"/>
                    </w:rPr>
                    <w:t>50</w:t>
                  </w:r>
                  <w:r>
                    <w:rPr>
                      <w:sz w:val="21"/>
                      <w:szCs w:val="21"/>
                      <w:lang w:bidi="ar"/>
                    </w:rPr>
                    <w:t>kV、</w:t>
                  </w:r>
                  <w:r>
                    <w:rPr>
                      <w:rFonts w:hint="eastAsia"/>
                      <w:sz w:val="21"/>
                      <w:szCs w:val="21"/>
                      <w:lang w:val="en-US" w:eastAsia="zh-CN" w:bidi="ar"/>
                    </w:rPr>
                    <w:t>640</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352DDC0B">
                  <w:pPr>
                    <w:widowControl/>
                    <w:spacing w:line="360" w:lineRule="exact"/>
                    <w:jc w:val="center"/>
                    <w:rPr>
                      <w:sz w:val="21"/>
                      <w:szCs w:val="21"/>
                      <w:lang w:bidi="ar"/>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2DD36C78">
                  <w:pPr>
                    <w:widowControl/>
                    <w:spacing w:line="360" w:lineRule="exact"/>
                    <w:jc w:val="center"/>
                    <w:rPr>
                      <w:rFonts w:hint="default" w:eastAsia="宋体"/>
                      <w:sz w:val="21"/>
                      <w:szCs w:val="21"/>
                      <w:lang w:val="en-US" w:eastAsia="zh-CN" w:bidi="ar"/>
                    </w:rPr>
                  </w:pPr>
                  <w:r>
                    <w:rPr>
                      <w:rFonts w:hint="eastAsia"/>
                      <w:sz w:val="21"/>
                      <w:szCs w:val="21"/>
                      <w:lang w:val="en-US" w:eastAsia="zh-CN" w:bidi="ar"/>
                    </w:rPr>
                    <w:t>临床科室床旁使用</w:t>
                  </w:r>
                </w:p>
              </w:tc>
            </w:tr>
            <w:tr w14:paraId="564389AE">
              <w:tblPrEx>
                <w:tblCellMar>
                  <w:top w:w="0" w:type="dxa"/>
                  <w:left w:w="108" w:type="dxa"/>
                  <w:bottom w:w="0" w:type="dxa"/>
                  <w:right w:w="108" w:type="dxa"/>
                </w:tblCellMar>
              </w:tblPrEx>
              <w:trPr>
                <w:trHeight w:val="23" w:hRule="atLeast"/>
              </w:trPr>
              <w:tc>
                <w:tcPr>
                  <w:tcW w:w="245" w:type="pct"/>
                  <w:tcBorders>
                    <w:top w:val="single" w:color="auto" w:sz="4" w:space="0"/>
                    <w:bottom w:val="single" w:color="auto" w:sz="4" w:space="0"/>
                    <w:right w:val="single" w:color="auto" w:sz="4" w:space="0"/>
                  </w:tcBorders>
                  <w:noWrap/>
                  <w:vAlign w:val="center"/>
                </w:tcPr>
                <w:p w14:paraId="5CF5B961">
                  <w:pPr>
                    <w:widowControl/>
                    <w:spacing w:line="360" w:lineRule="exact"/>
                    <w:jc w:val="center"/>
                    <w:rPr>
                      <w:sz w:val="21"/>
                      <w:szCs w:val="21"/>
                    </w:rPr>
                  </w:pPr>
                  <w:r>
                    <w:rPr>
                      <w:sz w:val="21"/>
                      <w:szCs w:val="21"/>
                      <w:lang w:bidi="ar"/>
                    </w:rPr>
                    <w:t>15</w:t>
                  </w:r>
                </w:p>
              </w:tc>
              <w:tc>
                <w:tcPr>
                  <w:tcW w:w="1034" w:type="pct"/>
                  <w:tcBorders>
                    <w:top w:val="single" w:color="auto" w:sz="4" w:space="0"/>
                    <w:left w:val="single" w:color="auto" w:sz="4" w:space="0"/>
                    <w:bottom w:val="single" w:color="auto" w:sz="4" w:space="0"/>
                    <w:right w:val="single" w:color="auto" w:sz="4" w:space="0"/>
                  </w:tcBorders>
                  <w:vAlign w:val="center"/>
                </w:tcPr>
                <w:p w14:paraId="13194AE1">
                  <w:pPr>
                    <w:widowControl/>
                    <w:spacing w:line="360" w:lineRule="exact"/>
                    <w:jc w:val="center"/>
                    <w:rPr>
                      <w:rFonts w:hint="default" w:eastAsia="宋体"/>
                      <w:sz w:val="21"/>
                      <w:szCs w:val="21"/>
                      <w:lang w:val="en-US" w:eastAsia="zh-CN"/>
                    </w:rPr>
                  </w:pPr>
                  <w:r>
                    <w:rPr>
                      <w:rFonts w:hint="eastAsia"/>
                      <w:sz w:val="21"/>
                      <w:szCs w:val="21"/>
                      <w:lang w:val="en-US" w:eastAsia="zh-CN"/>
                    </w:rPr>
                    <w:t>体检中心CT机</w:t>
                  </w:r>
                </w:p>
              </w:tc>
              <w:tc>
                <w:tcPr>
                  <w:tcW w:w="686" w:type="pct"/>
                  <w:tcBorders>
                    <w:top w:val="single" w:color="auto" w:sz="4" w:space="0"/>
                    <w:left w:val="single" w:color="auto" w:sz="4" w:space="0"/>
                    <w:bottom w:val="single" w:color="auto" w:sz="4" w:space="0"/>
                    <w:right w:val="single" w:color="auto" w:sz="4" w:space="0"/>
                  </w:tcBorders>
                  <w:vAlign w:val="center"/>
                </w:tcPr>
                <w:p w14:paraId="7F6F605E">
                  <w:pPr>
                    <w:widowControl/>
                    <w:spacing w:line="360" w:lineRule="exact"/>
                    <w:jc w:val="center"/>
                    <w:rPr>
                      <w:rFonts w:hint="default"/>
                      <w:lang w:val="en-US" w:eastAsia="zh-CN"/>
                    </w:rPr>
                  </w:pPr>
                  <w:r>
                    <w:rPr>
                      <w:rFonts w:hint="eastAsia"/>
                      <w:sz w:val="21"/>
                      <w:szCs w:val="21"/>
                      <w:lang w:val="en-US" w:eastAsia="zh-CN"/>
                    </w:rPr>
                    <w:t>SOMATOM go all</w:t>
                  </w:r>
                </w:p>
              </w:tc>
              <w:tc>
                <w:tcPr>
                  <w:tcW w:w="295" w:type="pct"/>
                  <w:tcBorders>
                    <w:top w:val="single" w:color="auto" w:sz="4" w:space="0"/>
                    <w:left w:val="single" w:color="auto" w:sz="4" w:space="0"/>
                    <w:bottom w:val="single" w:color="auto" w:sz="4" w:space="0"/>
                    <w:right w:val="single" w:color="auto" w:sz="4" w:space="0"/>
                  </w:tcBorders>
                  <w:vAlign w:val="center"/>
                </w:tcPr>
                <w:p w14:paraId="138B8F95">
                  <w:pPr>
                    <w:widowControl/>
                    <w:spacing w:line="360" w:lineRule="exact"/>
                    <w:jc w:val="center"/>
                    <w:rPr>
                      <w:sz w:val="21"/>
                      <w:szCs w:val="21"/>
                      <w:lang w:bidi="ar"/>
                    </w:rPr>
                  </w:pPr>
                  <w:r>
                    <w:rPr>
                      <w:sz w:val="21"/>
                      <w:szCs w:val="21"/>
                      <w:lang w:bidi="ar"/>
                    </w:rPr>
                    <w:t>Ⅲ类</w:t>
                  </w:r>
                </w:p>
              </w:tc>
              <w:tc>
                <w:tcPr>
                  <w:tcW w:w="430" w:type="pct"/>
                  <w:tcBorders>
                    <w:top w:val="single" w:color="auto" w:sz="4" w:space="0"/>
                    <w:left w:val="single" w:color="auto" w:sz="4" w:space="0"/>
                    <w:bottom w:val="single" w:color="auto" w:sz="4" w:space="0"/>
                    <w:right w:val="single" w:color="auto" w:sz="4" w:space="0"/>
                  </w:tcBorders>
                  <w:noWrap/>
                  <w:vAlign w:val="center"/>
                </w:tcPr>
                <w:p w14:paraId="715C1633">
                  <w:pPr>
                    <w:widowControl/>
                    <w:spacing w:line="360" w:lineRule="exact"/>
                    <w:jc w:val="center"/>
                    <w:rPr>
                      <w:spacing w:val="-11"/>
                      <w:sz w:val="21"/>
                      <w:szCs w:val="21"/>
                    </w:rPr>
                  </w:pPr>
                  <w:r>
                    <w:rPr>
                      <w:sz w:val="21"/>
                      <w:szCs w:val="21"/>
                      <w:lang w:bidi="ar"/>
                    </w:rPr>
                    <w:t>1</w:t>
                  </w:r>
                </w:p>
              </w:tc>
              <w:tc>
                <w:tcPr>
                  <w:tcW w:w="735" w:type="pct"/>
                  <w:tcBorders>
                    <w:top w:val="single" w:color="auto" w:sz="4" w:space="0"/>
                    <w:left w:val="single" w:color="auto" w:sz="4" w:space="0"/>
                    <w:bottom w:val="single" w:color="auto" w:sz="4" w:space="0"/>
                    <w:right w:val="single" w:color="auto" w:sz="4" w:space="0"/>
                  </w:tcBorders>
                  <w:noWrap/>
                  <w:vAlign w:val="center"/>
                </w:tcPr>
                <w:p w14:paraId="0D8DAA8E">
                  <w:pPr>
                    <w:widowControl/>
                    <w:spacing w:line="360" w:lineRule="exact"/>
                    <w:jc w:val="center"/>
                    <w:rPr>
                      <w:sz w:val="21"/>
                      <w:szCs w:val="21"/>
                      <w:lang w:bidi="ar"/>
                    </w:rPr>
                  </w:pPr>
                  <w:r>
                    <w:rPr>
                      <w:sz w:val="21"/>
                      <w:szCs w:val="21"/>
                      <w:lang w:bidi="ar"/>
                    </w:rPr>
                    <w:t>1</w:t>
                  </w:r>
                  <w:r>
                    <w:rPr>
                      <w:rFonts w:hint="eastAsia"/>
                      <w:sz w:val="21"/>
                      <w:szCs w:val="21"/>
                      <w:lang w:val="en-US" w:eastAsia="zh-CN" w:bidi="ar"/>
                    </w:rPr>
                    <w:t>40</w:t>
                  </w:r>
                  <w:r>
                    <w:rPr>
                      <w:sz w:val="21"/>
                      <w:szCs w:val="21"/>
                      <w:lang w:bidi="ar"/>
                    </w:rPr>
                    <w:t>kV、</w:t>
                  </w:r>
                  <w:r>
                    <w:rPr>
                      <w:rFonts w:hint="eastAsia"/>
                      <w:sz w:val="21"/>
                      <w:szCs w:val="21"/>
                      <w:lang w:val="en-US" w:eastAsia="zh-CN" w:bidi="ar"/>
                    </w:rPr>
                    <w:t>625</w:t>
                  </w:r>
                  <w:r>
                    <w:rPr>
                      <w:sz w:val="21"/>
                      <w:szCs w:val="21"/>
                      <w:lang w:bidi="ar"/>
                    </w:rPr>
                    <w:t>mA</w:t>
                  </w:r>
                </w:p>
              </w:tc>
              <w:tc>
                <w:tcPr>
                  <w:tcW w:w="495" w:type="pct"/>
                  <w:tcBorders>
                    <w:top w:val="single" w:color="auto" w:sz="4" w:space="0"/>
                    <w:left w:val="single" w:color="auto" w:sz="4" w:space="0"/>
                    <w:bottom w:val="single" w:color="auto" w:sz="4" w:space="0"/>
                    <w:right w:val="single" w:color="auto" w:sz="4" w:space="0"/>
                  </w:tcBorders>
                  <w:noWrap/>
                  <w:vAlign w:val="center"/>
                </w:tcPr>
                <w:p w14:paraId="7284EE41">
                  <w:pPr>
                    <w:widowControl/>
                    <w:spacing w:line="360" w:lineRule="exact"/>
                    <w:jc w:val="center"/>
                    <w:rPr>
                      <w:sz w:val="21"/>
                      <w:szCs w:val="21"/>
                      <w:lang w:bidi="ar"/>
                    </w:rPr>
                  </w:pPr>
                  <w:r>
                    <w:rPr>
                      <w:sz w:val="21"/>
                      <w:szCs w:val="21"/>
                      <w:lang w:bidi="ar"/>
                    </w:rPr>
                    <w:t>使用</w:t>
                  </w:r>
                </w:p>
              </w:tc>
              <w:tc>
                <w:tcPr>
                  <w:tcW w:w="1078" w:type="pct"/>
                  <w:tcBorders>
                    <w:top w:val="single" w:color="auto" w:sz="4" w:space="0"/>
                    <w:left w:val="single" w:color="auto" w:sz="4" w:space="0"/>
                    <w:bottom w:val="single" w:color="auto" w:sz="4" w:space="0"/>
                  </w:tcBorders>
                  <w:vAlign w:val="center"/>
                </w:tcPr>
                <w:p w14:paraId="71AE07C9">
                  <w:pPr>
                    <w:widowControl/>
                    <w:spacing w:line="360" w:lineRule="exact"/>
                    <w:jc w:val="center"/>
                    <w:rPr>
                      <w:rFonts w:hint="default" w:eastAsia="宋体"/>
                      <w:sz w:val="21"/>
                      <w:szCs w:val="21"/>
                      <w:lang w:val="en-US" w:eastAsia="zh-CN" w:bidi="ar"/>
                    </w:rPr>
                  </w:pPr>
                  <w:r>
                    <w:rPr>
                      <w:rFonts w:hint="eastAsia"/>
                      <w:sz w:val="21"/>
                      <w:szCs w:val="21"/>
                      <w:lang w:val="en-US" w:eastAsia="zh-CN" w:bidi="ar"/>
                    </w:rPr>
                    <w:t>体检中心CT检查室</w:t>
                  </w:r>
                </w:p>
              </w:tc>
            </w:tr>
          </w:tbl>
          <w:p w14:paraId="7DF3A06F"/>
        </w:tc>
      </w:tr>
    </w:tbl>
    <w:p w14:paraId="6F22F3E4">
      <w:pPr>
        <w:tabs>
          <w:tab w:val="left" w:pos="1044"/>
        </w:tabs>
        <w:sectPr>
          <w:pgSz w:w="16838" w:h="11906" w:orient="landscape"/>
          <w:pgMar w:top="1588" w:right="1418" w:bottom="1588" w:left="1418" w:header="851" w:footer="992" w:gutter="0"/>
          <w:pgBorders>
            <w:top w:val="none" w:sz="0" w:space="0"/>
            <w:left w:val="none" w:sz="0" w:space="0"/>
            <w:bottom w:val="none" w:sz="0" w:space="0"/>
            <w:right w:val="none" w:sz="0" w:space="0"/>
          </w:pgBorders>
          <w:cols w:space="425" w:num="1"/>
          <w:docGrid w:linePitch="360" w:charSpace="0"/>
        </w:sectPr>
      </w:pPr>
      <w:r>
        <w:tab/>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5BBA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3" w:type="dxa"/>
            <w:vAlign w:val="center"/>
          </w:tcPr>
          <w:p w14:paraId="2AF35C4E">
            <w:pPr>
              <w:ind w:firstLine="482"/>
              <w:jc w:val="left"/>
              <w:rPr>
                <w:b/>
                <w:highlight w:val="none"/>
              </w:rPr>
            </w:pPr>
            <w:r>
              <w:rPr>
                <w:b/>
                <w:highlight w:val="none"/>
              </w:rPr>
              <w:t>（二）医院辐射安全管理现状</w:t>
            </w:r>
          </w:p>
          <w:p w14:paraId="5528D428">
            <w:pPr>
              <w:ind w:firstLine="482"/>
              <w:rPr>
                <w:b/>
                <w:bCs/>
                <w:highlight w:val="none"/>
              </w:rPr>
            </w:pPr>
            <w:r>
              <w:rPr>
                <w:b/>
                <w:bCs/>
                <w:highlight w:val="none"/>
              </w:rPr>
              <w:t>1、辐射安全管理机构及规章制度</w:t>
            </w:r>
          </w:p>
          <w:p w14:paraId="1A5FE8BC">
            <w:pPr>
              <w:ind w:firstLine="480"/>
            </w:pPr>
            <w:r>
              <w:rPr>
                <w:highlight w:val="none"/>
              </w:rPr>
              <w:t>医院于202</w:t>
            </w:r>
            <w:r>
              <w:rPr>
                <w:rFonts w:hint="eastAsia"/>
                <w:highlight w:val="none"/>
                <w:lang w:val="en-US" w:eastAsia="zh-CN"/>
              </w:rPr>
              <w:t>6</w:t>
            </w:r>
            <w:r>
              <w:rPr>
                <w:highlight w:val="none"/>
              </w:rPr>
              <w:t>年</w:t>
            </w:r>
            <w:r>
              <w:rPr>
                <w:rFonts w:hint="eastAsia"/>
                <w:highlight w:val="none"/>
                <w:lang w:val="en-US" w:eastAsia="zh-CN"/>
              </w:rPr>
              <w:t>3</w:t>
            </w:r>
            <w:r>
              <w:rPr>
                <w:highlight w:val="none"/>
              </w:rPr>
              <w:t>月调整了放射防护与辐射安全领导小组（附件</w:t>
            </w:r>
            <w:r>
              <w:rPr>
                <w:rFonts w:hint="eastAsia"/>
                <w:highlight w:val="none"/>
              </w:rPr>
              <w:t>4</w:t>
            </w:r>
            <w:r>
              <w:rPr>
                <w:highlight w:val="none"/>
              </w:rPr>
              <w:t>），</w:t>
            </w:r>
            <w:r>
              <w:t>负责医院辐射安全与环境保护管理工作。医院制定了相关辐射安全管理制度，主要包括辐射安全管理规定、辐射工作人员岗位职责、辐射安全和防护设施维护维修制度、操作规程、放射性“三废”管理规定、辐射工作场所监测制度、监测仪表使用与校验管理制度、辐射工作人员培训制度、辐射工作人员个人剂量管理制度、</w:t>
            </w:r>
            <w:r>
              <w:rPr>
                <w:lang w:bidi="ar"/>
              </w:rPr>
              <w:t>辐射事故应急预案</w:t>
            </w:r>
            <w:r>
              <w:t>等多个管理制度。</w:t>
            </w:r>
          </w:p>
          <w:p w14:paraId="6C7044D8">
            <w:pPr>
              <w:ind w:firstLine="480"/>
            </w:pPr>
            <w:r>
              <w:t>医院辐射安全管理制度的内容符合生态环境部（国家核安全局）《核技术利用监督检查技术程序》（2020年发布版）和</w:t>
            </w:r>
            <w:r>
              <w:rPr>
                <w:rFonts w:hint="default" w:ascii="Times New Roman" w:hAnsi="Times New Roman" w:eastAsia="宋体" w:cs="Times New Roman"/>
                <w:color w:val="auto"/>
                <w:sz w:val="24"/>
                <w:highlight w:val="none"/>
                <w:lang w:val="en-US" w:eastAsia="zh-CN"/>
              </w:rPr>
              <w:t>《关于印发&lt;</w:t>
            </w:r>
            <w:r>
              <w:rPr>
                <w:rFonts w:hint="eastAsia" w:ascii="Times New Roman" w:hAnsi="Times New Roman" w:eastAsia="宋体" w:cs="Times New Roman"/>
                <w:color w:val="auto"/>
                <w:sz w:val="24"/>
                <w:highlight w:val="none"/>
                <w:lang w:val="en-US" w:eastAsia="zh-CN"/>
              </w:rPr>
              <w:t>四川省核技术利用单位辐射安全工作指引（2025年版）</w:t>
            </w:r>
            <w:r>
              <w:rPr>
                <w:rFonts w:hint="default" w:ascii="Times New Roman" w:hAnsi="Times New Roman" w:eastAsia="宋体" w:cs="Times New Roman"/>
                <w:color w:val="auto"/>
                <w:sz w:val="24"/>
                <w:highlight w:val="none"/>
                <w:lang w:val="en-US" w:eastAsia="zh-CN"/>
              </w:rPr>
              <w:t>&gt;的通知》（</w:t>
            </w:r>
            <w:r>
              <w:rPr>
                <w:rFonts w:hint="eastAsia" w:ascii="Times New Roman" w:hAnsi="Times New Roman" w:eastAsia="宋体" w:cs="Times New Roman"/>
                <w:color w:val="auto"/>
                <w:sz w:val="24"/>
                <w:highlight w:val="none"/>
                <w:lang w:val="en-US" w:eastAsia="zh-CN"/>
              </w:rPr>
              <w:t>川环函〔2025〕616号</w:t>
            </w:r>
            <w:r>
              <w:rPr>
                <w:rFonts w:hint="default" w:ascii="Times New Roman" w:hAnsi="Times New Roman" w:eastAsia="宋体" w:cs="Times New Roman"/>
                <w:color w:val="auto"/>
                <w:sz w:val="24"/>
                <w:highlight w:val="none"/>
                <w:lang w:val="en-US" w:eastAsia="zh-CN"/>
              </w:rPr>
              <w:t>）</w:t>
            </w:r>
            <w:r>
              <w:t>中的要求。</w:t>
            </w:r>
          </w:p>
          <w:p w14:paraId="2A0DF66D">
            <w:pPr>
              <w:ind w:firstLine="482"/>
              <w:jc w:val="left"/>
              <w:rPr>
                <w:b/>
                <w:bCs/>
              </w:rPr>
            </w:pPr>
            <w:r>
              <w:rPr>
                <w:b/>
                <w:bCs/>
              </w:rPr>
              <w:t>2、年度评估报告</w:t>
            </w:r>
          </w:p>
          <w:p w14:paraId="74B3730F">
            <w:pPr>
              <w:ind w:firstLine="480"/>
              <w:rPr>
                <w:bCs/>
              </w:rPr>
            </w:pPr>
            <w:r>
              <w:rPr>
                <w:bCs/>
              </w:rPr>
              <w:t>医院</w:t>
            </w:r>
            <w:r>
              <w:t>编制了</w:t>
            </w:r>
            <w:r>
              <w:rPr>
                <w:highlight w:val="none"/>
              </w:rPr>
              <w:t>《四川省核技术利用单位放射性同位素与射线装置安全和防护状况年度评估报告（202</w:t>
            </w:r>
            <w:r>
              <w:rPr>
                <w:rFonts w:hint="eastAsia"/>
                <w:highlight w:val="none"/>
                <w:lang w:val="en-US" w:eastAsia="zh-CN"/>
              </w:rPr>
              <w:t>5</w:t>
            </w:r>
            <w:r>
              <w:rPr>
                <w:highlight w:val="none"/>
              </w:rPr>
              <w:t>年度）》，</w:t>
            </w:r>
            <w:r>
              <w:t>202</w:t>
            </w:r>
            <w:r>
              <w:rPr>
                <w:rFonts w:hint="eastAsia"/>
                <w:lang w:val="en-US" w:eastAsia="zh-CN"/>
              </w:rPr>
              <w:t>5</w:t>
            </w:r>
            <w:r>
              <w:t>年度医院辐射安全管理情况如下</w:t>
            </w:r>
            <w:r>
              <w:rPr>
                <w:bCs/>
              </w:rPr>
              <w:t>：</w:t>
            </w:r>
          </w:p>
          <w:p w14:paraId="235200E2">
            <w:pPr>
              <w:ind w:firstLine="480"/>
              <w:rPr>
                <w:bCs/>
              </w:rPr>
            </w:pPr>
            <w:r>
              <w:rPr>
                <w:bCs/>
              </w:rPr>
              <w:t>（1）</w:t>
            </w:r>
            <w:r>
              <w:rPr>
                <w:szCs w:val="22"/>
              </w:rPr>
              <w:t>单位名称、地址、法人代表未发生变动</w:t>
            </w:r>
            <w:r>
              <w:rPr>
                <w:bCs/>
              </w:rPr>
              <w:t>。</w:t>
            </w:r>
          </w:p>
          <w:p w14:paraId="1BF8B073">
            <w:pPr>
              <w:ind w:firstLine="456"/>
              <w:rPr>
                <w:bCs/>
                <w:spacing w:val="-6"/>
              </w:rPr>
            </w:pPr>
            <w:r>
              <w:rPr>
                <w:bCs/>
                <w:spacing w:val="-6"/>
              </w:rPr>
              <w:t>（2）辐射安全许可证所规定的活动种类和范围</w:t>
            </w:r>
            <w:r>
              <w:rPr>
                <w:rFonts w:hint="eastAsia"/>
                <w:bCs/>
                <w:spacing w:val="-6"/>
                <w:lang w:val="en-US" w:eastAsia="zh-CN"/>
              </w:rPr>
              <w:t>未</w:t>
            </w:r>
            <w:r>
              <w:rPr>
                <w:bCs/>
                <w:spacing w:val="-6"/>
              </w:rPr>
              <w:t>发生改变。</w:t>
            </w:r>
          </w:p>
          <w:p w14:paraId="2E95F728">
            <w:pPr>
              <w:ind w:firstLine="480"/>
              <w:rPr>
                <w:bCs/>
              </w:rPr>
            </w:pPr>
            <w:r>
              <w:rPr>
                <w:bCs/>
              </w:rPr>
              <w:t>（3）</w:t>
            </w:r>
            <w:r>
              <w:rPr>
                <w:lang w:bidi="ar"/>
              </w:rPr>
              <w:t>辐射安全和防护设施</w:t>
            </w:r>
            <w:r>
              <w:rPr>
                <w:bCs/>
              </w:rPr>
              <w:t>运行、辐射安全和防护制度及措施的建立和落实、辐射应急处理措施、档案管</w:t>
            </w:r>
            <w:r>
              <w:rPr>
                <w:rFonts w:hint="eastAsia"/>
                <w:bCs/>
                <w:lang w:eastAsia="zh-CN"/>
              </w:rPr>
              <w:t>理等</w:t>
            </w:r>
            <w:r>
              <w:rPr>
                <w:bCs/>
              </w:rPr>
              <w:t>方面均满足相应规定要求。</w:t>
            </w:r>
          </w:p>
          <w:p w14:paraId="4A378908">
            <w:pPr>
              <w:ind w:firstLine="480"/>
              <w:rPr>
                <w:bCs/>
              </w:rPr>
            </w:pPr>
            <w:r>
              <w:rPr>
                <w:bCs/>
              </w:rPr>
              <w:t>（4）</w:t>
            </w:r>
            <w:r>
              <w:rPr>
                <w:szCs w:val="22"/>
              </w:rPr>
              <w:t>个人剂量档案和职业健康档案齐全。</w:t>
            </w:r>
          </w:p>
          <w:p w14:paraId="4F90C708">
            <w:pPr>
              <w:ind w:firstLine="480"/>
            </w:pPr>
            <w:r>
              <w:rPr>
                <w:bCs/>
              </w:rPr>
              <w:t>（5）</w:t>
            </w:r>
            <w:r>
              <w:t>现有放射性同位素与射线装置与</w:t>
            </w:r>
            <w:r>
              <w:rPr>
                <w:szCs w:val="22"/>
              </w:rPr>
              <w:t>辐射安全许可证台账明细一致。</w:t>
            </w:r>
          </w:p>
          <w:p w14:paraId="0030508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bCs/>
              </w:rPr>
            </w:pPr>
            <w:r>
              <w:rPr>
                <w:bCs/>
              </w:rPr>
              <w:t>（6）</w:t>
            </w:r>
            <w:r>
              <w:rPr>
                <w:rFonts w:hint="eastAsia"/>
                <w:bCs/>
                <w:lang w:val="en-US" w:eastAsia="zh-CN"/>
              </w:rPr>
              <w:t>未</w:t>
            </w:r>
            <w:r>
              <w:rPr>
                <w:bCs/>
              </w:rPr>
              <w:t>新增、改建、扩建辐射场所</w:t>
            </w:r>
            <w:r>
              <w:rPr>
                <w:rFonts w:hint="eastAsia" w:ascii="Times New Roman" w:hAnsi="Times New Roman" w:eastAsia="宋体" w:cs="Times New Roman"/>
                <w:color w:val="auto"/>
                <w:sz w:val="24"/>
                <w:lang w:val="en-US" w:eastAsia="zh-CN"/>
              </w:rPr>
              <w:t>。</w:t>
            </w:r>
          </w:p>
          <w:p w14:paraId="04AABF57">
            <w:pPr>
              <w:tabs>
                <w:tab w:val="left" w:pos="3973"/>
              </w:tabs>
              <w:ind w:firstLine="480"/>
            </w:pPr>
            <w:r>
              <w:rPr>
                <w:lang w:bidi="ar"/>
              </w:rPr>
              <w:t>（</w:t>
            </w:r>
            <w:r>
              <w:rPr>
                <w:rFonts w:hint="eastAsia"/>
                <w:lang w:val="en-US" w:eastAsia="zh-CN" w:bidi="ar"/>
              </w:rPr>
              <w:t>7</w:t>
            </w:r>
            <w:r>
              <w:rPr>
                <w:lang w:bidi="ar"/>
              </w:rPr>
              <w:t>）委托有资质单位开展了辐射工作场所的辐射环境监测和对辐射工作人员的个人剂量，结果表明均满足国家标准要求。</w:t>
            </w:r>
          </w:p>
          <w:p w14:paraId="257B2541">
            <w:pPr>
              <w:tabs>
                <w:tab w:val="left" w:pos="3973"/>
              </w:tabs>
              <w:ind w:firstLine="480"/>
            </w:pPr>
            <w:r>
              <w:rPr>
                <w:lang w:bidi="ar"/>
              </w:rPr>
              <w:t>（</w:t>
            </w:r>
            <w:r>
              <w:rPr>
                <w:rFonts w:hint="eastAsia"/>
                <w:lang w:val="en-US" w:eastAsia="zh-CN" w:bidi="ar"/>
              </w:rPr>
              <w:t>8</w:t>
            </w:r>
            <w:r>
              <w:rPr>
                <w:lang w:bidi="ar"/>
              </w:rPr>
              <w:t>）本年度我院对环保部门现场检查提出的整改要求进行了整改落实，在年度评估中对发现的安全隐患及时进行了整改。</w:t>
            </w:r>
          </w:p>
          <w:p w14:paraId="0050EE62">
            <w:pPr>
              <w:ind w:firstLine="480"/>
            </w:pPr>
            <w:r>
              <w:rPr>
                <w:bCs/>
              </w:rPr>
              <w:t>（</w:t>
            </w:r>
            <w:r>
              <w:rPr>
                <w:rFonts w:hint="eastAsia"/>
                <w:bCs/>
                <w:lang w:val="en-US" w:eastAsia="zh-CN"/>
              </w:rPr>
              <w:t>9</w:t>
            </w:r>
            <w:r>
              <w:rPr>
                <w:bCs/>
              </w:rPr>
              <w:t>）自从事辐射诊疗以来，医院严格按照国家法律法规进行管理，未发生过辐射安全事故。</w:t>
            </w:r>
          </w:p>
          <w:p w14:paraId="3BD5C8D2">
            <w:pPr>
              <w:ind w:firstLine="482"/>
              <w:rPr>
                <w:b/>
                <w:bCs/>
              </w:rPr>
            </w:pPr>
            <w:r>
              <w:rPr>
                <w:b/>
                <w:bCs/>
              </w:rPr>
              <w:t>3、辐射安全与防护考核情况</w:t>
            </w:r>
          </w:p>
          <w:p w14:paraId="1385E201">
            <w:pPr>
              <w:ind w:firstLine="480"/>
            </w:pPr>
            <w:r>
              <w:rPr>
                <w:bCs/>
              </w:rPr>
              <w:t>目前，医院共有</w:t>
            </w:r>
            <w:r>
              <w:rPr>
                <w:rFonts w:hint="eastAsia"/>
                <w:bCs/>
                <w:lang w:val="en-US" w:eastAsia="zh-CN"/>
              </w:rPr>
              <w:t>82</w:t>
            </w:r>
            <w:r>
              <w:rPr>
                <w:bCs/>
              </w:rPr>
              <w:t>名辐射工作人员。</w:t>
            </w:r>
            <w:r>
              <w:t>根据《关于核技术利用辐射安全与防护培训和考核有关事项的公告》（生态环境部，公告2019年第57号）和《关于进一步优化辐射安全考核的公告》（生态环境部公告2021年第9号），医院仅从事Ⅲ类射线装置使用活动的辐射工作人员已参加院内辐射安全防护知识考核；其他辐射工作人员已参加辐射安全与防护的学习和考核并取得成绩报告单。</w:t>
            </w:r>
          </w:p>
          <w:p w14:paraId="123C0DB1">
            <w:pPr>
              <w:ind w:firstLine="482"/>
              <w:rPr>
                <w:b/>
                <w:bCs/>
              </w:rPr>
            </w:pPr>
            <w:r>
              <w:rPr>
                <w:b/>
                <w:bCs/>
              </w:rPr>
              <w:t>4、辐射工作人员个人剂量情况</w:t>
            </w:r>
          </w:p>
          <w:p w14:paraId="24E60429">
            <w:pPr>
              <w:ind w:left="82" w:firstLine="475"/>
              <w:rPr>
                <w:highlight w:val="none"/>
              </w:rPr>
            </w:pPr>
            <w:r>
              <w:t>医院为所有</w:t>
            </w:r>
            <w:r>
              <w:rPr>
                <w:highlight w:val="none"/>
              </w:rPr>
              <w:t>辐射工作人员配备了个人剂量计，委托四川蓝瑞鑫卫生检测技术服务有限公司对辐射工作人员的个人剂量进行监测。根据医院提供的202</w:t>
            </w:r>
            <w:r>
              <w:rPr>
                <w:rFonts w:hint="eastAsia"/>
                <w:highlight w:val="none"/>
                <w:lang w:val="en-US" w:eastAsia="zh-CN"/>
              </w:rPr>
              <w:t>5</w:t>
            </w:r>
            <w:r>
              <w:rPr>
                <w:highlight w:val="none"/>
              </w:rPr>
              <w:t>年1、2、3</w:t>
            </w:r>
            <w:r>
              <w:rPr>
                <w:rFonts w:hint="eastAsia"/>
                <w:highlight w:val="none"/>
                <w:lang w:eastAsia="zh-CN"/>
              </w:rPr>
              <w:t>、</w:t>
            </w:r>
            <w:r>
              <w:rPr>
                <w:rFonts w:hint="eastAsia"/>
                <w:highlight w:val="none"/>
                <w:lang w:val="en-US" w:eastAsia="zh-CN"/>
              </w:rPr>
              <w:t>4</w:t>
            </w:r>
            <w:r>
              <w:rPr>
                <w:highlight w:val="none"/>
              </w:rPr>
              <w:t>季度全院辐射工作人员的个人剂量检测报告，均低于职业人员5mSv/年的约束限值，低于1.25mSv/季度的约束限值。</w:t>
            </w:r>
          </w:p>
          <w:p w14:paraId="07E60CC2">
            <w:pPr>
              <w:ind w:firstLine="482"/>
              <w:rPr>
                <w:highlight w:val="none"/>
              </w:rPr>
            </w:pPr>
            <w:r>
              <w:rPr>
                <w:b/>
                <w:bCs/>
                <w:highlight w:val="none"/>
              </w:rPr>
              <w:t>5、年度监测情况</w:t>
            </w:r>
          </w:p>
          <w:p w14:paraId="1F842088">
            <w:pPr>
              <w:ind w:left="82" w:firstLine="475"/>
              <w:rPr>
                <w:highlight w:val="none"/>
                <w:lang w:bidi="ar"/>
              </w:rPr>
            </w:pPr>
            <w:r>
              <w:rPr>
                <w:highlight w:val="none"/>
              </w:rPr>
              <w:t>202</w:t>
            </w:r>
            <w:r>
              <w:rPr>
                <w:rFonts w:hint="eastAsia"/>
                <w:highlight w:val="none"/>
                <w:lang w:val="en-US" w:eastAsia="zh-CN"/>
              </w:rPr>
              <w:t>5</w:t>
            </w:r>
            <w:r>
              <w:rPr>
                <w:highlight w:val="none"/>
              </w:rPr>
              <w:t>年医院已委托四川蓝瑞鑫卫生检测技术服务有限公司开展了年度监测，</w:t>
            </w:r>
            <w:r>
              <w:rPr>
                <w:szCs w:val="28"/>
                <w:highlight w:val="none"/>
              </w:rPr>
              <w:t>根据监测报告</w:t>
            </w:r>
            <w:r>
              <w:rPr>
                <w:highlight w:val="none"/>
              </w:rPr>
              <w:t>，DSA和其他Ⅲ类射线装置机房屏蔽体外X-γ辐射剂量率满足《放射诊断放射防护要求》（GBZ130-2020）规定的2.5μSv/h控制剂量率限值要求</w:t>
            </w:r>
            <w:r>
              <w:rPr>
                <w:rFonts w:hint="eastAsia"/>
                <w:highlight w:val="none"/>
                <w:lang w:eastAsia="zh-CN"/>
              </w:rPr>
              <w:t>，</w:t>
            </w:r>
            <w:r>
              <w:rPr>
                <w:highlight w:val="none"/>
                <w:lang w:bidi="ar"/>
              </w:rPr>
              <w:t>周围职业人员和公众的年有效剂量均分别小于5mSv/a和0.1mSv/a要求。</w:t>
            </w:r>
          </w:p>
          <w:p w14:paraId="0B767D88">
            <w:pPr>
              <w:pStyle w:val="20"/>
            </w:pPr>
          </w:p>
        </w:tc>
      </w:tr>
    </w:tbl>
    <w:p w14:paraId="1F6D36E4">
      <w:pPr>
        <w:sectPr>
          <w:pgSz w:w="11906" w:h="16838"/>
          <w:pgMar w:top="1418" w:right="1588" w:bottom="1418" w:left="1588" w:header="851" w:footer="992" w:gutter="0"/>
          <w:pgBorders>
            <w:top w:val="none" w:sz="0" w:space="0"/>
            <w:left w:val="none" w:sz="0" w:space="0"/>
            <w:bottom w:val="none" w:sz="0" w:space="0"/>
            <w:right w:val="none" w:sz="0" w:space="0"/>
          </w:pgBorders>
          <w:cols w:space="425" w:num="1"/>
          <w:docGrid w:linePitch="360" w:charSpace="0"/>
        </w:sectPr>
      </w:pPr>
    </w:p>
    <w:p w14:paraId="3BDF9CAC">
      <w:pPr>
        <w:keepNext/>
        <w:keepLines/>
        <w:pageBreakBefore/>
        <w:spacing w:line="240" w:lineRule="auto"/>
        <w:outlineLvl w:val="0"/>
        <w:rPr>
          <w:b/>
          <w:bCs/>
          <w:sz w:val="28"/>
          <w:szCs w:val="28"/>
        </w:rPr>
      </w:pPr>
      <w:bookmarkStart w:id="7" w:name="_Toc15991525"/>
      <w:bookmarkStart w:id="8" w:name="_Toc194317390"/>
      <w:bookmarkStart w:id="9" w:name="_Toc427763160"/>
      <w:r>
        <w:rPr>
          <w:b/>
          <w:bCs/>
          <w:sz w:val="28"/>
          <w:szCs w:val="28"/>
        </w:rPr>
        <w:t>表2：放射源</w:t>
      </w:r>
      <w:bookmarkEnd w:id="7"/>
      <w:bookmarkEnd w:id="8"/>
      <w:bookmarkEnd w:id="9"/>
    </w:p>
    <w:tbl>
      <w:tblPr>
        <w:tblStyle w:val="57"/>
        <w:tblpPr w:leftFromText="180" w:rightFromText="180" w:vertAnchor="text" w:horzAnchor="margin" w:tblpY="107"/>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1029"/>
        <w:gridCol w:w="2180"/>
        <w:gridCol w:w="744"/>
        <w:gridCol w:w="1031"/>
        <w:gridCol w:w="2098"/>
        <w:gridCol w:w="2722"/>
        <w:gridCol w:w="1759"/>
        <w:gridCol w:w="1485"/>
      </w:tblGrid>
      <w:tr w14:paraId="4541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25" w:type="pct"/>
            <w:vAlign w:val="center"/>
          </w:tcPr>
          <w:p w14:paraId="0C8A5624">
            <w:pPr>
              <w:spacing w:line="240" w:lineRule="auto"/>
              <w:jc w:val="center"/>
              <w:rPr>
                <w:sz w:val="21"/>
                <w:szCs w:val="21"/>
              </w:rPr>
            </w:pPr>
            <w:r>
              <w:rPr>
                <w:sz w:val="21"/>
                <w:szCs w:val="21"/>
              </w:rPr>
              <w:t>序号</w:t>
            </w:r>
          </w:p>
        </w:tc>
        <w:tc>
          <w:tcPr>
            <w:tcW w:w="376" w:type="pct"/>
            <w:vAlign w:val="center"/>
          </w:tcPr>
          <w:p w14:paraId="32176CE2">
            <w:pPr>
              <w:spacing w:line="240" w:lineRule="auto"/>
              <w:jc w:val="center"/>
              <w:rPr>
                <w:sz w:val="21"/>
                <w:szCs w:val="21"/>
              </w:rPr>
            </w:pPr>
            <w:r>
              <w:rPr>
                <w:sz w:val="21"/>
                <w:szCs w:val="21"/>
              </w:rPr>
              <w:t>核素</w:t>
            </w:r>
          </w:p>
        </w:tc>
        <w:tc>
          <w:tcPr>
            <w:tcW w:w="797" w:type="pct"/>
            <w:vAlign w:val="center"/>
          </w:tcPr>
          <w:p w14:paraId="47B8F0B8">
            <w:pPr>
              <w:spacing w:line="240" w:lineRule="auto"/>
              <w:jc w:val="center"/>
              <w:rPr>
                <w:sz w:val="21"/>
                <w:szCs w:val="21"/>
              </w:rPr>
            </w:pPr>
            <w:r>
              <w:rPr>
                <w:sz w:val="21"/>
                <w:szCs w:val="21"/>
              </w:rPr>
              <w:t>活度（Bq）×枚数</w:t>
            </w:r>
          </w:p>
        </w:tc>
        <w:tc>
          <w:tcPr>
            <w:tcW w:w="272" w:type="pct"/>
            <w:vAlign w:val="center"/>
          </w:tcPr>
          <w:p w14:paraId="1CF79BC9">
            <w:pPr>
              <w:spacing w:line="240" w:lineRule="auto"/>
              <w:jc w:val="center"/>
              <w:rPr>
                <w:sz w:val="21"/>
                <w:szCs w:val="21"/>
              </w:rPr>
            </w:pPr>
            <w:r>
              <w:rPr>
                <w:sz w:val="21"/>
                <w:szCs w:val="21"/>
              </w:rPr>
              <w:t>类别</w:t>
            </w:r>
          </w:p>
        </w:tc>
        <w:tc>
          <w:tcPr>
            <w:tcW w:w="377" w:type="pct"/>
            <w:vAlign w:val="center"/>
          </w:tcPr>
          <w:p w14:paraId="622038CC">
            <w:pPr>
              <w:spacing w:line="240" w:lineRule="auto"/>
              <w:jc w:val="center"/>
              <w:rPr>
                <w:sz w:val="21"/>
                <w:szCs w:val="21"/>
              </w:rPr>
            </w:pPr>
            <w:r>
              <w:rPr>
                <w:sz w:val="21"/>
                <w:szCs w:val="21"/>
              </w:rPr>
              <w:t>活动种类</w:t>
            </w:r>
          </w:p>
        </w:tc>
        <w:tc>
          <w:tcPr>
            <w:tcW w:w="767" w:type="pct"/>
            <w:vAlign w:val="center"/>
          </w:tcPr>
          <w:p w14:paraId="092FCE98">
            <w:pPr>
              <w:spacing w:line="240" w:lineRule="auto"/>
              <w:jc w:val="center"/>
              <w:rPr>
                <w:sz w:val="21"/>
                <w:szCs w:val="21"/>
              </w:rPr>
            </w:pPr>
            <w:r>
              <w:rPr>
                <w:sz w:val="21"/>
                <w:szCs w:val="21"/>
              </w:rPr>
              <w:t>用途</w:t>
            </w:r>
          </w:p>
        </w:tc>
        <w:tc>
          <w:tcPr>
            <w:tcW w:w="995" w:type="pct"/>
            <w:vAlign w:val="center"/>
          </w:tcPr>
          <w:p w14:paraId="0A154097">
            <w:pPr>
              <w:spacing w:line="240" w:lineRule="auto"/>
              <w:jc w:val="center"/>
              <w:rPr>
                <w:sz w:val="21"/>
                <w:szCs w:val="21"/>
              </w:rPr>
            </w:pPr>
            <w:r>
              <w:rPr>
                <w:sz w:val="21"/>
                <w:szCs w:val="21"/>
              </w:rPr>
              <w:t>使用场所</w:t>
            </w:r>
          </w:p>
        </w:tc>
        <w:tc>
          <w:tcPr>
            <w:tcW w:w="643" w:type="pct"/>
            <w:vAlign w:val="center"/>
          </w:tcPr>
          <w:p w14:paraId="6C5B8A23">
            <w:pPr>
              <w:spacing w:line="240" w:lineRule="auto"/>
              <w:jc w:val="center"/>
              <w:rPr>
                <w:sz w:val="21"/>
                <w:szCs w:val="21"/>
              </w:rPr>
            </w:pPr>
            <w:r>
              <w:rPr>
                <w:sz w:val="21"/>
                <w:szCs w:val="21"/>
              </w:rPr>
              <w:t>贮存方式与地点</w:t>
            </w:r>
          </w:p>
        </w:tc>
        <w:tc>
          <w:tcPr>
            <w:tcW w:w="543" w:type="pct"/>
            <w:vAlign w:val="center"/>
          </w:tcPr>
          <w:p w14:paraId="0ECF6424">
            <w:pPr>
              <w:spacing w:line="240" w:lineRule="auto"/>
              <w:jc w:val="center"/>
              <w:rPr>
                <w:sz w:val="21"/>
                <w:szCs w:val="21"/>
              </w:rPr>
            </w:pPr>
            <w:r>
              <w:rPr>
                <w:sz w:val="21"/>
                <w:szCs w:val="21"/>
              </w:rPr>
              <w:t>备注</w:t>
            </w:r>
          </w:p>
        </w:tc>
      </w:tr>
      <w:tr w14:paraId="44BF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225" w:type="pct"/>
            <w:vAlign w:val="center"/>
          </w:tcPr>
          <w:p w14:paraId="7D63AD6C">
            <w:pPr>
              <w:spacing w:line="240" w:lineRule="auto"/>
              <w:jc w:val="center"/>
              <w:rPr>
                <w:rFonts w:hint="eastAsia" w:eastAsia="宋体"/>
                <w:bCs/>
                <w:sz w:val="21"/>
                <w:szCs w:val="21"/>
                <w:lang w:val="en-US" w:eastAsia="zh-CN"/>
              </w:rPr>
            </w:pPr>
            <w:r>
              <w:rPr>
                <w:sz w:val="21"/>
                <w:szCs w:val="21"/>
              </w:rPr>
              <w:t>—</w:t>
            </w:r>
          </w:p>
        </w:tc>
        <w:tc>
          <w:tcPr>
            <w:tcW w:w="376" w:type="pct"/>
            <w:vAlign w:val="center"/>
          </w:tcPr>
          <w:p w14:paraId="740104B0">
            <w:pPr>
              <w:spacing w:line="240" w:lineRule="auto"/>
              <w:jc w:val="center"/>
              <w:rPr>
                <w:rFonts w:hint="default" w:eastAsia="宋体"/>
                <w:bCs/>
                <w:sz w:val="21"/>
                <w:szCs w:val="21"/>
                <w:vertAlign w:val="superscript"/>
                <w:lang w:val="en-US" w:eastAsia="zh-CN"/>
              </w:rPr>
            </w:pPr>
            <w:r>
              <w:rPr>
                <w:sz w:val="21"/>
                <w:szCs w:val="21"/>
                <w:vertAlign w:val="baseline"/>
              </w:rPr>
              <w:t>—</w:t>
            </w:r>
          </w:p>
        </w:tc>
        <w:tc>
          <w:tcPr>
            <w:tcW w:w="797" w:type="pct"/>
            <w:vAlign w:val="center"/>
          </w:tcPr>
          <w:p w14:paraId="661DC8E6">
            <w:pPr>
              <w:spacing w:line="240" w:lineRule="auto"/>
              <w:jc w:val="center"/>
              <w:rPr>
                <w:rFonts w:hint="eastAsia" w:eastAsia="宋体"/>
                <w:bCs/>
                <w:sz w:val="21"/>
                <w:szCs w:val="21"/>
                <w:lang w:val="en-US" w:eastAsia="zh-CN"/>
              </w:rPr>
            </w:pPr>
            <w:r>
              <w:rPr>
                <w:sz w:val="21"/>
                <w:szCs w:val="21"/>
              </w:rPr>
              <w:t>—</w:t>
            </w:r>
          </w:p>
        </w:tc>
        <w:tc>
          <w:tcPr>
            <w:tcW w:w="272" w:type="pct"/>
            <w:vAlign w:val="center"/>
          </w:tcPr>
          <w:p w14:paraId="1FB10E3A">
            <w:pPr>
              <w:spacing w:line="240" w:lineRule="auto"/>
              <w:jc w:val="center"/>
              <w:rPr>
                <w:rFonts w:hint="eastAsia" w:eastAsia="宋体"/>
                <w:bCs/>
                <w:sz w:val="21"/>
                <w:szCs w:val="21"/>
                <w:lang w:val="en-US" w:eastAsia="zh-CN"/>
              </w:rPr>
            </w:pPr>
            <w:r>
              <w:rPr>
                <w:sz w:val="21"/>
                <w:szCs w:val="21"/>
              </w:rPr>
              <w:t>—</w:t>
            </w:r>
          </w:p>
        </w:tc>
        <w:tc>
          <w:tcPr>
            <w:tcW w:w="377" w:type="pct"/>
            <w:vAlign w:val="center"/>
          </w:tcPr>
          <w:p w14:paraId="667B8569">
            <w:pPr>
              <w:spacing w:line="240" w:lineRule="auto"/>
              <w:jc w:val="center"/>
              <w:rPr>
                <w:rFonts w:hint="eastAsia" w:eastAsia="宋体"/>
                <w:bCs/>
                <w:sz w:val="21"/>
                <w:szCs w:val="21"/>
                <w:lang w:val="en-US" w:eastAsia="zh-CN"/>
              </w:rPr>
            </w:pPr>
            <w:r>
              <w:rPr>
                <w:sz w:val="21"/>
                <w:szCs w:val="21"/>
              </w:rPr>
              <w:t>—</w:t>
            </w:r>
          </w:p>
        </w:tc>
        <w:tc>
          <w:tcPr>
            <w:tcW w:w="767" w:type="pct"/>
            <w:vAlign w:val="center"/>
          </w:tcPr>
          <w:p w14:paraId="2BB9EBC8">
            <w:pPr>
              <w:spacing w:line="240" w:lineRule="auto"/>
              <w:jc w:val="center"/>
              <w:rPr>
                <w:rFonts w:hint="default" w:eastAsia="宋体"/>
                <w:bCs/>
                <w:sz w:val="21"/>
                <w:szCs w:val="21"/>
                <w:lang w:val="en-US" w:eastAsia="zh-CN"/>
              </w:rPr>
            </w:pPr>
            <w:r>
              <w:rPr>
                <w:sz w:val="21"/>
                <w:szCs w:val="21"/>
              </w:rPr>
              <w:t>—</w:t>
            </w:r>
          </w:p>
        </w:tc>
        <w:tc>
          <w:tcPr>
            <w:tcW w:w="995" w:type="pct"/>
            <w:vAlign w:val="center"/>
          </w:tcPr>
          <w:p w14:paraId="16971AF2">
            <w:pPr>
              <w:spacing w:line="240" w:lineRule="auto"/>
              <w:jc w:val="center"/>
              <w:rPr>
                <w:rFonts w:hint="eastAsia" w:eastAsia="宋体"/>
                <w:sz w:val="21"/>
                <w:szCs w:val="21"/>
                <w:lang w:val="en-US" w:eastAsia="zh-CN"/>
              </w:rPr>
            </w:pPr>
            <w:r>
              <w:rPr>
                <w:sz w:val="21"/>
                <w:szCs w:val="21"/>
              </w:rPr>
              <w:t>—</w:t>
            </w:r>
          </w:p>
        </w:tc>
        <w:tc>
          <w:tcPr>
            <w:tcW w:w="643" w:type="pct"/>
            <w:vAlign w:val="center"/>
          </w:tcPr>
          <w:p w14:paraId="3DF16DBC">
            <w:pPr>
              <w:spacing w:line="240" w:lineRule="auto"/>
              <w:jc w:val="center"/>
              <w:rPr>
                <w:rFonts w:hint="eastAsia" w:eastAsia="宋体"/>
                <w:sz w:val="21"/>
                <w:szCs w:val="21"/>
                <w:lang w:val="en-US" w:eastAsia="zh-CN"/>
              </w:rPr>
            </w:pPr>
            <w:r>
              <w:rPr>
                <w:sz w:val="21"/>
                <w:szCs w:val="21"/>
              </w:rPr>
              <w:t>—</w:t>
            </w:r>
          </w:p>
        </w:tc>
        <w:tc>
          <w:tcPr>
            <w:tcW w:w="543" w:type="pct"/>
            <w:vAlign w:val="center"/>
          </w:tcPr>
          <w:p w14:paraId="720BAB7F">
            <w:pPr>
              <w:spacing w:line="240" w:lineRule="auto"/>
              <w:jc w:val="center"/>
              <w:rPr>
                <w:rFonts w:hint="eastAsia" w:eastAsia="宋体"/>
                <w:sz w:val="21"/>
                <w:szCs w:val="21"/>
                <w:lang w:val="en-US" w:eastAsia="zh-CN"/>
              </w:rPr>
            </w:pPr>
            <w:r>
              <w:rPr>
                <w:sz w:val="21"/>
                <w:szCs w:val="21"/>
              </w:rPr>
              <w:t>—</w:t>
            </w:r>
          </w:p>
        </w:tc>
      </w:tr>
    </w:tbl>
    <w:p w14:paraId="73E9702A">
      <w:pPr>
        <w:spacing w:line="240" w:lineRule="auto"/>
        <w:rPr>
          <w:sz w:val="21"/>
          <w:szCs w:val="21"/>
        </w:rPr>
      </w:pPr>
      <w:r>
        <w:rPr>
          <w:sz w:val="21"/>
          <w:szCs w:val="21"/>
        </w:rPr>
        <w:t>注：放射源包括放射性中子源，对其要说明是何种核素以及产生的中子流强度（n/s）。</w:t>
      </w:r>
    </w:p>
    <w:p w14:paraId="5D80E1FC">
      <w:pPr>
        <w:keepNext/>
        <w:keepLines/>
        <w:spacing w:line="240" w:lineRule="auto"/>
        <w:outlineLvl w:val="0"/>
        <w:rPr>
          <w:b/>
          <w:bCs/>
          <w:sz w:val="28"/>
          <w:szCs w:val="28"/>
        </w:rPr>
      </w:pPr>
      <w:bookmarkStart w:id="10" w:name="_Toc427763161"/>
      <w:bookmarkStart w:id="11" w:name="_Toc15991526"/>
      <w:bookmarkStart w:id="12" w:name="_Toc194317391"/>
      <w:r>
        <w:rPr>
          <w:b/>
          <w:bCs/>
          <w:sz w:val="28"/>
          <w:szCs w:val="28"/>
        </w:rPr>
        <w:t>表3：</w:t>
      </w:r>
      <w:bookmarkEnd w:id="10"/>
      <w:r>
        <w:rPr>
          <w:b/>
          <w:bCs/>
          <w:sz w:val="28"/>
          <w:szCs w:val="28"/>
        </w:rPr>
        <w:t>非密封放射性物质</w:t>
      </w:r>
      <w:bookmarkEnd w:id="11"/>
      <w:bookmarkEnd w:id="12"/>
    </w:p>
    <w:tbl>
      <w:tblPr>
        <w:tblStyle w:val="57"/>
        <w:tblW w:w="4971"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92"/>
        <w:gridCol w:w="877"/>
        <w:gridCol w:w="791"/>
        <w:gridCol w:w="867"/>
        <w:gridCol w:w="1269"/>
        <w:gridCol w:w="1524"/>
        <w:gridCol w:w="1223"/>
        <w:gridCol w:w="1049"/>
        <w:gridCol w:w="956"/>
        <w:gridCol w:w="1212"/>
        <w:gridCol w:w="2228"/>
        <w:gridCol w:w="785"/>
      </w:tblGrid>
      <w:tr w14:paraId="557C73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tblHeader/>
          <w:jc w:val="center"/>
        </w:trPr>
        <w:tc>
          <w:tcPr>
            <w:tcW w:w="292" w:type="pct"/>
            <w:vAlign w:val="center"/>
          </w:tcPr>
          <w:p w14:paraId="346A5B96">
            <w:pPr>
              <w:spacing w:line="360" w:lineRule="exact"/>
              <w:jc w:val="center"/>
              <w:rPr>
                <w:sz w:val="21"/>
                <w:szCs w:val="21"/>
              </w:rPr>
            </w:pPr>
            <w:r>
              <w:rPr>
                <w:sz w:val="21"/>
                <w:szCs w:val="21"/>
              </w:rPr>
              <w:t>序号</w:t>
            </w:r>
          </w:p>
        </w:tc>
        <w:tc>
          <w:tcPr>
            <w:tcW w:w="323" w:type="pct"/>
            <w:vAlign w:val="center"/>
          </w:tcPr>
          <w:p w14:paraId="6F485791">
            <w:pPr>
              <w:spacing w:line="360" w:lineRule="exact"/>
              <w:jc w:val="center"/>
              <w:rPr>
                <w:sz w:val="21"/>
                <w:szCs w:val="21"/>
              </w:rPr>
            </w:pPr>
            <w:r>
              <w:rPr>
                <w:sz w:val="21"/>
                <w:szCs w:val="21"/>
              </w:rPr>
              <w:t>核素</w:t>
            </w:r>
          </w:p>
        </w:tc>
        <w:tc>
          <w:tcPr>
            <w:tcW w:w="291" w:type="pct"/>
            <w:vAlign w:val="center"/>
          </w:tcPr>
          <w:p w14:paraId="455439DB">
            <w:pPr>
              <w:spacing w:line="360" w:lineRule="exact"/>
              <w:jc w:val="center"/>
              <w:rPr>
                <w:sz w:val="21"/>
                <w:szCs w:val="21"/>
              </w:rPr>
            </w:pPr>
            <w:r>
              <w:rPr>
                <w:sz w:val="21"/>
                <w:szCs w:val="21"/>
              </w:rPr>
              <w:t>理化性质</w:t>
            </w:r>
          </w:p>
        </w:tc>
        <w:tc>
          <w:tcPr>
            <w:tcW w:w="319" w:type="pct"/>
            <w:vAlign w:val="center"/>
          </w:tcPr>
          <w:p w14:paraId="4B3C5ADA">
            <w:pPr>
              <w:spacing w:line="360" w:lineRule="exact"/>
              <w:jc w:val="center"/>
              <w:rPr>
                <w:sz w:val="21"/>
                <w:szCs w:val="21"/>
              </w:rPr>
            </w:pPr>
            <w:r>
              <w:rPr>
                <w:sz w:val="21"/>
                <w:szCs w:val="21"/>
              </w:rPr>
              <w:t>活动种类</w:t>
            </w:r>
          </w:p>
        </w:tc>
        <w:tc>
          <w:tcPr>
            <w:tcW w:w="467" w:type="pct"/>
            <w:vAlign w:val="center"/>
          </w:tcPr>
          <w:p w14:paraId="6576444B">
            <w:pPr>
              <w:spacing w:line="360" w:lineRule="exact"/>
              <w:jc w:val="center"/>
              <w:rPr>
                <w:sz w:val="21"/>
                <w:szCs w:val="21"/>
              </w:rPr>
            </w:pPr>
            <w:r>
              <w:rPr>
                <w:sz w:val="21"/>
                <w:szCs w:val="21"/>
              </w:rPr>
              <w:t>日最大操作量（Bq）</w:t>
            </w:r>
          </w:p>
        </w:tc>
        <w:tc>
          <w:tcPr>
            <w:tcW w:w="561" w:type="pct"/>
            <w:vAlign w:val="center"/>
          </w:tcPr>
          <w:p w14:paraId="0526EF0E">
            <w:pPr>
              <w:spacing w:line="360" w:lineRule="exact"/>
              <w:jc w:val="center"/>
              <w:rPr>
                <w:sz w:val="21"/>
                <w:szCs w:val="21"/>
              </w:rPr>
            </w:pPr>
            <w:r>
              <w:rPr>
                <w:sz w:val="21"/>
                <w:szCs w:val="21"/>
              </w:rPr>
              <w:t>日等效最大操作量（Bq）</w:t>
            </w:r>
          </w:p>
        </w:tc>
        <w:tc>
          <w:tcPr>
            <w:tcW w:w="450" w:type="pct"/>
            <w:vAlign w:val="center"/>
          </w:tcPr>
          <w:p w14:paraId="41AD9E96">
            <w:pPr>
              <w:spacing w:line="360" w:lineRule="exact"/>
              <w:jc w:val="center"/>
              <w:rPr>
                <w:sz w:val="21"/>
                <w:szCs w:val="21"/>
              </w:rPr>
            </w:pPr>
            <w:r>
              <w:rPr>
                <w:sz w:val="21"/>
                <w:szCs w:val="21"/>
              </w:rPr>
              <w:t>年最大用量（Bq）</w:t>
            </w:r>
          </w:p>
        </w:tc>
        <w:tc>
          <w:tcPr>
            <w:tcW w:w="386" w:type="pct"/>
            <w:vAlign w:val="center"/>
          </w:tcPr>
          <w:p w14:paraId="3CA9CAAB">
            <w:pPr>
              <w:spacing w:line="360" w:lineRule="exact"/>
              <w:jc w:val="center"/>
              <w:rPr>
                <w:sz w:val="21"/>
                <w:szCs w:val="21"/>
              </w:rPr>
            </w:pPr>
            <w:r>
              <w:rPr>
                <w:sz w:val="21"/>
                <w:szCs w:val="21"/>
              </w:rPr>
              <w:t>用途</w:t>
            </w:r>
          </w:p>
        </w:tc>
        <w:tc>
          <w:tcPr>
            <w:tcW w:w="352" w:type="pct"/>
            <w:vAlign w:val="center"/>
          </w:tcPr>
          <w:p w14:paraId="58D0C45B">
            <w:pPr>
              <w:spacing w:line="360" w:lineRule="exact"/>
              <w:jc w:val="center"/>
              <w:rPr>
                <w:sz w:val="21"/>
                <w:szCs w:val="21"/>
              </w:rPr>
            </w:pPr>
            <w:r>
              <w:rPr>
                <w:sz w:val="21"/>
                <w:szCs w:val="21"/>
              </w:rPr>
              <w:t>操作</w:t>
            </w:r>
          </w:p>
          <w:p w14:paraId="5C09C6C6">
            <w:pPr>
              <w:spacing w:line="360" w:lineRule="exact"/>
              <w:jc w:val="center"/>
              <w:rPr>
                <w:sz w:val="21"/>
                <w:szCs w:val="21"/>
              </w:rPr>
            </w:pPr>
            <w:r>
              <w:rPr>
                <w:sz w:val="21"/>
                <w:szCs w:val="21"/>
              </w:rPr>
              <w:t>方式</w:t>
            </w:r>
          </w:p>
        </w:tc>
        <w:tc>
          <w:tcPr>
            <w:tcW w:w="446" w:type="pct"/>
            <w:vAlign w:val="center"/>
          </w:tcPr>
          <w:p w14:paraId="7E1B9376">
            <w:pPr>
              <w:spacing w:line="360" w:lineRule="exact"/>
              <w:jc w:val="center"/>
              <w:rPr>
                <w:sz w:val="21"/>
                <w:szCs w:val="21"/>
              </w:rPr>
            </w:pPr>
            <w:r>
              <w:rPr>
                <w:sz w:val="21"/>
                <w:szCs w:val="21"/>
              </w:rPr>
              <w:t>使用</w:t>
            </w:r>
          </w:p>
          <w:p w14:paraId="02F5078A">
            <w:pPr>
              <w:spacing w:line="360" w:lineRule="exact"/>
              <w:jc w:val="center"/>
              <w:rPr>
                <w:sz w:val="21"/>
                <w:szCs w:val="21"/>
              </w:rPr>
            </w:pPr>
            <w:r>
              <w:rPr>
                <w:sz w:val="21"/>
                <w:szCs w:val="21"/>
              </w:rPr>
              <w:t>场所</w:t>
            </w:r>
          </w:p>
        </w:tc>
        <w:tc>
          <w:tcPr>
            <w:tcW w:w="820" w:type="pct"/>
            <w:vAlign w:val="center"/>
          </w:tcPr>
          <w:p w14:paraId="0D2EDB61">
            <w:pPr>
              <w:spacing w:line="360" w:lineRule="exact"/>
              <w:jc w:val="center"/>
              <w:rPr>
                <w:sz w:val="21"/>
                <w:szCs w:val="21"/>
              </w:rPr>
            </w:pPr>
            <w:r>
              <w:rPr>
                <w:sz w:val="21"/>
                <w:szCs w:val="21"/>
              </w:rPr>
              <w:t>贮存方式与地点</w:t>
            </w:r>
          </w:p>
        </w:tc>
        <w:tc>
          <w:tcPr>
            <w:tcW w:w="289" w:type="pct"/>
            <w:vAlign w:val="center"/>
          </w:tcPr>
          <w:p w14:paraId="59A2CC17">
            <w:pPr>
              <w:spacing w:line="360" w:lineRule="exact"/>
              <w:jc w:val="center"/>
              <w:rPr>
                <w:sz w:val="21"/>
                <w:szCs w:val="21"/>
              </w:rPr>
            </w:pPr>
            <w:r>
              <w:rPr>
                <w:sz w:val="21"/>
                <w:szCs w:val="21"/>
              </w:rPr>
              <w:t>备注</w:t>
            </w:r>
          </w:p>
        </w:tc>
      </w:tr>
      <w:tr w14:paraId="001CB0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92" w:type="pct"/>
            <w:vAlign w:val="center"/>
          </w:tcPr>
          <w:p w14:paraId="2267C84C">
            <w:pPr>
              <w:widowControl/>
              <w:spacing w:line="360" w:lineRule="exact"/>
              <w:jc w:val="center"/>
              <w:rPr>
                <w:sz w:val="21"/>
                <w:szCs w:val="21"/>
              </w:rPr>
            </w:pPr>
            <w:r>
              <w:rPr>
                <w:sz w:val="21"/>
                <w:szCs w:val="21"/>
                <w:lang w:bidi="ar"/>
              </w:rPr>
              <w:t>1</w:t>
            </w:r>
          </w:p>
        </w:tc>
        <w:tc>
          <w:tcPr>
            <w:tcW w:w="323" w:type="pct"/>
            <w:shd w:val="clear" w:color="auto" w:fill="auto"/>
            <w:vAlign w:val="center"/>
          </w:tcPr>
          <w:p w14:paraId="027BDA70">
            <w:pPr>
              <w:spacing w:line="360" w:lineRule="exact"/>
              <w:jc w:val="center"/>
              <w:rPr>
                <w:rFonts w:ascii="Times New Roman" w:hAnsi="Times New Roman" w:eastAsia="宋体" w:cs="Times New Roman"/>
                <w:sz w:val="21"/>
                <w:szCs w:val="21"/>
                <w:lang w:val="en-US" w:eastAsia="zh-CN" w:bidi="ar-SA"/>
              </w:rPr>
            </w:pPr>
            <w:r>
              <w:rPr>
                <w:sz w:val="21"/>
                <w:szCs w:val="21"/>
                <w:vertAlign w:val="superscript"/>
              </w:rPr>
              <w:t>18</w:t>
            </w:r>
            <w:r>
              <w:rPr>
                <w:sz w:val="21"/>
                <w:szCs w:val="21"/>
              </w:rPr>
              <w:t>F</w:t>
            </w:r>
          </w:p>
        </w:tc>
        <w:tc>
          <w:tcPr>
            <w:tcW w:w="291" w:type="pct"/>
            <w:shd w:val="clear" w:color="auto" w:fill="auto"/>
            <w:vAlign w:val="center"/>
          </w:tcPr>
          <w:p w14:paraId="6477B175">
            <w:pPr>
              <w:spacing w:line="360" w:lineRule="exact"/>
              <w:jc w:val="center"/>
              <w:rPr>
                <w:rFonts w:ascii="Times New Roman" w:hAnsi="Times New Roman" w:eastAsia="宋体" w:cs="Times New Roman"/>
                <w:sz w:val="21"/>
                <w:szCs w:val="21"/>
                <w:lang w:val="en-US" w:eastAsia="zh-CN" w:bidi="ar-SA"/>
              </w:rPr>
            </w:pPr>
            <w:r>
              <w:rPr>
                <w:sz w:val="21"/>
                <w:szCs w:val="21"/>
              </w:rPr>
              <w:t>液态</w:t>
            </w:r>
          </w:p>
        </w:tc>
        <w:tc>
          <w:tcPr>
            <w:tcW w:w="319" w:type="pct"/>
            <w:shd w:val="clear" w:color="auto" w:fill="auto"/>
            <w:vAlign w:val="center"/>
          </w:tcPr>
          <w:p w14:paraId="5EDFCD3D">
            <w:pPr>
              <w:spacing w:line="360" w:lineRule="exact"/>
              <w:jc w:val="center"/>
              <w:rPr>
                <w:rFonts w:ascii="Times New Roman" w:hAnsi="Times New Roman" w:eastAsia="宋体" w:cs="Times New Roman"/>
                <w:sz w:val="21"/>
                <w:szCs w:val="21"/>
                <w:lang w:val="en-US" w:eastAsia="zh-CN" w:bidi="ar-SA"/>
              </w:rPr>
            </w:pPr>
            <w:r>
              <w:rPr>
                <w:sz w:val="21"/>
                <w:szCs w:val="21"/>
              </w:rPr>
              <w:t>使用</w:t>
            </w:r>
          </w:p>
        </w:tc>
        <w:tc>
          <w:tcPr>
            <w:tcW w:w="467" w:type="pct"/>
            <w:shd w:val="clear" w:color="auto" w:fill="auto"/>
            <w:vAlign w:val="center"/>
          </w:tcPr>
          <w:p w14:paraId="4AD1980B">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1.11E+10</w:t>
            </w:r>
          </w:p>
        </w:tc>
        <w:tc>
          <w:tcPr>
            <w:tcW w:w="561" w:type="pct"/>
            <w:shd w:val="clear" w:color="auto" w:fill="auto"/>
            <w:vAlign w:val="center"/>
          </w:tcPr>
          <w:p w14:paraId="65C2B3A3">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1.11E+</w:t>
            </w:r>
            <w:r>
              <w:rPr>
                <w:rFonts w:hint="eastAsia" w:ascii="Times New Roman" w:hAnsi="Times New Roman" w:eastAsia="宋体" w:cs="Times New Roman"/>
                <w:i w:val="0"/>
                <w:iCs w:val="0"/>
                <w:color w:val="000000"/>
                <w:kern w:val="0"/>
                <w:sz w:val="21"/>
                <w:szCs w:val="21"/>
                <w:u w:val="none"/>
                <w:lang w:val="en-US" w:eastAsia="zh-CN" w:bidi="ar"/>
              </w:rPr>
              <w:t>07</w:t>
            </w:r>
          </w:p>
        </w:tc>
        <w:tc>
          <w:tcPr>
            <w:tcW w:w="450" w:type="pct"/>
            <w:shd w:val="clear" w:color="auto" w:fill="auto"/>
            <w:vAlign w:val="center"/>
          </w:tcPr>
          <w:p w14:paraId="797265A7">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2.78E+12</w:t>
            </w:r>
          </w:p>
        </w:tc>
        <w:tc>
          <w:tcPr>
            <w:tcW w:w="386" w:type="pct"/>
            <w:vAlign w:val="center"/>
          </w:tcPr>
          <w:p w14:paraId="34B2B805">
            <w:pPr>
              <w:spacing w:line="360" w:lineRule="exact"/>
              <w:jc w:val="center"/>
              <w:rPr>
                <w:sz w:val="21"/>
                <w:szCs w:val="21"/>
              </w:rPr>
            </w:pPr>
            <w:r>
              <w:rPr>
                <w:sz w:val="21"/>
                <w:szCs w:val="21"/>
              </w:rPr>
              <w:t>显像诊断</w:t>
            </w:r>
          </w:p>
        </w:tc>
        <w:tc>
          <w:tcPr>
            <w:tcW w:w="352" w:type="pct"/>
            <w:vAlign w:val="center"/>
          </w:tcPr>
          <w:p w14:paraId="474A7780">
            <w:pPr>
              <w:spacing w:line="360" w:lineRule="exact"/>
              <w:jc w:val="center"/>
              <w:rPr>
                <w:sz w:val="21"/>
                <w:szCs w:val="21"/>
              </w:rPr>
            </w:pPr>
            <w:r>
              <w:rPr>
                <w:sz w:val="21"/>
                <w:szCs w:val="21"/>
              </w:rPr>
              <w:t>简单</w:t>
            </w:r>
          </w:p>
          <w:p w14:paraId="0ED7419E">
            <w:pPr>
              <w:spacing w:line="360" w:lineRule="exact"/>
              <w:jc w:val="center"/>
              <w:rPr>
                <w:sz w:val="21"/>
                <w:szCs w:val="21"/>
              </w:rPr>
            </w:pPr>
            <w:r>
              <w:rPr>
                <w:sz w:val="21"/>
                <w:szCs w:val="21"/>
              </w:rPr>
              <w:t>操作</w:t>
            </w:r>
          </w:p>
        </w:tc>
        <w:tc>
          <w:tcPr>
            <w:tcW w:w="446" w:type="pct"/>
            <w:vAlign w:val="center"/>
          </w:tcPr>
          <w:p w14:paraId="72FD1540">
            <w:pPr>
              <w:spacing w:line="360" w:lineRule="exact"/>
              <w:jc w:val="center"/>
              <w:rPr>
                <w:rFonts w:hint="eastAsia" w:eastAsia="宋体"/>
                <w:sz w:val="21"/>
                <w:szCs w:val="21"/>
                <w:lang w:val="en-US" w:eastAsia="zh-CN"/>
              </w:rPr>
            </w:pPr>
            <w:r>
              <w:rPr>
                <w:sz w:val="21"/>
                <w:szCs w:val="21"/>
              </w:rPr>
              <w:t>负</w:t>
            </w:r>
            <w:r>
              <w:rPr>
                <w:rFonts w:hint="eastAsia"/>
                <w:sz w:val="21"/>
                <w:szCs w:val="21"/>
                <w:lang w:val="en-US" w:eastAsia="zh-CN"/>
              </w:rPr>
              <w:t>一</w:t>
            </w:r>
            <w:r>
              <w:rPr>
                <w:sz w:val="21"/>
                <w:szCs w:val="21"/>
              </w:rPr>
              <w:t>层</w:t>
            </w:r>
            <w:r>
              <w:rPr>
                <w:rFonts w:hint="eastAsia"/>
                <w:sz w:val="21"/>
                <w:szCs w:val="21"/>
                <w:lang w:val="en-US" w:eastAsia="zh-CN"/>
              </w:rPr>
              <w:t>核医学科</w:t>
            </w:r>
          </w:p>
        </w:tc>
        <w:tc>
          <w:tcPr>
            <w:tcW w:w="820" w:type="pct"/>
            <w:vAlign w:val="center"/>
          </w:tcPr>
          <w:p w14:paraId="722523B2">
            <w:pPr>
              <w:spacing w:line="360" w:lineRule="exact"/>
              <w:jc w:val="center"/>
              <w:rPr>
                <w:rFonts w:hint="default" w:eastAsia="宋体"/>
                <w:sz w:val="21"/>
                <w:szCs w:val="21"/>
                <w:lang w:val="en-US" w:eastAsia="zh-CN"/>
              </w:rPr>
            </w:pPr>
            <w:r>
              <w:rPr>
                <w:rFonts w:hint="eastAsia"/>
                <w:sz w:val="21"/>
                <w:szCs w:val="21"/>
                <w:lang w:val="en-US" w:eastAsia="zh-CN" w:bidi="ar"/>
              </w:rPr>
              <w:t>外购成品药物，存放于源库</w:t>
            </w:r>
            <w:r>
              <w:rPr>
                <w:rFonts w:hint="eastAsia"/>
                <w:spacing w:val="-11"/>
                <w:sz w:val="21"/>
                <w:szCs w:val="21"/>
                <w:highlight w:val="none"/>
                <w:lang w:val="en-US" w:eastAsia="zh-CN"/>
              </w:rPr>
              <w:t>源库1#</w:t>
            </w:r>
          </w:p>
        </w:tc>
        <w:tc>
          <w:tcPr>
            <w:tcW w:w="289" w:type="pct"/>
            <w:vMerge w:val="restart"/>
            <w:vAlign w:val="center"/>
          </w:tcPr>
          <w:p w14:paraId="15D74FCA">
            <w:pPr>
              <w:spacing w:line="360" w:lineRule="exact"/>
              <w:jc w:val="center"/>
              <w:rPr>
                <w:sz w:val="21"/>
                <w:szCs w:val="21"/>
              </w:rPr>
            </w:pPr>
            <w:r>
              <w:rPr>
                <w:sz w:val="21"/>
                <w:szCs w:val="21"/>
              </w:rPr>
              <w:t>本项目新增</w:t>
            </w:r>
          </w:p>
        </w:tc>
      </w:tr>
      <w:tr w14:paraId="4D7638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92" w:type="pct"/>
            <w:vAlign w:val="center"/>
          </w:tcPr>
          <w:p w14:paraId="679AE159">
            <w:pPr>
              <w:widowControl/>
              <w:spacing w:line="360" w:lineRule="exact"/>
              <w:jc w:val="center"/>
              <w:rPr>
                <w:sz w:val="21"/>
                <w:szCs w:val="21"/>
              </w:rPr>
            </w:pPr>
            <w:r>
              <w:rPr>
                <w:sz w:val="21"/>
                <w:szCs w:val="21"/>
                <w:lang w:bidi="ar"/>
              </w:rPr>
              <w:t>2</w:t>
            </w:r>
          </w:p>
        </w:tc>
        <w:tc>
          <w:tcPr>
            <w:tcW w:w="323" w:type="pct"/>
            <w:shd w:val="clear" w:color="auto" w:fill="auto"/>
            <w:vAlign w:val="center"/>
          </w:tcPr>
          <w:p w14:paraId="75870280">
            <w:pPr>
              <w:spacing w:line="360" w:lineRule="exact"/>
              <w:jc w:val="center"/>
              <w:rPr>
                <w:rFonts w:ascii="Times New Roman" w:hAnsi="Times New Roman" w:eastAsia="宋体" w:cs="Times New Roman"/>
                <w:sz w:val="21"/>
                <w:szCs w:val="21"/>
                <w:lang w:val="en-US" w:eastAsia="zh-CN" w:bidi="ar-SA"/>
              </w:rPr>
            </w:pPr>
            <w:r>
              <w:rPr>
                <w:sz w:val="21"/>
                <w:szCs w:val="21"/>
                <w:vertAlign w:val="superscript"/>
              </w:rPr>
              <w:t>68</w:t>
            </w:r>
            <w:r>
              <w:rPr>
                <w:sz w:val="21"/>
                <w:szCs w:val="21"/>
              </w:rPr>
              <w:t>Ga</w:t>
            </w:r>
          </w:p>
        </w:tc>
        <w:tc>
          <w:tcPr>
            <w:tcW w:w="291" w:type="pct"/>
            <w:shd w:val="clear" w:color="auto" w:fill="auto"/>
            <w:vAlign w:val="center"/>
          </w:tcPr>
          <w:p w14:paraId="6C0610A3">
            <w:pPr>
              <w:spacing w:line="360" w:lineRule="exact"/>
              <w:jc w:val="center"/>
              <w:rPr>
                <w:rFonts w:ascii="Times New Roman" w:hAnsi="Times New Roman" w:eastAsia="宋体" w:cs="Times New Roman"/>
                <w:sz w:val="21"/>
                <w:szCs w:val="21"/>
                <w:lang w:val="en-US" w:eastAsia="zh-CN" w:bidi="ar-SA"/>
              </w:rPr>
            </w:pPr>
            <w:r>
              <w:rPr>
                <w:sz w:val="21"/>
                <w:szCs w:val="21"/>
              </w:rPr>
              <w:t>液态</w:t>
            </w:r>
          </w:p>
        </w:tc>
        <w:tc>
          <w:tcPr>
            <w:tcW w:w="319" w:type="pct"/>
            <w:shd w:val="clear" w:color="auto" w:fill="auto"/>
            <w:vAlign w:val="center"/>
          </w:tcPr>
          <w:p w14:paraId="3FB92524">
            <w:pPr>
              <w:spacing w:line="360" w:lineRule="exact"/>
              <w:jc w:val="center"/>
              <w:rPr>
                <w:rFonts w:ascii="Times New Roman" w:hAnsi="Times New Roman" w:eastAsia="宋体" w:cs="Times New Roman"/>
                <w:sz w:val="21"/>
                <w:szCs w:val="21"/>
                <w:lang w:val="en-US" w:eastAsia="zh-CN" w:bidi="ar-SA"/>
              </w:rPr>
            </w:pPr>
            <w:r>
              <w:rPr>
                <w:sz w:val="21"/>
                <w:szCs w:val="21"/>
              </w:rPr>
              <w:t>使用</w:t>
            </w:r>
          </w:p>
        </w:tc>
        <w:tc>
          <w:tcPr>
            <w:tcW w:w="467" w:type="pct"/>
            <w:shd w:val="clear" w:color="auto" w:fill="auto"/>
            <w:vAlign w:val="center"/>
          </w:tcPr>
          <w:p w14:paraId="3CD2AD85">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1.85E+09</w:t>
            </w:r>
          </w:p>
        </w:tc>
        <w:tc>
          <w:tcPr>
            <w:tcW w:w="561" w:type="pct"/>
            <w:shd w:val="clear" w:color="auto" w:fill="auto"/>
            <w:vAlign w:val="center"/>
          </w:tcPr>
          <w:p w14:paraId="7957A02E">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1.85E+0</w:t>
            </w:r>
            <w:r>
              <w:rPr>
                <w:rFonts w:hint="eastAsia" w:ascii="Times New Roman" w:hAnsi="Times New Roman" w:eastAsia="宋体" w:cs="Times New Roman"/>
                <w:i w:val="0"/>
                <w:iCs w:val="0"/>
                <w:color w:val="000000"/>
                <w:kern w:val="0"/>
                <w:sz w:val="21"/>
                <w:szCs w:val="21"/>
                <w:u w:val="none"/>
                <w:lang w:val="en-US" w:eastAsia="zh-CN" w:bidi="ar"/>
              </w:rPr>
              <w:t>7</w:t>
            </w:r>
          </w:p>
        </w:tc>
        <w:tc>
          <w:tcPr>
            <w:tcW w:w="450" w:type="pct"/>
            <w:shd w:val="clear" w:color="auto" w:fill="auto"/>
            <w:vAlign w:val="center"/>
          </w:tcPr>
          <w:p w14:paraId="31A8EEE3">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1.85E+11</w:t>
            </w:r>
          </w:p>
        </w:tc>
        <w:tc>
          <w:tcPr>
            <w:tcW w:w="386" w:type="pct"/>
            <w:shd w:val="clear" w:color="auto" w:fill="auto"/>
            <w:vAlign w:val="center"/>
          </w:tcPr>
          <w:p w14:paraId="38E13CC7">
            <w:pPr>
              <w:spacing w:line="360" w:lineRule="exact"/>
              <w:jc w:val="center"/>
              <w:rPr>
                <w:rFonts w:ascii="Times New Roman" w:hAnsi="Times New Roman" w:eastAsia="宋体" w:cs="Times New Roman"/>
                <w:sz w:val="21"/>
                <w:szCs w:val="21"/>
                <w:lang w:val="en-US" w:eastAsia="zh-CN" w:bidi="ar-SA"/>
              </w:rPr>
            </w:pPr>
            <w:r>
              <w:rPr>
                <w:sz w:val="21"/>
                <w:szCs w:val="21"/>
              </w:rPr>
              <w:t>显像诊断</w:t>
            </w:r>
          </w:p>
        </w:tc>
        <w:tc>
          <w:tcPr>
            <w:tcW w:w="352" w:type="pct"/>
            <w:shd w:val="clear" w:color="auto" w:fill="auto"/>
            <w:vAlign w:val="center"/>
          </w:tcPr>
          <w:p w14:paraId="61C34AF9">
            <w:pPr>
              <w:spacing w:line="360" w:lineRule="exact"/>
              <w:jc w:val="center"/>
              <w:rPr>
                <w:sz w:val="21"/>
                <w:szCs w:val="21"/>
              </w:rPr>
            </w:pPr>
            <w:r>
              <w:rPr>
                <w:sz w:val="21"/>
                <w:szCs w:val="21"/>
              </w:rPr>
              <w:t>简单</w:t>
            </w:r>
          </w:p>
          <w:p w14:paraId="65DCC8EE">
            <w:pPr>
              <w:spacing w:line="360" w:lineRule="exact"/>
              <w:jc w:val="center"/>
              <w:rPr>
                <w:rFonts w:ascii="Times New Roman" w:hAnsi="Times New Roman" w:eastAsia="宋体" w:cs="Times New Roman"/>
                <w:sz w:val="21"/>
                <w:szCs w:val="21"/>
                <w:lang w:val="en-US" w:eastAsia="zh-CN" w:bidi="ar-SA"/>
              </w:rPr>
            </w:pPr>
            <w:r>
              <w:rPr>
                <w:sz w:val="21"/>
                <w:szCs w:val="21"/>
              </w:rPr>
              <w:t>操作</w:t>
            </w:r>
          </w:p>
        </w:tc>
        <w:tc>
          <w:tcPr>
            <w:tcW w:w="446" w:type="pct"/>
            <w:shd w:val="clear" w:color="auto" w:fill="auto"/>
            <w:vAlign w:val="center"/>
          </w:tcPr>
          <w:p w14:paraId="03D17274">
            <w:pPr>
              <w:spacing w:line="360" w:lineRule="exact"/>
              <w:jc w:val="center"/>
              <w:rPr>
                <w:rFonts w:hint="eastAsia" w:ascii="Times New Roman" w:hAnsi="Times New Roman" w:eastAsia="宋体" w:cs="Times New Roman"/>
                <w:sz w:val="21"/>
                <w:szCs w:val="21"/>
                <w:lang w:val="en-US" w:eastAsia="zh-CN" w:bidi="ar-SA"/>
              </w:rPr>
            </w:pPr>
            <w:r>
              <w:rPr>
                <w:sz w:val="21"/>
                <w:szCs w:val="21"/>
              </w:rPr>
              <w:t>负</w:t>
            </w:r>
            <w:r>
              <w:rPr>
                <w:rFonts w:hint="eastAsia"/>
                <w:sz w:val="21"/>
                <w:szCs w:val="21"/>
                <w:lang w:val="en-US" w:eastAsia="zh-CN"/>
              </w:rPr>
              <w:t>一</w:t>
            </w:r>
            <w:r>
              <w:rPr>
                <w:sz w:val="21"/>
                <w:szCs w:val="21"/>
              </w:rPr>
              <w:t>层</w:t>
            </w:r>
            <w:r>
              <w:rPr>
                <w:rFonts w:hint="eastAsia"/>
                <w:sz w:val="21"/>
                <w:szCs w:val="21"/>
                <w:lang w:val="en-US" w:eastAsia="zh-CN"/>
              </w:rPr>
              <w:t>核医学科</w:t>
            </w:r>
          </w:p>
        </w:tc>
        <w:tc>
          <w:tcPr>
            <w:tcW w:w="820" w:type="pct"/>
            <w:shd w:val="clear" w:color="auto" w:fill="auto"/>
            <w:vAlign w:val="center"/>
          </w:tcPr>
          <w:p w14:paraId="15207175">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bidi="ar"/>
              </w:rPr>
              <w:t>外购成品药物，存放于源库</w:t>
            </w:r>
            <w:r>
              <w:rPr>
                <w:rFonts w:hint="eastAsia"/>
                <w:spacing w:val="-11"/>
                <w:sz w:val="21"/>
                <w:szCs w:val="21"/>
                <w:highlight w:val="none"/>
                <w:lang w:val="en-US" w:eastAsia="zh-CN"/>
              </w:rPr>
              <w:t>源库1#</w:t>
            </w:r>
          </w:p>
        </w:tc>
        <w:tc>
          <w:tcPr>
            <w:tcW w:w="289" w:type="pct"/>
            <w:vMerge w:val="continue"/>
            <w:vAlign w:val="center"/>
          </w:tcPr>
          <w:p w14:paraId="18AD5A84">
            <w:pPr>
              <w:spacing w:line="360" w:lineRule="exact"/>
              <w:jc w:val="center"/>
              <w:rPr>
                <w:sz w:val="21"/>
                <w:szCs w:val="21"/>
              </w:rPr>
            </w:pPr>
          </w:p>
        </w:tc>
      </w:tr>
      <w:tr w14:paraId="4502AB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92" w:type="pct"/>
            <w:vAlign w:val="center"/>
          </w:tcPr>
          <w:p w14:paraId="4B65F35D">
            <w:pPr>
              <w:widowControl/>
              <w:spacing w:line="360" w:lineRule="exact"/>
              <w:jc w:val="center"/>
              <w:rPr>
                <w:sz w:val="21"/>
                <w:szCs w:val="21"/>
              </w:rPr>
            </w:pPr>
            <w:r>
              <w:rPr>
                <w:sz w:val="21"/>
                <w:szCs w:val="21"/>
                <w:lang w:bidi="ar"/>
              </w:rPr>
              <w:t>3</w:t>
            </w:r>
          </w:p>
        </w:tc>
        <w:tc>
          <w:tcPr>
            <w:tcW w:w="323" w:type="pct"/>
            <w:shd w:val="clear" w:color="auto" w:fill="auto"/>
            <w:vAlign w:val="center"/>
          </w:tcPr>
          <w:p w14:paraId="148ACA03">
            <w:pPr>
              <w:spacing w:line="360" w:lineRule="exact"/>
              <w:jc w:val="center"/>
              <w:rPr>
                <w:rFonts w:ascii="Times New Roman" w:hAnsi="Times New Roman" w:eastAsia="宋体" w:cs="Times New Roman"/>
                <w:sz w:val="21"/>
                <w:szCs w:val="21"/>
                <w:vertAlign w:val="superscript"/>
                <w:lang w:val="en-US" w:eastAsia="zh-CN" w:bidi="ar-SA"/>
              </w:rPr>
            </w:pPr>
            <w:r>
              <w:rPr>
                <w:bCs/>
                <w:sz w:val="21"/>
                <w:szCs w:val="21"/>
                <w:vertAlign w:val="superscript"/>
                <w:lang w:bidi="ar"/>
              </w:rPr>
              <w:t>99m</w:t>
            </w:r>
            <w:r>
              <w:rPr>
                <w:bCs/>
                <w:sz w:val="21"/>
                <w:szCs w:val="21"/>
                <w:lang w:bidi="ar"/>
              </w:rPr>
              <w:t>Tc</w:t>
            </w:r>
          </w:p>
        </w:tc>
        <w:tc>
          <w:tcPr>
            <w:tcW w:w="291" w:type="pct"/>
            <w:shd w:val="clear" w:color="auto" w:fill="auto"/>
            <w:vAlign w:val="center"/>
          </w:tcPr>
          <w:p w14:paraId="320EBCF6">
            <w:pPr>
              <w:spacing w:line="360" w:lineRule="exact"/>
              <w:jc w:val="center"/>
              <w:rPr>
                <w:rFonts w:ascii="Times New Roman" w:hAnsi="Times New Roman" w:eastAsia="宋体" w:cs="Times New Roman"/>
                <w:bCs/>
                <w:sz w:val="21"/>
                <w:szCs w:val="21"/>
                <w:lang w:val="en-US" w:eastAsia="zh-CN" w:bidi="ar-SA"/>
              </w:rPr>
            </w:pPr>
            <w:r>
              <w:rPr>
                <w:bCs/>
                <w:sz w:val="21"/>
                <w:szCs w:val="21"/>
              </w:rPr>
              <w:t>液态</w:t>
            </w:r>
          </w:p>
        </w:tc>
        <w:tc>
          <w:tcPr>
            <w:tcW w:w="319" w:type="pct"/>
            <w:shd w:val="clear" w:color="auto" w:fill="auto"/>
            <w:vAlign w:val="center"/>
          </w:tcPr>
          <w:p w14:paraId="7A74017B">
            <w:pPr>
              <w:spacing w:line="360" w:lineRule="exact"/>
              <w:jc w:val="center"/>
              <w:rPr>
                <w:rFonts w:ascii="Times New Roman" w:hAnsi="Times New Roman" w:eastAsia="宋体" w:cs="Times New Roman"/>
                <w:bCs/>
                <w:sz w:val="21"/>
                <w:szCs w:val="21"/>
                <w:lang w:val="en-US" w:eastAsia="zh-CN" w:bidi="ar-SA"/>
              </w:rPr>
            </w:pPr>
            <w:r>
              <w:rPr>
                <w:bCs/>
                <w:sz w:val="21"/>
                <w:szCs w:val="21"/>
              </w:rPr>
              <w:t>使用</w:t>
            </w:r>
          </w:p>
        </w:tc>
        <w:tc>
          <w:tcPr>
            <w:tcW w:w="467" w:type="pct"/>
            <w:shd w:val="clear" w:color="auto" w:fill="auto"/>
            <w:vAlign w:val="center"/>
          </w:tcPr>
          <w:p w14:paraId="4F69BCE6">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2.22E+10</w:t>
            </w:r>
          </w:p>
        </w:tc>
        <w:tc>
          <w:tcPr>
            <w:tcW w:w="561" w:type="pct"/>
            <w:shd w:val="clear" w:color="auto" w:fill="auto"/>
            <w:vAlign w:val="center"/>
          </w:tcPr>
          <w:p w14:paraId="2680AF14">
            <w:pPr>
              <w:keepNext w:val="0"/>
              <w:keepLines w:val="0"/>
              <w:widowControl/>
              <w:suppressLineNumbers w:val="0"/>
              <w:jc w:val="center"/>
              <w:textAlignment w:val="bottom"/>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2.22E+</w:t>
            </w:r>
            <w:r>
              <w:rPr>
                <w:rFonts w:hint="eastAsia" w:ascii="Times New Roman" w:hAnsi="Times New Roman" w:eastAsia="宋体" w:cs="Times New Roman"/>
                <w:i w:val="0"/>
                <w:iCs w:val="0"/>
                <w:color w:val="000000"/>
                <w:kern w:val="0"/>
                <w:sz w:val="21"/>
                <w:szCs w:val="21"/>
                <w:u w:val="none"/>
                <w:lang w:val="en-US" w:eastAsia="zh-CN" w:bidi="ar"/>
              </w:rPr>
              <w:t>07</w:t>
            </w:r>
          </w:p>
        </w:tc>
        <w:tc>
          <w:tcPr>
            <w:tcW w:w="450" w:type="pct"/>
            <w:shd w:val="clear" w:color="auto" w:fill="auto"/>
            <w:vAlign w:val="center"/>
          </w:tcPr>
          <w:p w14:paraId="31C95ED8">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5.55E+12</w:t>
            </w:r>
          </w:p>
        </w:tc>
        <w:tc>
          <w:tcPr>
            <w:tcW w:w="386" w:type="pct"/>
            <w:shd w:val="clear" w:color="auto" w:fill="auto"/>
            <w:vAlign w:val="center"/>
          </w:tcPr>
          <w:p w14:paraId="15485060">
            <w:pPr>
              <w:spacing w:line="360" w:lineRule="exact"/>
              <w:jc w:val="center"/>
              <w:rPr>
                <w:rFonts w:ascii="Times New Roman" w:hAnsi="Times New Roman" w:eastAsia="宋体" w:cs="Times New Roman"/>
                <w:sz w:val="21"/>
                <w:szCs w:val="21"/>
                <w:lang w:val="en-US" w:eastAsia="zh-CN" w:bidi="ar-SA"/>
              </w:rPr>
            </w:pPr>
            <w:r>
              <w:rPr>
                <w:sz w:val="21"/>
                <w:szCs w:val="21"/>
              </w:rPr>
              <w:t>显像诊断</w:t>
            </w:r>
          </w:p>
        </w:tc>
        <w:tc>
          <w:tcPr>
            <w:tcW w:w="352" w:type="pct"/>
            <w:shd w:val="clear" w:color="auto" w:fill="auto"/>
            <w:vAlign w:val="center"/>
          </w:tcPr>
          <w:p w14:paraId="6AB5B8EA">
            <w:pPr>
              <w:spacing w:line="360" w:lineRule="exact"/>
              <w:jc w:val="center"/>
              <w:rPr>
                <w:sz w:val="21"/>
                <w:szCs w:val="21"/>
              </w:rPr>
            </w:pPr>
            <w:r>
              <w:rPr>
                <w:sz w:val="21"/>
                <w:szCs w:val="21"/>
              </w:rPr>
              <w:t>简单</w:t>
            </w:r>
          </w:p>
          <w:p w14:paraId="1AAECDA4">
            <w:pPr>
              <w:spacing w:line="360" w:lineRule="exact"/>
              <w:jc w:val="center"/>
              <w:rPr>
                <w:rFonts w:ascii="Times New Roman" w:hAnsi="Times New Roman" w:eastAsia="宋体" w:cs="Times New Roman"/>
                <w:sz w:val="21"/>
                <w:szCs w:val="21"/>
                <w:lang w:val="en-US" w:eastAsia="zh-CN" w:bidi="ar-SA"/>
              </w:rPr>
            </w:pPr>
            <w:r>
              <w:rPr>
                <w:sz w:val="21"/>
                <w:szCs w:val="21"/>
              </w:rPr>
              <w:t>操作</w:t>
            </w:r>
          </w:p>
        </w:tc>
        <w:tc>
          <w:tcPr>
            <w:tcW w:w="446" w:type="pct"/>
            <w:shd w:val="clear" w:color="auto" w:fill="auto"/>
            <w:vAlign w:val="center"/>
          </w:tcPr>
          <w:p w14:paraId="420EFC3D">
            <w:pPr>
              <w:spacing w:line="360" w:lineRule="exact"/>
              <w:jc w:val="center"/>
              <w:rPr>
                <w:rFonts w:hint="eastAsia" w:ascii="Times New Roman" w:hAnsi="Times New Roman" w:eastAsia="宋体" w:cs="Times New Roman"/>
                <w:sz w:val="21"/>
                <w:szCs w:val="21"/>
                <w:lang w:val="en-US" w:eastAsia="zh-CN" w:bidi="ar-SA"/>
              </w:rPr>
            </w:pPr>
            <w:r>
              <w:rPr>
                <w:sz w:val="21"/>
                <w:szCs w:val="21"/>
              </w:rPr>
              <w:t>负</w:t>
            </w:r>
            <w:r>
              <w:rPr>
                <w:rFonts w:hint="eastAsia"/>
                <w:sz w:val="21"/>
                <w:szCs w:val="21"/>
                <w:lang w:val="en-US" w:eastAsia="zh-CN"/>
              </w:rPr>
              <w:t>一</w:t>
            </w:r>
            <w:r>
              <w:rPr>
                <w:sz w:val="21"/>
                <w:szCs w:val="21"/>
              </w:rPr>
              <w:t>层</w:t>
            </w:r>
            <w:r>
              <w:rPr>
                <w:rFonts w:hint="eastAsia"/>
                <w:sz w:val="21"/>
                <w:szCs w:val="21"/>
                <w:lang w:val="en-US" w:eastAsia="zh-CN"/>
              </w:rPr>
              <w:t>核医学科</w:t>
            </w:r>
          </w:p>
        </w:tc>
        <w:tc>
          <w:tcPr>
            <w:tcW w:w="820" w:type="pct"/>
            <w:shd w:val="clear" w:color="auto" w:fill="auto"/>
            <w:vAlign w:val="center"/>
          </w:tcPr>
          <w:p w14:paraId="53EF856D">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bidi="ar"/>
              </w:rPr>
              <w:t>外购成品药物，存放于源库</w:t>
            </w:r>
            <w:r>
              <w:rPr>
                <w:rFonts w:hint="eastAsia"/>
                <w:spacing w:val="-11"/>
                <w:sz w:val="21"/>
                <w:szCs w:val="21"/>
                <w:highlight w:val="none"/>
                <w:lang w:val="en-US" w:eastAsia="zh-CN"/>
              </w:rPr>
              <w:t>源库1#</w:t>
            </w:r>
          </w:p>
        </w:tc>
        <w:tc>
          <w:tcPr>
            <w:tcW w:w="289" w:type="pct"/>
            <w:vMerge w:val="continue"/>
            <w:vAlign w:val="center"/>
          </w:tcPr>
          <w:p w14:paraId="26DE9B90">
            <w:pPr>
              <w:spacing w:line="360" w:lineRule="exact"/>
              <w:jc w:val="center"/>
              <w:rPr>
                <w:sz w:val="21"/>
                <w:szCs w:val="21"/>
              </w:rPr>
            </w:pPr>
          </w:p>
        </w:tc>
      </w:tr>
      <w:tr w14:paraId="09AB55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92" w:type="pct"/>
            <w:vAlign w:val="center"/>
          </w:tcPr>
          <w:p w14:paraId="127BD13C">
            <w:pPr>
              <w:widowControl/>
              <w:spacing w:line="360" w:lineRule="exact"/>
              <w:jc w:val="center"/>
              <w:rPr>
                <w:sz w:val="21"/>
                <w:szCs w:val="21"/>
              </w:rPr>
            </w:pPr>
            <w:r>
              <w:rPr>
                <w:sz w:val="21"/>
                <w:szCs w:val="21"/>
                <w:lang w:bidi="ar"/>
              </w:rPr>
              <w:t>4</w:t>
            </w:r>
          </w:p>
        </w:tc>
        <w:tc>
          <w:tcPr>
            <w:tcW w:w="323" w:type="pct"/>
            <w:shd w:val="clear" w:color="auto" w:fill="auto"/>
            <w:vAlign w:val="center"/>
          </w:tcPr>
          <w:p w14:paraId="3316A731">
            <w:pPr>
              <w:spacing w:line="360" w:lineRule="exact"/>
              <w:jc w:val="center"/>
              <w:rPr>
                <w:rFonts w:hint="eastAsia" w:ascii="Times New Roman" w:hAnsi="Times New Roman" w:eastAsia="宋体" w:cs="Times New Roman"/>
                <w:bCs/>
                <w:sz w:val="21"/>
                <w:szCs w:val="21"/>
                <w:lang w:val="en-US" w:eastAsia="zh-CN" w:bidi="ar-SA"/>
              </w:rPr>
            </w:pPr>
            <w:r>
              <w:rPr>
                <w:sz w:val="21"/>
                <w:szCs w:val="21"/>
                <w:vertAlign w:val="superscript"/>
              </w:rPr>
              <w:t>89</w:t>
            </w:r>
            <w:r>
              <w:rPr>
                <w:sz w:val="21"/>
                <w:szCs w:val="21"/>
              </w:rPr>
              <w:t>Sr</w:t>
            </w:r>
          </w:p>
        </w:tc>
        <w:tc>
          <w:tcPr>
            <w:tcW w:w="291" w:type="pct"/>
            <w:shd w:val="clear" w:color="auto" w:fill="auto"/>
            <w:vAlign w:val="center"/>
          </w:tcPr>
          <w:p w14:paraId="0718C5B7">
            <w:pPr>
              <w:spacing w:line="360" w:lineRule="exact"/>
              <w:jc w:val="center"/>
              <w:rPr>
                <w:rFonts w:ascii="Times New Roman" w:hAnsi="Times New Roman" w:eastAsia="宋体" w:cs="Times New Roman"/>
                <w:bCs/>
                <w:sz w:val="21"/>
                <w:szCs w:val="21"/>
                <w:lang w:val="en-US" w:eastAsia="zh-CN" w:bidi="ar-SA"/>
              </w:rPr>
            </w:pPr>
            <w:r>
              <w:rPr>
                <w:bCs/>
                <w:sz w:val="21"/>
                <w:szCs w:val="21"/>
              </w:rPr>
              <w:t>液态</w:t>
            </w:r>
          </w:p>
        </w:tc>
        <w:tc>
          <w:tcPr>
            <w:tcW w:w="319" w:type="pct"/>
            <w:shd w:val="clear" w:color="auto" w:fill="auto"/>
            <w:vAlign w:val="center"/>
          </w:tcPr>
          <w:p w14:paraId="5C65B8D3">
            <w:pPr>
              <w:spacing w:line="360" w:lineRule="exact"/>
              <w:jc w:val="center"/>
              <w:rPr>
                <w:rFonts w:ascii="Times New Roman" w:hAnsi="Times New Roman" w:eastAsia="宋体" w:cs="Times New Roman"/>
                <w:bCs/>
                <w:sz w:val="21"/>
                <w:szCs w:val="21"/>
                <w:lang w:val="en-US" w:eastAsia="zh-CN" w:bidi="ar-SA"/>
              </w:rPr>
            </w:pPr>
            <w:r>
              <w:rPr>
                <w:bCs/>
                <w:sz w:val="21"/>
                <w:szCs w:val="21"/>
              </w:rPr>
              <w:t>使用</w:t>
            </w:r>
          </w:p>
        </w:tc>
        <w:tc>
          <w:tcPr>
            <w:tcW w:w="467" w:type="pct"/>
            <w:shd w:val="clear" w:color="auto" w:fill="auto"/>
            <w:vAlign w:val="center"/>
          </w:tcPr>
          <w:p w14:paraId="45704B19">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3.70E+09</w:t>
            </w:r>
          </w:p>
        </w:tc>
        <w:tc>
          <w:tcPr>
            <w:tcW w:w="561" w:type="pct"/>
            <w:shd w:val="clear" w:color="auto" w:fill="auto"/>
            <w:vAlign w:val="center"/>
          </w:tcPr>
          <w:p w14:paraId="7FFDCCC1">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3.70E+0</w:t>
            </w:r>
            <w:r>
              <w:rPr>
                <w:rFonts w:hint="eastAsia" w:ascii="Times New Roman" w:hAnsi="Times New Roman" w:eastAsia="宋体" w:cs="Times New Roman"/>
                <w:i w:val="0"/>
                <w:iCs w:val="0"/>
                <w:color w:val="000000"/>
                <w:kern w:val="0"/>
                <w:sz w:val="21"/>
                <w:szCs w:val="21"/>
                <w:u w:val="none"/>
                <w:lang w:val="en-US" w:eastAsia="zh-CN" w:bidi="ar"/>
              </w:rPr>
              <w:t>8</w:t>
            </w:r>
          </w:p>
        </w:tc>
        <w:tc>
          <w:tcPr>
            <w:tcW w:w="450" w:type="pct"/>
            <w:shd w:val="clear" w:color="auto" w:fill="auto"/>
            <w:vAlign w:val="center"/>
          </w:tcPr>
          <w:p w14:paraId="46A4FDAD">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9.25E+11</w:t>
            </w:r>
          </w:p>
        </w:tc>
        <w:tc>
          <w:tcPr>
            <w:tcW w:w="386" w:type="pct"/>
            <w:shd w:val="clear" w:color="auto" w:fill="auto"/>
            <w:vAlign w:val="center"/>
          </w:tcPr>
          <w:p w14:paraId="42A4AF89">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rPr>
              <w:t>骨转移癌治疗</w:t>
            </w:r>
          </w:p>
        </w:tc>
        <w:tc>
          <w:tcPr>
            <w:tcW w:w="352" w:type="pct"/>
            <w:shd w:val="clear" w:color="auto" w:fill="auto"/>
            <w:vAlign w:val="center"/>
          </w:tcPr>
          <w:p w14:paraId="4F06B620">
            <w:pPr>
              <w:spacing w:line="360" w:lineRule="exact"/>
              <w:jc w:val="center"/>
              <w:rPr>
                <w:sz w:val="21"/>
                <w:szCs w:val="21"/>
              </w:rPr>
            </w:pPr>
            <w:r>
              <w:rPr>
                <w:sz w:val="21"/>
                <w:szCs w:val="21"/>
              </w:rPr>
              <w:t>简单</w:t>
            </w:r>
          </w:p>
          <w:p w14:paraId="6199787B">
            <w:pPr>
              <w:spacing w:line="360" w:lineRule="exact"/>
              <w:jc w:val="center"/>
              <w:rPr>
                <w:rFonts w:ascii="Times New Roman" w:hAnsi="Times New Roman" w:eastAsia="宋体" w:cs="Times New Roman"/>
                <w:sz w:val="21"/>
                <w:szCs w:val="21"/>
                <w:lang w:val="en-US" w:eastAsia="zh-CN" w:bidi="ar-SA"/>
              </w:rPr>
            </w:pPr>
            <w:r>
              <w:rPr>
                <w:sz w:val="21"/>
                <w:szCs w:val="21"/>
              </w:rPr>
              <w:t>操作</w:t>
            </w:r>
          </w:p>
        </w:tc>
        <w:tc>
          <w:tcPr>
            <w:tcW w:w="446" w:type="pct"/>
            <w:shd w:val="clear" w:color="auto" w:fill="auto"/>
            <w:vAlign w:val="center"/>
          </w:tcPr>
          <w:p w14:paraId="669A9A47">
            <w:pPr>
              <w:spacing w:line="360" w:lineRule="exact"/>
              <w:jc w:val="center"/>
              <w:rPr>
                <w:rFonts w:hint="eastAsia" w:ascii="Times New Roman" w:hAnsi="Times New Roman" w:eastAsia="宋体" w:cs="Times New Roman"/>
                <w:sz w:val="21"/>
                <w:szCs w:val="21"/>
                <w:lang w:val="en-US" w:eastAsia="zh-CN" w:bidi="ar-SA"/>
              </w:rPr>
            </w:pPr>
            <w:r>
              <w:rPr>
                <w:sz w:val="21"/>
                <w:szCs w:val="21"/>
              </w:rPr>
              <w:t>负</w:t>
            </w:r>
            <w:r>
              <w:rPr>
                <w:rFonts w:hint="eastAsia"/>
                <w:sz w:val="21"/>
                <w:szCs w:val="21"/>
                <w:lang w:val="en-US" w:eastAsia="zh-CN"/>
              </w:rPr>
              <w:t>一</w:t>
            </w:r>
            <w:r>
              <w:rPr>
                <w:sz w:val="21"/>
                <w:szCs w:val="21"/>
              </w:rPr>
              <w:t>层</w:t>
            </w:r>
            <w:r>
              <w:rPr>
                <w:rFonts w:hint="eastAsia"/>
                <w:sz w:val="21"/>
                <w:szCs w:val="21"/>
                <w:lang w:val="en-US" w:eastAsia="zh-CN"/>
              </w:rPr>
              <w:t>核医学科</w:t>
            </w:r>
          </w:p>
        </w:tc>
        <w:tc>
          <w:tcPr>
            <w:tcW w:w="820" w:type="pct"/>
            <w:shd w:val="clear" w:color="auto" w:fill="auto"/>
            <w:vAlign w:val="center"/>
          </w:tcPr>
          <w:p w14:paraId="541D89A2">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bidi="ar"/>
              </w:rPr>
              <w:t>外购成品药物，存放于源库</w:t>
            </w:r>
            <w:r>
              <w:rPr>
                <w:rFonts w:hint="eastAsia"/>
                <w:spacing w:val="-11"/>
                <w:sz w:val="21"/>
                <w:szCs w:val="21"/>
                <w:highlight w:val="none"/>
                <w:lang w:val="en-US" w:eastAsia="zh-CN"/>
              </w:rPr>
              <w:t>源库2#</w:t>
            </w:r>
          </w:p>
        </w:tc>
        <w:tc>
          <w:tcPr>
            <w:tcW w:w="289" w:type="pct"/>
            <w:vMerge w:val="continue"/>
            <w:vAlign w:val="center"/>
          </w:tcPr>
          <w:p w14:paraId="0C35DEA7">
            <w:pPr>
              <w:spacing w:line="360" w:lineRule="exact"/>
              <w:jc w:val="center"/>
              <w:rPr>
                <w:sz w:val="21"/>
                <w:szCs w:val="21"/>
              </w:rPr>
            </w:pPr>
          </w:p>
        </w:tc>
      </w:tr>
      <w:tr w14:paraId="7A9B7F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92" w:type="pct"/>
            <w:vAlign w:val="center"/>
          </w:tcPr>
          <w:p w14:paraId="0CEDB021">
            <w:pPr>
              <w:widowControl/>
              <w:spacing w:line="360" w:lineRule="exact"/>
              <w:jc w:val="center"/>
              <w:rPr>
                <w:sz w:val="21"/>
                <w:szCs w:val="21"/>
              </w:rPr>
            </w:pPr>
            <w:r>
              <w:rPr>
                <w:sz w:val="21"/>
                <w:szCs w:val="21"/>
                <w:lang w:bidi="ar"/>
              </w:rPr>
              <w:t>5</w:t>
            </w:r>
          </w:p>
        </w:tc>
        <w:tc>
          <w:tcPr>
            <w:tcW w:w="323" w:type="pct"/>
            <w:shd w:val="clear" w:color="auto" w:fill="auto"/>
            <w:vAlign w:val="center"/>
          </w:tcPr>
          <w:p w14:paraId="7F4FF683">
            <w:pPr>
              <w:spacing w:line="360" w:lineRule="exact"/>
              <w:jc w:val="center"/>
              <w:rPr>
                <w:rFonts w:ascii="Times New Roman" w:hAnsi="Times New Roman" w:eastAsia="宋体" w:cs="Times New Roman"/>
                <w:bCs/>
                <w:sz w:val="21"/>
                <w:szCs w:val="21"/>
                <w:lang w:val="en-US" w:eastAsia="zh-CN" w:bidi="ar-SA"/>
              </w:rPr>
            </w:pPr>
            <w:r>
              <w:rPr>
                <w:sz w:val="21"/>
                <w:szCs w:val="21"/>
                <w:vertAlign w:val="superscript"/>
              </w:rPr>
              <w:t>131</w:t>
            </w:r>
            <w:r>
              <w:rPr>
                <w:sz w:val="21"/>
                <w:szCs w:val="21"/>
              </w:rPr>
              <w:t>I</w:t>
            </w:r>
          </w:p>
        </w:tc>
        <w:tc>
          <w:tcPr>
            <w:tcW w:w="291" w:type="pct"/>
            <w:shd w:val="clear" w:color="auto" w:fill="auto"/>
            <w:vAlign w:val="center"/>
          </w:tcPr>
          <w:p w14:paraId="39B104AA">
            <w:pPr>
              <w:spacing w:line="360" w:lineRule="exact"/>
              <w:jc w:val="center"/>
              <w:rPr>
                <w:rFonts w:ascii="Times New Roman" w:hAnsi="Times New Roman" w:eastAsia="宋体" w:cs="Times New Roman"/>
                <w:bCs/>
                <w:sz w:val="21"/>
                <w:szCs w:val="21"/>
                <w:lang w:val="en-US" w:eastAsia="zh-CN" w:bidi="ar-SA"/>
              </w:rPr>
            </w:pPr>
            <w:r>
              <w:rPr>
                <w:bCs/>
                <w:sz w:val="21"/>
                <w:szCs w:val="21"/>
              </w:rPr>
              <w:t>液态</w:t>
            </w:r>
          </w:p>
        </w:tc>
        <w:tc>
          <w:tcPr>
            <w:tcW w:w="319" w:type="pct"/>
            <w:shd w:val="clear" w:color="auto" w:fill="auto"/>
            <w:vAlign w:val="center"/>
          </w:tcPr>
          <w:p w14:paraId="570CB803">
            <w:pPr>
              <w:spacing w:line="360" w:lineRule="exact"/>
              <w:jc w:val="center"/>
              <w:rPr>
                <w:rFonts w:ascii="Times New Roman" w:hAnsi="Times New Roman" w:eastAsia="宋体" w:cs="Times New Roman"/>
                <w:bCs/>
                <w:sz w:val="21"/>
                <w:szCs w:val="21"/>
                <w:lang w:val="en-US" w:eastAsia="zh-CN" w:bidi="ar-SA"/>
              </w:rPr>
            </w:pPr>
            <w:r>
              <w:rPr>
                <w:bCs/>
                <w:sz w:val="21"/>
                <w:szCs w:val="21"/>
              </w:rPr>
              <w:t>使用</w:t>
            </w:r>
          </w:p>
        </w:tc>
        <w:tc>
          <w:tcPr>
            <w:tcW w:w="467" w:type="pct"/>
            <w:shd w:val="clear" w:color="auto" w:fill="auto"/>
            <w:vAlign w:val="center"/>
          </w:tcPr>
          <w:p w14:paraId="1DFC2528">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7.40E+08</w:t>
            </w:r>
          </w:p>
        </w:tc>
        <w:tc>
          <w:tcPr>
            <w:tcW w:w="561" w:type="pct"/>
            <w:shd w:val="clear" w:color="auto" w:fill="auto"/>
            <w:vAlign w:val="center"/>
          </w:tcPr>
          <w:p w14:paraId="6D2A2FBE">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7.40E+0</w:t>
            </w:r>
            <w:r>
              <w:rPr>
                <w:rFonts w:hint="eastAsia" w:ascii="Times New Roman" w:hAnsi="Times New Roman" w:eastAsia="宋体" w:cs="Times New Roman"/>
                <w:i w:val="0"/>
                <w:iCs w:val="0"/>
                <w:color w:val="000000"/>
                <w:kern w:val="0"/>
                <w:sz w:val="21"/>
                <w:szCs w:val="21"/>
                <w:u w:val="none"/>
                <w:lang w:val="en-US" w:eastAsia="zh-CN" w:bidi="ar"/>
              </w:rPr>
              <w:t>7</w:t>
            </w:r>
          </w:p>
        </w:tc>
        <w:tc>
          <w:tcPr>
            <w:tcW w:w="450" w:type="pct"/>
            <w:shd w:val="clear" w:color="auto" w:fill="auto"/>
            <w:vAlign w:val="center"/>
          </w:tcPr>
          <w:p w14:paraId="06767F6B">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1.85E+11</w:t>
            </w:r>
          </w:p>
        </w:tc>
        <w:tc>
          <w:tcPr>
            <w:tcW w:w="386" w:type="pct"/>
            <w:shd w:val="clear" w:color="auto" w:fill="auto"/>
            <w:vAlign w:val="center"/>
          </w:tcPr>
          <w:p w14:paraId="0B02D4DC">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rPr>
              <w:t>甲亢治疗</w:t>
            </w:r>
          </w:p>
        </w:tc>
        <w:tc>
          <w:tcPr>
            <w:tcW w:w="352" w:type="pct"/>
            <w:shd w:val="clear" w:color="auto" w:fill="auto"/>
            <w:vAlign w:val="center"/>
          </w:tcPr>
          <w:p w14:paraId="44CFA072">
            <w:pPr>
              <w:spacing w:line="360" w:lineRule="exact"/>
              <w:jc w:val="center"/>
              <w:rPr>
                <w:sz w:val="21"/>
                <w:szCs w:val="21"/>
              </w:rPr>
            </w:pPr>
            <w:r>
              <w:rPr>
                <w:sz w:val="21"/>
                <w:szCs w:val="21"/>
              </w:rPr>
              <w:t>简单</w:t>
            </w:r>
          </w:p>
          <w:p w14:paraId="5249BF98">
            <w:pPr>
              <w:spacing w:line="360" w:lineRule="exact"/>
              <w:jc w:val="center"/>
              <w:rPr>
                <w:rFonts w:ascii="Times New Roman" w:hAnsi="Times New Roman" w:eastAsia="宋体" w:cs="Times New Roman"/>
                <w:sz w:val="21"/>
                <w:szCs w:val="21"/>
                <w:lang w:val="en-US" w:eastAsia="zh-CN" w:bidi="ar-SA"/>
              </w:rPr>
            </w:pPr>
            <w:r>
              <w:rPr>
                <w:sz w:val="21"/>
                <w:szCs w:val="21"/>
              </w:rPr>
              <w:t>操作</w:t>
            </w:r>
          </w:p>
        </w:tc>
        <w:tc>
          <w:tcPr>
            <w:tcW w:w="446" w:type="pct"/>
            <w:shd w:val="clear" w:color="auto" w:fill="auto"/>
            <w:vAlign w:val="center"/>
          </w:tcPr>
          <w:p w14:paraId="2BDFB610">
            <w:pPr>
              <w:spacing w:line="360" w:lineRule="exact"/>
              <w:jc w:val="center"/>
              <w:rPr>
                <w:rFonts w:hint="eastAsia" w:ascii="Times New Roman" w:hAnsi="Times New Roman" w:eastAsia="宋体" w:cs="Times New Roman"/>
                <w:sz w:val="21"/>
                <w:szCs w:val="21"/>
                <w:lang w:val="en-US" w:eastAsia="zh-CN" w:bidi="ar-SA"/>
              </w:rPr>
            </w:pPr>
            <w:r>
              <w:rPr>
                <w:sz w:val="21"/>
                <w:szCs w:val="21"/>
              </w:rPr>
              <w:t>负</w:t>
            </w:r>
            <w:r>
              <w:rPr>
                <w:rFonts w:hint="eastAsia"/>
                <w:sz w:val="21"/>
                <w:szCs w:val="21"/>
                <w:lang w:val="en-US" w:eastAsia="zh-CN"/>
              </w:rPr>
              <w:t>一</w:t>
            </w:r>
            <w:r>
              <w:rPr>
                <w:sz w:val="21"/>
                <w:szCs w:val="21"/>
              </w:rPr>
              <w:t>层</w:t>
            </w:r>
            <w:r>
              <w:rPr>
                <w:rFonts w:hint="eastAsia"/>
                <w:sz w:val="21"/>
                <w:szCs w:val="21"/>
                <w:lang w:val="en-US" w:eastAsia="zh-CN"/>
              </w:rPr>
              <w:t>核医学科</w:t>
            </w:r>
          </w:p>
        </w:tc>
        <w:tc>
          <w:tcPr>
            <w:tcW w:w="820" w:type="pct"/>
            <w:shd w:val="clear" w:color="auto" w:fill="auto"/>
            <w:vAlign w:val="center"/>
          </w:tcPr>
          <w:p w14:paraId="405843F4">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bidi="ar"/>
              </w:rPr>
              <w:t>外购成品药物，存放于源库</w:t>
            </w:r>
            <w:r>
              <w:rPr>
                <w:rFonts w:hint="eastAsia"/>
                <w:spacing w:val="-11"/>
                <w:sz w:val="21"/>
                <w:szCs w:val="21"/>
                <w:highlight w:val="none"/>
                <w:lang w:val="en-US" w:eastAsia="zh-CN"/>
              </w:rPr>
              <w:t>源库2#</w:t>
            </w:r>
          </w:p>
        </w:tc>
        <w:tc>
          <w:tcPr>
            <w:tcW w:w="289" w:type="pct"/>
            <w:vMerge w:val="continue"/>
            <w:vAlign w:val="center"/>
          </w:tcPr>
          <w:p w14:paraId="1533ADB4">
            <w:pPr>
              <w:spacing w:line="360" w:lineRule="exact"/>
              <w:jc w:val="center"/>
              <w:rPr>
                <w:sz w:val="21"/>
                <w:szCs w:val="21"/>
              </w:rPr>
            </w:pPr>
          </w:p>
        </w:tc>
      </w:tr>
      <w:tr w14:paraId="19A9B1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92" w:type="pct"/>
            <w:vAlign w:val="center"/>
          </w:tcPr>
          <w:p w14:paraId="5366C9E7">
            <w:pPr>
              <w:widowControl/>
              <w:spacing w:line="360" w:lineRule="exact"/>
              <w:jc w:val="center"/>
              <w:rPr>
                <w:sz w:val="21"/>
                <w:szCs w:val="21"/>
                <w:lang w:bidi="ar"/>
              </w:rPr>
            </w:pPr>
            <w:r>
              <w:rPr>
                <w:sz w:val="21"/>
                <w:szCs w:val="21"/>
                <w:lang w:bidi="ar"/>
              </w:rPr>
              <w:t>6</w:t>
            </w:r>
          </w:p>
        </w:tc>
        <w:tc>
          <w:tcPr>
            <w:tcW w:w="323" w:type="pct"/>
            <w:shd w:val="clear" w:color="auto" w:fill="auto"/>
            <w:vAlign w:val="center"/>
          </w:tcPr>
          <w:p w14:paraId="02C67C1C">
            <w:pPr>
              <w:spacing w:line="360" w:lineRule="exact"/>
              <w:jc w:val="center"/>
              <w:rPr>
                <w:rFonts w:ascii="Times New Roman" w:hAnsi="Times New Roman" w:eastAsia="宋体" w:cs="Times New Roman"/>
                <w:bCs/>
                <w:sz w:val="21"/>
                <w:szCs w:val="21"/>
                <w:lang w:val="en-US" w:eastAsia="zh-CN" w:bidi="ar-SA"/>
              </w:rPr>
            </w:pPr>
            <w:r>
              <w:rPr>
                <w:sz w:val="21"/>
                <w:szCs w:val="21"/>
                <w:vertAlign w:val="superscript"/>
              </w:rPr>
              <w:t>131</w:t>
            </w:r>
            <w:r>
              <w:rPr>
                <w:sz w:val="21"/>
                <w:szCs w:val="21"/>
              </w:rPr>
              <w:t>I</w:t>
            </w:r>
          </w:p>
        </w:tc>
        <w:tc>
          <w:tcPr>
            <w:tcW w:w="291" w:type="pct"/>
            <w:shd w:val="clear" w:color="auto" w:fill="auto"/>
            <w:vAlign w:val="center"/>
          </w:tcPr>
          <w:p w14:paraId="2628EF98">
            <w:pPr>
              <w:spacing w:line="360" w:lineRule="exact"/>
              <w:jc w:val="center"/>
              <w:rPr>
                <w:rFonts w:ascii="Times New Roman" w:hAnsi="Times New Roman" w:eastAsia="宋体" w:cs="Times New Roman"/>
                <w:bCs/>
                <w:sz w:val="21"/>
                <w:szCs w:val="21"/>
                <w:lang w:val="en-US" w:eastAsia="zh-CN" w:bidi="ar-SA"/>
              </w:rPr>
            </w:pPr>
            <w:r>
              <w:rPr>
                <w:bCs/>
                <w:sz w:val="21"/>
                <w:szCs w:val="21"/>
              </w:rPr>
              <w:t>液态</w:t>
            </w:r>
          </w:p>
        </w:tc>
        <w:tc>
          <w:tcPr>
            <w:tcW w:w="319" w:type="pct"/>
            <w:shd w:val="clear" w:color="auto" w:fill="auto"/>
            <w:vAlign w:val="center"/>
          </w:tcPr>
          <w:p w14:paraId="65FF7EC7">
            <w:pPr>
              <w:spacing w:line="360" w:lineRule="exact"/>
              <w:jc w:val="center"/>
              <w:rPr>
                <w:rFonts w:ascii="Times New Roman" w:hAnsi="Times New Roman" w:eastAsia="宋体" w:cs="Times New Roman"/>
                <w:bCs/>
                <w:sz w:val="21"/>
                <w:szCs w:val="21"/>
                <w:lang w:val="en-US" w:eastAsia="zh-CN" w:bidi="ar-SA"/>
              </w:rPr>
            </w:pPr>
            <w:r>
              <w:rPr>
                <w:bCs/>
                <w:sz w:val="21"/>
                <w:szCs w:val="21"/>
              </w:rPr>
              <w:t>使用</w:t>
            </w:r>
          </w:p>
        </w:tc>
        <w:tc>
          <w:tcPr>
            <w:tcW w:w="467" w:type="pct"/>
            <w:shd w:val="clear" w:color="auto" w:fill="auto"/>
            <w:vAlign w:val="center"/>
          </w:tcPr>
          <w:p w14:paraId="68E8910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2.78E+06</w:t>
            </w:r>
          </w:p>
        </w:tc>
        <w:tc>
          <w:tcPr>
            <w:tcW w:w="561" w:type="pct"/>
            <w:shd w:val="clear" w:color="auto" w:fill="auto"/>
            <w:vAlign w:val="center"/>
          </w:tcPr>
          <w:p w14:paraId="0324431C">
            <w:pPr>
              <w:keepNext w:val="0"/>
              <w:keepLines w:val="0"/>
              <w:widowControl/>
              <w:suppressLineNumbers w:val="0"/>
              <w:jc w:val="center"/>
              <w:textAlignment w:val="bottom"/>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2.78E+05</w:t>
            </w:r>
          </w:p>
        </w:tc>
        <w:tc>
          <w:tcPr>
            <w:tcW w:w="450" w:type="pct"/>
            <w:shd w:val="clear" w:color="auto" w:fill="auto"/>
            <w:vAlign w:val="center"/>
          </w:tcPr>
          <w:p w14:paraId="1956D1E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6.94E+08</w:t>
            </w:r>
          </w:p>
        </w:tc>
        <w:tc>
          <w:tcPr>
            <w:tcW w:w="386" w:type="pct"/>
            <w:shd w:val="clear" w:color="auto" w:fill="auto"/>
            <w:vAlign w:val="center"/>
          </w:tcPr>
          <w:p w14:paraId="4A2FBEC7">
            <w:pPr>
              <w:spacing w:line="360" w:lineRule="exact"/>
              <w:jc w:val="center"/>
              <w:rPr>
                <w:rFonts w:hint="eastAsia" w:ascii="Times New Roman" w:hAnsi="Times New Roman" w:eastAsia="宋体" w:cs="Times New Roman"/>
                <w:sz w:val="21"/>
                <w:szCs w:val="21"/>
                <w:lang w:val="en-US" w:eastAsia="zh-CN" w:bidi="ar-SA"/>
              </w:rPr>
            </w:pPr>
            <w:r>
              <w:rPr>
                <w:rFonts w:hint="eastAsia"/>
                <w:sz w:val="21"/>
                <w:szCs w:val="21"/>
                <w:lang w:val="en-US" w:eastAsia="zh-CN"/>
              </w:rPr>
              <w:t>甲吸检查</w:t>
            </w:r>
          </w:p>
        </w:tc>
        <w:tc>
          <w:tcPr>
            <w:tcW w:w="352" w:type="pct"/>
            <w:shd w:val="clear" w:color="auto" w:fill="auto"/>
            <w:vAlign w:val="center"/>
          </w:tcPr>
          <w:p w14:paraId="1DE20A92">
            <w:pPr>
              <w:spacing w:line="360" w:lineRule="exact"/>
              <w:jc w:val="center"/>
              <w:rPr>
                <w:sz w:val="21"/>
                <w:szCs w:val="21"/>
              </w:rPr>
            </w:pPr>
            <w:r>
              <w:rPr>
                <w:sz w:val="21"/>
                <w:szCs w:val="21"/>
              </w:rPr>
              <w:t>简单</w:t>
            </w:r>
          </w:p>
          <w:p w14:paraId="04FA499F">
            <w:pPr>
              <w:spacing w:line="360" w:lineRule="exact"/>
              <w:jc w:val="center"/>
              <w:rPr>
                <w:sz w:val="21"/>
                <w:szCs w:val="21"/>
              </w:rPr>
            </w:pPr>
            <w:r>
              <w:rPr>
                <w:sz w:val="21"/>
                <w:szCs w:val="21"/>
              </w:rPr>
              <w:t>操作</w:t>
            </w:r>
          </w:p>
        </w:tc>
        <w:tc>
          <w:tcPr>
            <w:tcW w:w="446" w:type="pct"/>
            <w:shd w:val="clear" w:color="auto" w:fill="auto"/>
            <w:vAlign w:val="center"/>
          </w:tcPr>
          <w:p w14:paraId="15E6DA62">
            <w:pPr>
              <w:spacing w:line="360" w:lineRule="exact"/>
              <w:jc w:val="center"/>
              <w:rPr>
                <w:sz w:val="21"/>
                <w:szCs w:val="21"/>
              </w:rPr>
            </w:pPr>
            <w:r>
              <w:rPr>
                <w:sz w:val="21"/>
                <w:szCs w:val="21"/>
              </w:rPr>
              <w:t>负</w:t>
            </w:r>
            <w:r>
              <w:rPr>
                <w:rFonts w:hint="eastAsia"/>
                <w:sz w:val="21"/>
                <w:szCs w:val="21"/>
                <w:lang w:val="en-US" w:eastAsia="zh-CN"/>
              </w:rPr>
              <w:t>一</w:t>
            </w:r>
            <w:r>
              <w:rPr>
                <w:sz w:val="21"/>
                <w:szCs w:val="21"/>
              </w:rPr>
              <w:t>层</w:t>
            </w:r>
            <w:r>
              <w:rPr>
                <w:rFonts w:hint="eastAsia"/>
                <w:sz w:val="21"/>
                <w:szCs w:val="21"/>
                <w:lang w:val="en-US" w:eastAsia="zh-CN"/>
              </w:rPr>
              <w:t>核医学科</w:t>
            </w:r>
          </w:p>
        </w:tc>
        <w:tc>
          <w:tcPr>
            <w:tcW w:w="820" w:type="pct"/>
            <w:shd w:val="clear" w:color="auto" w:fill="auto"/>
            <w:vAlign w:val="center"/>
          </w:tcPr>
          <w:p w14:paraId="76418C4E">
            <w:pPr>
              <w:spacing w:line="360" w:lineRule="exact"/>
              <w:jc w:val="center"/>
              <w:rPr>
                <w:rFonts w:hint="eastAsia"/>
                <w:sz w:val="21"/>
                <w:szCs w:val="21"/>
                <w:lang w:val="en-US" w:eastAsia="zh-CN" w:bidi="ar"/>
              </w:rPr>
            </w:pPr>
            <w:r>
              <w:rPr>
                <w:rFonts w:hint="eastAsia"/>
                <w:sz w:val="21"/>
                <w:szCs w:val="21"/>
                <w:lang w:val="en-US" w:eastAsia="zh-CN" w:bidi="ar"/>
              </w:rPr>
              <w:t>外购成品药物，存放于源库</w:t>
            </w:r>
            <w:r>
              <w:rPr>
                <w:rFonts w:hint="eastAsia"/>
                <w:spacing w:val="-11"/>
                <w:sz w:val="21"/>
                <w:szCs w:val="21"/>
                <w:highlight w:val="none"/>
                <w:lang w:val="en-US" w:eastAsia="zh-CN"/>
              </w:rPr>
              <w:t>源库1#</w:t>
            </w:r>
          </w:p>
        </w:tc>
        <w:tc>
          <w:tcPr>
            <w:tcW w:w="289" w:type="pct"/>
            <w:vMerge w:val="continue"/>
            <w:vAlign w:val="center"/>
          </w:tcPr>
          <w:p w14:paraId="46685367">
            <w:pPr>
              <w:spacing w:line="360" w:lineRule="exact"/>
              <w:jc w:val="center"/>
              <w:rPr>
                <w:sz w:val="21"/>
                <w:szCs w:val="21"/>
              </w:rPr>
            </w:pPr>
          </w:p>
        </w:tc>
      </w:tr>
      <w:tr w14:paraId="4EB60A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292" w:type="pct"/>
            <w:vAlign w:val="center"/>
          </w:tcPr>
          <w:p w14:paraId="3A771250">
            <w:pPr>
              <w:widowControl/>
              <w:spacing w:line="360" w:lineRule="exact"/>
              <w:jc w:val="center"/>
              <w:rPr>
                <w:rFonts w:hint="eastAsia" w:eastAsia="宋体"/>
                <w:sz w:val="21"/>
                <w:szCs w:val="21"/>
                <w:lang w:val="en-US" w:eastAsia="zh-CN"/>
              </w:rPr>
            </w:pPr>
            <w:r>
              <w:rPr>
                <w:rFonts w:hint="eastAsia"/>
                <w:sz w:val="21"/>
                <w:szCs w:val="21"/>
                <w:lang w:val="en-US" w:eastAsia="zh-CN"/>
              </w:rPr>
              <w:t>7</w:t>
            </w:r>
          </w:p>
        </w:tc>
        <w:tc>
          <w:tcPr>
            <w:tcW w:w="323" w:type="pct"/>
            <w:vAlign w:val="center"/>
          </w:tcPr>
          <w:p w14:paraId="0506658D">
            <w:pPr>
              <w:spacing w:line="360" w:lineRule="exact"/>
              <w:jc w:val="center"/>
              <w:rPr>
                <w:rFonts w:hint="eastAsia" w:eastAsia="宋体"/>
                <w:sz w:val="21"/>
                <w:szCs w:val="21"/>
                <w:vertAlign w:val="superscript"/>
                <w:lang w:eastAsia="zh-CN"/>
              </w:rPr>
            </w:pPr>
            <w:r>
              <w:rPr>
                <w:rFonts w:hint="eastAsia"/>
                <w:sz w:val="21"/>
                <w:szCs w:val="21"/>
                <w:vertAlign w:val="superscript"/>
                <w:lang w:val="en-US" w:eastAsia="zh-CN"/>
              </w:rPr>
              <w:t>32</w:t>
            </w:r>
            <w:r>
              <w:rPr>
                <w:rFonts w:hint="eastAsia"/>
                <w:sz w:val="21"/>
                <w:szCs w:val="21"/>
                <w:lang w:val="en-US" w:eastAsia="zh-CN"/>
              </w:rPr>
              <w:t>P</w:t>
            </w:r>
          </w:p>
        </w:tc>
        <w:tc>
          <w:tcPr>
            <w:tcW w:w="291" w:type="pct"/>
            <w:vAlign w:val="center"/>
          </w:tcPr>
          <w:p w14:paraId="61728792">
            <w:pPr>
              <w:spacing w:line="360" w:lineRule="exact"/>
              <w:jc w:val="center"/>
              <w:rPr>
                <w:sz w:val="21"/>
                <w:szCs w:val="21"/>
              </w:rPr>
            </w:pPr>
            <w:r>
              <w:rPr>
                <w:sz w:val="21"/>
                <w:szCs w:val="21"/>
              </w:rPr>
              <w:t>液态</w:t>
            </w:r>
          </w:p>
        </w:tc>
        <w:tc>
          <w:tcPr>
            <w:tcW w:w="319" w:type="pct"/>
            <w:vAlign w:val="center"/>
          </w:tcPr>
          <w:p w14:paraId="01C7D278">
            <w:pPr>
              <w:spacing w:line="360" w:lineRule="exact"/>
              <w:jc w:val="center"/>
              <w:rPr>
                <w:sz w:val="21"/>
                <w:szCs w:val="21"/>
              </w:rPr>
            </w:pPr>
            <w:r>
              <w:rPr>
                <w:sz w:val="21"/>
                <w:szCs w:val="21"/>
              </w:rPr>
              <w:t>使用</w:t>
            </w:r>
          </w:p>
        </w:tc>
        <w:tc>
          <w:tcPr>
            <w:tcW w:w="467" w:type="pct"/>
            <w:shd w:val="clear" w:color="auto" w:fill="auto"/>
            <w:vAlign w:val="center"/>
          </w:tcPr>
          <w:p w14:paraId="69E204AE">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1.11E+07</w:t>
            </w:r>
          </w:p>
        </w:tc>
        <w:tc>
          <w:tcPr>
            <w:tcW w:w="561" w:type="pct"/>
            <w:shd w:val="clear" w:color="auto" w:fill="auto"/>
            <w:vAlign w:val="center"/>
          </w:tcPr>
          <w:p w14:paraId="1EDA852C">
            <w:pPr>
              <w:keepNext w:val="0"/>
              <w:keepLines w:val="0"/>
              <w:widowControl/>
              <w:suppressLineNumbers w:val="0"/>
              <w:jc w:val="center"/>
              <w:textAlignment w:val="bottom"/>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1.11E+0</w:t>
            </w:r>
            <w:r>
              <w:rPr>
                <w:rFonts w:hint="eastAsia" w:ascii="Times New Roman" w:hAnsi="Times New Roman" w:eastAsia="宋体" w:cs="Times New Roman"/>
                <w:i w:val="0"/>
                <w:iCs w:val="0"/>
                <w:color w:val="000000"/>
                <w:kern w:val="0"/>
                <w:sz w:val="21"/>
                <w:szCs w:val="21"/>
                <w:u w:val="none"/>
                <w:lang w:val="en-US" w:eastAsia="zh-CN" w:bidi="ar"/>
              </w:rPr>
              <w:t>5</w:t>
            </w:r>
          </w:p>
        </w:tc>
        <w:tc>
          <w:tcPr>
            <w:tcW w:w="450" w:type="pct"/>
            <w:shd w:val="clear" w:color="auto" w:fill="auto"/>
            <w:vAlign w:val="center"/>
          </w:tcPr>
          <w:p w14:paraId="40339A10">
            <w:pPr>
              <w:keepNext w:val="0"/>
              <w:keepLines w:val="0"/>
              <w:widowControl/>
              <w:suppressLineNumbers w:val="0"/>
              <w:jc w:val="center"/>
              <w:textAlignment w:val="bottom"/>
              <w:rPr>
                <w:rFonts w:hint="default" w:ascii="Times New Roman" w:hAnsi="Times New Roman" w:eastAsia="宋体" w:cs="Times New Roman"/>
                <w:spacing w:val="-6"/>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2.78E+09</w:t>
            </w:r>
          </w:p>
        </w:tc>
        <w:tc>
          <w:tcPr>
            <w:tcW w:w="386" w:type="pct"/>
            <w:shd w:val="clear" w:color="auto" w:fill="auto"/>
            <w:vAlign w:val="center"/>
          </w:tcPr>
          <w:p w14:paraId="16AA30AE">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rPr>
              <w:t>敷贴治疗</w:t>
            </w:r>
          </w:p>
        </w:tc>
        <w:tc>
          <w:tcPr>
            <w:tcW w:w="352" w:type="pct"/>
            <w:shd w:val="clear" w:color="auto" w:fill="auto"/>
            <w:vAlign w:val="center"/>
          </w:tcPr>
          <w:p w14:paraId="6F237A37">
            <w:pPr>
              <w:spacing w:line="360" w:lineRule="exact"/>
              <w:jc w:val="center"/>
              <w:rPr>
                <w:sz w:val="21"/>
                <w:szCs w:val="21"/>
              </w:rPr>
            </w:pPr>
            <w:r>
              <w:rPr>
                <w:sz w:val="21"/>
                <w:szCs w:val="21"/>
              </w:rPr>
              <w:t>简单</w:t>
            </w:r>
          </w:p>
          <w:p w14:paraId="3E4ACC27">
            <w:pPr>
              <w:spacing w:line="360" w:lineRule="exact"/>
              <w:jc w:val="center"/>
              <w:rPr>
                <w:rFonts w:ascii="Times New Roman" w:hAnsi="Times New Roman" w:eastAsia="宋体" w:cs="Times New Roman"/>
                <w:sz w:val="21"/>
                <w:szCs w:val="21"/>
                <w:lang w:val="en-US" w:eastAsia="zh-CN" w:bidi="ar-SA"/>
              </w:rPr>
            </w:pPr>
            <w:r>
              <w:rPr>
                <w:sz w:val="21"/>
                <w:szCs w:val="21"/>
              </w:rPr>
              <w:t>操作</w:t>
            </w:r>
          </w:p>
        </w:tc>
        <w:tc>
          <w:tcPr>
            <w:tcW w:w="446" w:type="pct"/>
            <w:shd w:val="clear" w:color="auto" w:fill="auto"/>
            <w:vAlign w:val="center"/>
          </w:tcPr>
          <w:p w14:paraId="7D23736A">
            <w:pPr>
              <w:spacing w:line="360" w:lineRule="exact"/>
              <w:jc w:val="center"/>
              <w:rPr>
                <w:rFonts w:hint="eastAsia" w:ascii="Times New Roman" w:hAnsi="Times New Roman" w:eastAsia="宋体" w:cs="Times New Roman"/>
                <w:sz w:val="21"/>
                <w:szCs w:val="21"/>
                <w:lang w:val="en-US" w:eastAsia="zh-CN" w:bidi="ar-SA"/>
              </w:rPr>
            </w:pPr>
            <w:r>
              <w:rPr>
                <w:sz w:val="21"/>
                <w:szCs w:val="21"/>
              </w:rPr>
              <w:t>负</w:t>
            </w:r>
            <w:r>
              <w:rPr>
                <w:rFonts w:hint="eastAsia"/>
                <w:sz w:val="21"/>
                <w:szCs w:val="21"/>
                <w:lang w:val="en-US" w:eastAsia="zh-CN"/>
              </w:rPr>
              <w:t>一</w:t>
            </w:r>
            <w:r>
              <w:rPr>
                <w:sz w:val="21"/>
                <w:szCs w:val="21"/>
              </w:rPr>
              <w:t>层</w:t>
            </w:r>
            <w:r>
              <w:rPr>
                <w:rFonts w:hint="eastAsia"/>
                <w:sz w:val="21"/>
                <w:szCs w:val="21"/>
                <w:lang w:val="en-US" w:eastAsia="zh-CN"/>
              </w:rPr>
              <w:t>核医学科</w:t>
            </w:r>
          </w:p>
        </w:tc>
        <w:tc>
          <w:tcPr>
            <w:tcW w:w="820" w:type="pct"/>
            <w:shd w:val="clear" w:color="auto" w:fill="auto"/>
            <w:vAlign w:val="center"/>
          </w:tcPr>
          <w:p w14:paraId="540F993A">
            <w:pPr>
              <w:spacing w:line="360" w:lineRule="exact"/>
              <w:jc w:val="center"/>
              <w:rPr>
                <w:rFonts w:hint="default" w:ascii="Times New Roman" w:hAnsi="Times New Roman" w:eastAsia="宋体" w:cs="Times New Roman"/>
                <w:sz w:val="21"/>
                <w:szCs w:val="21"/>
                <w:lang w:val="en-US" w:eastAsia="zh-CN" w:bidi="ar-SA"/>
              </w:rPr>
            </w:pPr>
            <w:r>
              <w:rPr>
                <w:rFonts w:hint="eastAsia"/>
                <w:sz w:val="21"/>
                <w:szCs w:val="21"/>
                <w:lang w:val="en-US" w:eastAsia="zh-CN" w:bidi="ar"/>
              </w:rPr>
              <w:t>外购成品药物，存放于源库</w:t>
            </w:r>
            <w:r>
              <w:rPr>
                <w:rFonts w:hint="eastAsia"/>
                <w:spacing w:val="-11"/>
                <w:sz w:val="21"/>
                <w:szCs w:val="21"/>
                <w:highlight w:val="none"/>
                <w:lang w:val="en-US" w:eastAsia="zh-CN"/>
              </w:rPr>
              <w:t>源库1#</w:t>
            </w:r>
          </w:p>
        </w:tc>
        <w:tc>
          <w:tcPr>
            <w:tcW w:w="289" w:type="pct"/>
            <w:vMerge w:val="continue"/>
            <w:vAlign w:val="center"/>
          </w:tcPr>
          <w:p w14:paraId="75761950">
            <w:pPr>
              <w:spacing w:line="360" w:lineRule="exact"/>
              <w:jc w:val="center"/>
              <w:rPr>
                <w:sz w:val="21"/>
                <w:szCs w:val="21"/>
              </w:rPr>
            </w:pPr>
          </w:p>
        </w:tc>
      </w:tr>
    </w:tbl>
    <w:p w14:paraId="3653D2BD">
      <w:pPr>
        <w:jc w:val="left"/>
        <w:rPr>
          <w:sz w:val="21"/>
          <w:szCs w:val="21"/>
        </w:rPr>
      </w:pPr>
      <w:bookmarkStart w:id="13" w:name="_Toc427763162"/>
      <w:r>
        <w:rPr>
          <w:sz w:val="21"/>
          <w:szCs w:val="21"/>
        </w:rPr>
        <w:t>注：日等效最大操作量和操作方式见《电离辐射防护与辐射源安全基本标准》（GB18871-2002）。</w:t>
      </w:r>
    </w:p>
    <w:p w14:paraId="48C85C93">
      <w:pPr>
        <w:keepNext/>
        <w:keepLines/>
        <w:pageBreakBefore/>
        <w:spacing w:line="240" w:lineRule="auto"/>
        <w:outlineLvl w:val="0"/>
        <w:rPr>
          <w:b/>
          <w:bCs/>
          <w:sz w:val="28"/>
          <w:szCs w:val="28"/>
        </w:rPr>
      </w:pPr>
      <w:bookmarkStart w:id="14" w:name="_Toc15991527"/>
      <w:bookmarkStart w:id="15" w:name="_Toc194317392"/>
      <w:r>
        <w:rPr>
          <w:b/>
          <w:bCs/>
          <w:sz w:val="28"/>
          <w:szCs w:val="28"/>
        </w:rPr>
        <w:t>表4：射线装置</w:t>
      </w:r>
      <w:bookmarkEnd w:id="13"/>
      <w:bookmarkEnd w:id="14"/>
      <w:bookmarkEnd w:id="15"/>
    </w:p>
    <w:p w14:paraId="49944AEB">
      <w:r>
        <w:t>（一）加速器：包括医用、工农业、科研、教学等用途的各种类型加速器</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77"/>
        <w:gridCol w:w="675"/>
        <w:gridCol w:w="771"/>
        <w:gridCol w:w="1137"/>
        <w:gridCol w:w="1063"/>
        <w:gridCol w:w="1408"/>
        <w:gridCol w:w="2113"/>
        <w:gridCol w:w="1673"/>
        <w:gridCol w:w="1457"/>
        <w:gridCol w:w="1326"/>
      </w:tblGrid>
      <w:tr w14:paraId="2A53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9" w:type="pct"/>
            <w:vAlign w:val="center"/>
          </w:tcPr>
          <w:p w14:paraId="590AF934">
            <w:pPr>
              <w:spacing w:line="360" w:lineRule="exact"/>
              <w:jc w:val="center"/>
              <w:rPr>
                <w:sz w:val="21"/>
                <w:szCs w:val="21"/>
              </w:rPr>
            </w:pPr>
            <w:r>
              <w:rPr>
                <w:sz w:val="21"/>
                <w:szCs w:val="21"/>
              </w:rPr>
              <w:t>序号</w:t>
            </w:r>
          </w:p>
        </w:tc>
        <w:tc>
          <w:tcPr>
            <w:tcW w:w="504" w:type="pct"/>
            <w:vAlign w:val="center"/>
          </w:tcPr>
          <w:p w14:paraId="150725F2">
            <w:pPr>
              <w:spacing w:line="360" w:lineRule="exact"/>
              <w:jc w:val="center"/>
              <w:rPr>
                <w:sz w:val="21"/>
                <w:szCs w:val="21"/>
              </w:rPr>
            </w:pPr>
            <w:r>
              <w:rPr>
                <w:sz w:val="21"/>
                <w:szCs w:val="21"/>
              </w:rPr>
              <w:t>名称</w:t>
            </w:r>
          </w:p>
        </w:tc>
        <w:tc>
          <w:tcPr>
            <w:tcW w:w="247" w:type="pct"/>
            <w:vAlign w:val="center"/>
          </w:tcPr>
          <w:p w14:paraId="4E477786">
            <w:pPr>
              <w:spacing w:line="360" w:lineRule="exact"/>
              <w:jc w:val="center"/>
              <w:rPr>
                <w:sz w:val="21"/>
                <w:szCs w:val="21"/>
              </w:rPr>
            </w:pPr>
            <w:r>
              <w:rPr>
                <w:sz w:val="21"/>
                <w:szCs w:val="21"/>
              </w:rPr>
              <w:t>类别</w:t>
            </w:r>
          </w:p>
        </w:tc>
        <w:tc>
          <w:tcPr>
            <w:tcW w:w="282" w:type="pct"/>
            <w:vAlign w:val="center"/>
          </w:tcPr>
          <w:p w14:paraId="26C13BE1">
            <w:pPr>
              <w:spacing w:line="360" w:lineRule="exact"/>
              <w:jc w:val="center"/>
              <w:rPr>
                <w:sz w:val="21"/>
                <w:szCs w:val="21"/>
              </w:rPr>
            </w:pPr>
            <w:r>
              <w:rPr>
                <w:sz w:val="21"/>
                <w:szCs w:val="21"/>
              </w:rPr>
              <w:t>数量</w:t>
            </w:r>
          </w:p>
        </w:tc>
        <w:tc>
          <w:tcPr>
            <w:tcW w:w="416" w:type="pct"/>
            <w:vAlign w:val="center"/>
          </w:tcPr>
          <w:p w14:paraId="5E22E54D">
            <w:pPr>
              <w:spacing w:line="360" w:lineRule="exact"/>
              <w:jc w:val="center"/>
              <w:rPr>
                <w:sz w:val="21"/>
                <w:szCs w:val="21"/>
              </w:rPr>
            </w:pPr>
            <w:r>
              <w:rPr>
                <w:sz w:val="21"/>
                <w:szCs w:val="21"/>
              </w:rPr>
              <w:t>型号</w:t>
            </w:r>
          </w:p>
        </w:tc>
        <w:tc>
          <w:tcPr>
            <w:tcW w:w="389" w:type="pct"/>
            <w:vAlign w:val="center"/>
          </w:tcPr>
          <w:p w14:paraId="7BC3AE82">
            <w:pPr>
              <w:spacing w:line="360" w:lineRule="exact"/>
              <w:jc w:val="center"/>
              <w:rPr>
                <w:sz w:val="21"/>
                <w:szCs w:val="21"/>
              </w:rPr>
            </w:pPr>
            <w:r>
              <w:rPr>
                <w:sz w:val="21"/>
                <w:szCs w:val="21"/>
              </w:rPr>
              <w:t>加速粒子</w:t>
            </w:r>
          </w:p>
        </w:tc>
        <w:tc>
          <w:tcPr>
            <w:tcW w:w="515" w:type="pct"/>
            <w:vAlign w:val="center"/>
          </w:tcPr>
          <w:p w14:paraId="1D0AB4E1">
            <w:pPr>
              <w:spacing w:line="360" w:lineRule="exact"/>
              <w:jc w:val="center"/>
              <w:rPr>
                <w:sz w:val="21"/>
                <w:szCs w:val="21"/>
              </w:rPr>
            </w:pPr>
            <w:r>
              <w:rPr>
                <w:sz w:val="21"/>
                <w:szCs w:val="21"/>
              </w:rPr>
              <w:t>最大能量（MeV）</w:t>
            </w:r>
          </w:p>
        </w:tc>
        <w:tc>
          <w:tcPr>
            <w:tcW w:w="773" w:type="pct"/>
            <w:vAlign w:val="center"/>
          </w:tcPr>
          <w:p w14:paraId="3EC9D4C2">
            <w:pPr>
              <w:spacing w:line="360" w:lineRule="exact"/>
              <w:jc w:val="center"/>
              <w:rPr>
                <w:sz w:val="21"/>
                <w:szCs w:val="21"/>
              </w:rPr>
            </w:pPr>
            <w:r>
              <w:rPr>
                <w:sz w:val="21"/>
                <w:szCs w:val="21"/>
              </w:rPr>
              <w:t>额定电流（mA）/剂量率（Gy/min）</w:t>
            </w:r>
          </w:p>
        </w:tc>
        <w:tc>
          <w:tcPr>
            <w:tcW w:w="612" w:type="pct"/>
            <w:vAlign w:val="center"/>
          </w:tcPr>
          <w:p w14:paraId="5FF3F915">
            <w:pPr>
              <w:spacing w:line="360" w:lineRule="exact"/>
              <w:jc w:val="center"/>
              <w:rPr>
                <w:sz w:val="21"/>
                <w:szCs w:val="21"/>
              </w:rPr>
            </w:pPr>
            <w:r>
              <w:rPr>
                <w:sz w:val="21"/>
                <w:szCs w:val="21"/>
              </w:rPr>
              <w:t>用途</w:t>
            </w:r>
          </w:p>
        </w:tc>
        <w:tc>
          <w:tcPr>
            <w:tcW w:w="533" w:type="pct"/>
            <w:vAlign w:val="center"/>
          </w:tcPr>
          <w:p w14:paraId="2DA775F8">
            <w:pPr>
              <w:spacing w:line="360" w:lineRule="exact"/>
              <w:jc w:val="center"/>
              <w:rPr>
                <w:sz w:val="21"/>
                <w:szCs w:val="21"/>
              </w:rPr>
            </w:pPr>
            <w:r>
              <w:rPr>
                <w:sz w:val="21"/>
                <w:szCs w:val="21"/>
              </w:rPr>
              <w:t>工作场所</w:t>
            </w:r>
          </w:p>
        </w:tc>
        <w:tc>
          <w:tcPr>
            <w:tcW w:w="485" w:type="pct"/>
            <w:vAlign w:val="center"/>
          </w:tcPr>
          <w:p w14:paraId="0C656EAF">
            <w:pPr>
              <w:spacing w:line="360" w:lineRule="exact"/>
              <w:jc w:val="center"/>
              <w:rPr>
                <w:sz w:val="21"/>
                <w:szCs w:val="21"/>
              </w:rPr>
            </w:pPr>
            <w:r>
              <w:rPr>
                <w:sz w:val="21"/>
                <w:szCs w:val="21"/>
              </w:rPr>
              <w:t>备注</w:t>
            </w:r>
          </w:p>
        </w:tc>
      </w:tr>
      <w:tr w14:paraId="6B57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39" w:type="pct"/>
            <w:vAlign w:val="center"/>
          </w:tcPr>
          <w:p w14:paraId="6E4E85FF">
            <w:pPr>
              <w:spacing w:line="360" w:lineRule="exact"/>
              <w:jc w:val="center"/>
              <w:rPr>
                <w:b/>
                <w:sz w:val="21"/>
                <w:szCs w:val="21"/>
              </w:rPr>
            </w:pPr>
            <w:r>
              <w:rPr>
                <w:sz w:val="21"/>
                <w:szCs w:val="21"/>
              </w:rPr>
              <w:t>—</w:t>
            </w:r>
          </w:p>
        </w:tc>
        <w:tc>
          <w:tcPr>
            <w:tcW w:w="504" w:type="pct"/>
            <w:vAlign w:val="center"/>
          </w:tcPr>
          <w:p w14:paraId="5577800C">
            <w:pPr>
              <w:spacing w:line="360" w:lineRule="exact"/>
              <w:jc w:val="center"/>
              <w:rPr>
                <w:bCs/>
                <w:sz w:val="21"/>
                <w:szCs w:val="21"/>
              </w:rPr>
            </w:pPr>
            <w:r>
              <w:rPr>
                <w:sz w:val="21"/>
                <w:szCs w:val="21"/>
              </w:rPr>
              <w:t>—</w:t>
            </w:r>
          </w:p>
        </w:tc>
        <w:tc>
          <w:tcPr>
            <w:tcW w:w="247" w:type="pct"/>
            <w:vAlign w:val="center"/>
          </w:tcPr>
          <w:p w14:paraId="6478224D">
            <w:pPr>
              <w:spacing w:line="360" w:lineRule="exact"/>
              <w:jc w:val="center"/>
              <w:rPr>
                <w:bCs/>
                <w:sz w:val="21"/>
                <w:szCs w:val="21"/>
              </w:rPr>
            </w:pPr>
            <w:r>
              <w:rPr>
                <w:sz w:val="21"/>
                <w:szCs w:val="21"/>
              </w:rPr>
              <w:t>—</w:t>
            </w:r>
          </w:p>
        </w:tc>
        <w:tc>
          <w:tcPr>
            <w:tcW w:w="282" w:type="pct"/>
            <w:vAlign w:val="center"/>
          </w:tcPr>
          <w:p w14:paraId="6FC8CAEC">
            <w:pPr>
              <w:spacing w:line="360" w:lineRule="exact"/>
              <w:jc w:val="center"/>
              <w:rPr>
                <w:bCs/>
                <w:sz w:val="21"/>
                <w:szCs w:val="21"/>
              </w:rPr>
            </w:pPr>
            <w:r>
              <w:rPr>
                <w:sz w:val="21"/>
                <w:szCs w:val="21"/>
              </w:rPr>
              <w:t>—</w:t>
            </w:r>
          </w:p>
        </w:tc>
        <w:tc>
          <w:tcPr>
            <w:tcW w:w="416" w:type="pct"/>
            <w:vAlign w:val="center"/>
          </w:tcPr>
          <w:p w14:paraId="051DAF9B">
            <w:pPr>
              <w:spacing w:line="360" w:lineRule="exact"/>
              <w:jc w:val="center"/>
              <w:rPr>
                <w:b/>
                <w:sz w:val="21"/>
                <w:szCs w:val="21"/>
              </w:rPr>
            </w:pPr>
            <w:r>
              <w:rPr>
                <w:sz w:val="21"/>
                <w:szCs w:val="21"/>
              </w:rPr>
              <w:t>—</w:t>
            </w:r>
          </w:p>
        </w:tc>
        <w:tc>
          <w:tcPr>
            <w:tcW w:w="389" w:type="pct"/>
            <w:vAlign w:val="center"/>
          </w:tcPr>
          <w:p w14:paraId="5EE68820">
            <w:pPr>
              <w:spacing w:line="360" w:lineRule="exact"/>
              <w:jc w:val="center"/>
              <w:rPr>
                <w:bCs/>
                <w:sz w:val="21"/>
                <w:szCs w:val="21"/>
              </w:rPr>
            </w:pPr>
            <w:r>
              <w:rPr>
                <w:sz w:val="21"/>
                <w:szCs w:val="21"/>
              </w:rPr>
              <w:t>—</w:t>
            </w:r>
          </w:p>
        </w:tc>
        <w:tc>
          <w:tcPr>
            <w:tcW w:w="515" w:type="pct"/>
            <w:vAlign w:val="center"/>
          </w:tcPr>
          <w:p w14:paraId="4D012404">
            <w:pPr>
              <w:spacing w:line="360" w:lineRule="exact"/>
              <w:jc w:val="center"/>
              <w:rPr>
                <w:bCs/>
                <w:sz w:val="21"/>
                <w:szCs w:val="21"/>
              </w:rPr>
            </w:pPr>
            <w:r>
              <w:rPr>
                <w:sz w:val="21"/>
                <w:szCs w:val="21"/>
              </w:rPr>
              <w:t>—</w:t>
            </w:r>
          </w:p>
        </w:tc>
        <w:tc>
          <w:tcPr>
            <w:tcW w:w="773" w:type="pct"/>
            <w:vAlign w:val="center"/>
          </w:tcPr>
          <w:p w14:paraId="3FCF98FA">
            <w:pPr>
              <w:spacing w:line="360" w:lineRule="exact"/>
              <w:jc w:val="center"/>
              <w:rPr>
                <w:bCs/>
                <w:sz w:val="21"/>
                <w:szCs w:val="21"/>
              </w:rPr>
            </w:pPr>
            <w:r>
              <w:rPr>
                <w:sz w:val="21"/>
                <w:szCs w:val="21"/>
              </w:rPr>
              <w:t>—</w:t>
            </w:r>
          </w:p>
        </w:tc>
        <w:tc>
          <w:tcPr>
            <w:tcW w:w="612" w:type="pct"/>
            <w:vAlign w:val="center"/>
          </w:tcPr>
          <w:p w14:paraId="1A2C7B66">
            <w:pPr>
              <w:spacing w:line="360" w:lineRule="exact"/>
              <w:jc w:val="center"/>
              <w:rPr>
                <w:bCs/>
                <w:sz w:val="21"/>
                <w:szCs w:val="21"/>
              </w:rPr>
            </w:pPr>
            <w:r>
              <w:rPr>
                <w:sz w:val="21"/>
                <w:szCs w:val="21"/>
              </w:rPr>
              <w:t>—</w:t>
            </w:r>
          </w:p>
        </w:tc>
        <w:tc>
          <w:tcPr>
            <w:tcW w:w="533" w:type="pct"/>
            <w:vAlign w:val="center"/>
          </w:tcPr>
          <w:p w14:paraId="3786C3F5">
            <w:pPr>
              <w:spacing w:line="360" w:lineRule="exact"/>
              <w:jc w:val="center"/>
              <w:rPr>
                <w:bCs/>
                <w:sz w:val="21"/>
                <w:szCs w:val="21"/>
              </w:rPr>
            </w:pPr>
            <w:r>
              <w:rPr>
                <w:sz w:val="21"/>
                <w:szCs w:val="21"/>
              </w:rPr>
              <w:t>—</w:t>
            </w:r>
          </w:p>
        </w:tc>
        <w:tc>
          <w:tcPr>
            <w:tcW w:w="485" w:type="pct"/>
            <w:vAlign w:val="center"/>
          </w:tcPr>
          <w:p w14:paraId="481867EB">
            <w:pPr>
              <w:spacing w:line="360" w:lineRule="exact"/>
              <w:jc w:val="center"/>
              <w:rPr>
                <w:b/>
                <w:sz w:val="21"/>
                <w:szCs w:val="21"/>
              </w:rPr>
            </w:pPr>
            <w:r>
              <w:rPr>
                <w:sz w:val="21"/>
                <w:szCs w:val="21"/>
              </w:rPr>
              <w:t>—</w:t>
            </w:r>
          </w:p>
        </w:tc>
      </w:tr>
    </w:tbl>
    <w:p w14:paraId="1616F75C">
      <w:pPr>
        <w:spacing w:before="163"/>
      </w:pPr>
      <w:r>
        <w:t>（二）X射线机，包括工业探伤、医用诊断和治疗（含X射线CT诊断）、分析仪器等</w:t>
      </w:r>
    </w:p>
    <w:tbl>
      <w:tblPr>
        <w:tblStyle w:val="57"/>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577"/>
        <w:gridCol w:w="791"/>
        <w:gridCol w:w="717"/>
        <w:gridCol w:w="810"/>
        <w:gridCol w:w="1735"/>
        <w:gridCol w:w="1915"/>
        <w:gridCol w:w="1388"/>
        <w:gridCol w:w="2717"/>
        <w:gridCol w:w="1339"/>
      </w:tblGrid>
      <w:tr w14:paraId="5C31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33" w:type="pct"/>
            <w:vAlign w:val="center"/>
          </w:tcPr>
          <w:p w14:paraId="0A1C532D">
            <w:pPr>
              <w:spacing w:line="360" w:lineRule="exact"/>
              <w:jc w:val="center"/>
              <w:rPr>
                <w:sz w:val="21"/>
                <w:szCs w:val="21"/>
              </w:rPr>
            </w:pPr>
            <w:r>
              <w:rPr>
                <w:sz w:val="21"/>
                <w:szCs w:val="21"/>
              </w:rPr>
              <w:t>序号</w:t>
            </w:r>
          </w:p>
        </w:tc>
        <w:tc>
          <w:tcPr>
            <w:tcW w:w="578" w:type="pct"/>
            <w:vAlign w:val="center"/>
          </w:tcPr>
          <w:p w14:paraId="7BAF9526">
            <w:pPr>
              <w:spacing w:line="360" w:lineRule="exact"/>
              <w:jc w:val="center"/>
              <w:rPr>
                <w:sz w:val="21"/>
                <w:szCs w:val="21"/>
              </w:rPr>
            </w:pPr>
            <w:r>
              <w:rPr>
                <w:sz w:val="21"/>
                <w:szCs w:val="21"/>
              </w:rPr>
              <w:t>名称</w:t>
            </w:r>
          </w:p>
        </w:tc>
        <w:tc>
          <w:tcPr>
            <w:tcW w:w="290" w:type="pct"/>
            <w:vAlign w:val="center"/>
          </w:tcPr>
          <w:p w14:paraId="19F9CEAA">
            <w:pPr>
              <w:spacing w:line="360" w:lineRule="exact"/>
              <w:jc w:val="center"/>
              <w:rPr>
                <w:sz w:val="21"/>
                <w:szCs w:val="21"/>
              </w:rPr>
            </w:pPr>
            <w:r>
              <w:rPr>
                <w:sz w:val="21"/>
                <w:szCs w:val="21"/>
              </w:rPr>
              <w:t>类别</w:t>
            </w:r>
          </w:p>
        </w:tc>
        <w:tc>
          <w:tcPr>
            <w:tcW w:w="263" w:type="pct"/>
            <w:vAlign w:val="center"/>
          </w:tcPr>
          <w:p w14:paraId="1F7A0CFA">
            <w:pPr>
              <w:spacing w:line="360" w:lineRule="exact"/>
              <w:jc w:val="center"/>
              <w:rPr>
                <w:sz w:val="21"/>
                <w:szCs w:val="21"/>
              </w:rPr>
            </w:pPr>
            <w:r>
              <w:rPr>
                <w:sz w:val="21"/>
                <w:szCs w:val="21"/>
              </w:rPr>
              <w:t>数量</w:t>
            </w:r>
          </w:p>
        </w:tc>
        <w:tc>
          <w:tcPr>
            <w:tcW w:w="297" w:type="pct"/>
            <w:vAlign w:val="center"/>
          </w:tcPr>
          <w:p w14:paraId="285095A8">
            <w:pPr>
              <w:spacing w:line="360" w:lineRule="exact"/>
              <w:jc w:val="center"/>
              <w:rPr>
                <w:sz w:val="21"/>
                <w:szCs w:val="21"/>
              </w:rPr>
            </w:pPr>
            <w:r>
              <w:rPr>
                <w:sz w:val="21"/>
                <w:szCs w:val="21"/>
              </w:rPr>
              <w:t>型号</w:t>
            </w:r>
          </w:p>
        </w:tc>
        <w:tc>
          <w:tcPr>
            <w:tcW w:w="636" w:type="pct"/>
            <w:vAlign w:val="center"/>
          </w:tcPr>
          <w:p w14:paraId="368A28C5">
            <w:pPr>
              <w:spacing w:line="360" w:lineRule="exact"/>
              <w:jc w:val="center"/>
              <w:rPr>
                <w:sz w:val="21"/>
                <w:szCs w:val="21"/>
              </w:rPr>
            </w:pPr>
            <w:r>
              <w:rPr>
                <w:sz w:val="21"/>
                <w:szCs w:val="21"/>
              </w:rPr>
              <w:t>最大管电压（kV）</w:t>
            </w:r>
          </w:p>
        </w:tc>
        <w:tc>
          <w:tcPr>
            <w:tcW w:w="702" w:type="pct"/>
            <w:vAlign w:val="center"/>
          </w:tcPr>
          <w:p w14:paraId="6D4AE621">
            <w:pPr>
              <w:spacing w:line="360" w:lineRule="exact"/>
              <w:jc w:val="center"/>
              <w:rPr>
                <w:sz w:val="21"/>
                <w:szCs w:val="21"/>
              </w:rPr>
            </w:pPr>
            <w:r>
              <w:rPr>
                <w:sz w:val="21"/>
                <w:szCs w:val="21"/>
              </w:rPr>
              <w:t>最大管电流（mA）</w:t>
            </w:r>
          </w:p>
        </w:tc>
        <w:tc>
          <w:tcPr>
            <w:tcW w:w="509" w:type="pct"/>
            <w:vAlign w:val="center"/>
          </w:tcPr>
          <w:p w14:paraId="6D6B74A6">
            <w:pPr>
              <w:spacing w:line="360" w:lineRule="exact"/>
              <w:jc w:val="center"/>
              <w:rPr>
                <w:sz w:val="21"/>
                <w:szCs w:val="21"/>
              </w:rPr>
            </w:pPr>
            <w:r>
              <w:rPr>
                <w:sz w:val="21"/>
                <w:szCs w:val="21"/>
              </w:rPr>
              <w:t>用途</w:t>
            </w:r>
          </w:p>
        </w:tc>
        <w:tc>
          <w:tcPr>
            <w:tcW w:w="996" w:type="pct"/>
            <w:vAlign w:val="center"/>
          </w:tcPr>
          <w:p w14:paraId="4E66FD77">
            <w:pPr>
              <w:spacing w:line="360" w:lineRule="exact"/>
              <w:jc w:val="center"/>
              <w:rPr>
                <w:sz w:val="21"/>
                <w:szCs w:val="21"/>
              </w:rPr>
            </w:pPr>
            <w:r>
              <w:rPr>
                <w:sz w:val="21"/>
                <w:szCs w:val="21"/>
              </w:rPr>
              <w:t>工作场所</w:t>
            </w:r>
          </w:p>
        </w:tc>
        <w:tc>
          <w:tcPr>
            <w:tcW w:w="491" w:type="pct"/>
            <w:vAlign w:val="center"/>
          </w:tcPr>
          <w:p w14:paraId="60168D21">
            <w:pPr>
              <w:spacing w:line="360" w:lineRule="exact"/>
              <w:jc w:val="center"/>
              <w:rPr>
                <w:sz w:val="21"/>
                <w:szCs w:val="21"/>
              </w:rPr>
            </w:pPr>
            <w:r>
              <w:rPr>
                <w:sz w:val="21"/>
                <w:szCs w:val="21"/>
              </w:rPr>
              <w:t>备注</w:t>
            </w:r>
          </w:p>
        </w:tc>
      </w:tr>
      <w:tr w14:paraId="6B99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33" w:type="pct"/>
            <w:vAlign w:val="center"/>
          </w:tcPr>
          <w:p w14:paraId="611CD8F8">
            <w:pPr>
              <w:spacing w:line="360" w:lineRule="exact"/>
              <w:jc w:val="center"/>
              <w:rPr>
                <w:sz w:val="21"/>
                <w:szCs w:val="21"/>
              </w:rPr>
            </w:pPr>
            <w:r>
              <w:rPr>
                <w:sz w:val="21"/>
                <w:szCs w:val="21"/>
              </w:rPr>
              <w:t>1</w:t>
            </w:r>
          </w:p>
        </w:tc>
        <w:tc>
          <w:tcPr>
            <w:tcW w:w="578" w:type="pct"/>
            <w:shd w:val="clear" w:color="auto" w:fill="auto"/>
            <w:vAlign w:val="center"/>
          </w:tcPr>
          <w:p w14:paraId="2ABC8659">
            <w:pPr>
              <w:spacing w:line="360" w:lineRule="exact"/>
              <w:jc w:val="center"/>
              <w:rPr>
                <w:rFonts w:ascii="Times New Roman" w:hAnsi="Times New Roman" w:eastAsia="宋体" w:cs="Times New Roman"/>
                <w:sz w:val="21"/>
                <w:szCs w:val="21"/>
                <w:lang w:val="en-US" w:eastAsia="zh-CN" w:bidi="ar-SA"/>
              </w:rPr>
            </w:pPr>
            <w:r>
              <w:rPr>
                <w:sz w:val="21"/>
                <w:szCs w:val="21"/>
              </w:rPr>
              <w:t>PET/CT</w:t>
            </w:r>
          </w:p>
        </w:tc>
        <w:tc>
          <w:tcPr>
            <w:tcW w:w="290" w:type="pct"/>
            <w:shd w:val="clear" w:color="auto" w:fill="auto"/>
            <w:vAlign w:val="center"/>
          </w:tcPr>
          <w:p w14:paraId="1D7ADF86">
            <w:pPr>
              <w:spacing w:line="360" w:lineRule="exact"/>
              <w:jc w:val="center"/>
              <w:rPr>
                <w:rFonts w:ascii="Times New Roman" w:hAnsi="Times New Roman" w:eastAsia="宋体" w:cs="Times New Roman"/>
                <w:sz w:val="21"/>
                <w:szCs w:val="21"/>
                <w:lang w:val="en-US" w:eastAsia="zh-CN" w:bidi="ar-SA"/>
              </w:rPr>
            </w:pPr>
            <w:r>
              <w:rPr>
                <w:sz w:val="21"/>
                <w:szCs w:val="21"/>
              </w:rPr>
              <w:t>Ⅲ类</w:t>
            </w:r>
          </w:p>
        </w:tc>
        <w:tc>
          <w:tcPr>
            <w:tcW w:w="263" w:type="pct"/>
            <w:shd w:val="clear" w:color="auto" w:fill="auto"/>
            <w:vAlign w:val="center"/>
          </w:tcPr>
          <w:p w14:paraId="0DDDCD55">
            <w:pPr>
              <w:spacing w:line="360" w:lineRule="exact"/>
              <w:jc w:val="center"/>
              <w:rPr>
                <w:rFonts w:ascii="Times New Roman" w:hAnsi="Times New Roman" w:eastAsia="宋体" w:cs="Times New Roman"/>
                <w:sz w:val="21"/>
                <w:szCs w:val="21"/>
                <w:lang w:val="en-US" w:eastAsia="zh-CN" w:bidi="ar-SA"/>
              </w:rPr>
            </w:pPr>
            <w:r>
              <w:rPr>
                <w:rFonts w:hint="eastAsia"/>
                <w:sz w:val="21"/>
                <w:szCs w:val="21"/>
                <w:lang w:val="en-US" w:eastAsia="zh-CN"/>
              </w:rPr>
              <w:t>1</w:t>
            </w:r>
            <w:r>
              <w:rPr>
                <w:sz w:val="21"/>
                <w:szCs w:val="21"/>
              </w:rPr>
              <w:t>台</w:t>
            </w:r>
          </w:p>
        </w:tc>
        <w:tc>
          <w:tcPr>
            <w:tcW w:w="297" w:type="pct"/>
            <w:shd w:val="clear" w:color="auto" w:fill="auto"/>
            <w:vAlign w:val="center"/>
          </w:tcPr>
          <w:p w14:paraId="111AEB75">
            <w:pPr>
              <w:spacing w:line="360" w:lineRule="exact"/>
              <w:jc w:val="center"/>
              <w:rPr>
                <w:rFonts w:ascii="Times New Roman" w:hAnsi="Times New Roman" w:eastAsia="宋体" w:cs="Times New Roman"/>
                <w:sz w:val="21"/>
                <w:szCs w:val="21"/>
                <w:lang w:val="en-US" w:eastAsia="zh-CN" w:bidi="ar-SA"/>
              </w:rPr>
            </w:pPr>
            <w:r>
              <w:rPr>
                <w:sz w:val="21"/>
                <w:szCs w:val="21"/>
              </w:rPr>
              <w:t>未定</w:t>
            </w:r>
          </w:p>
        </w:tc>
        <w:tc>
          <w:tcPr>
            <w:tcW w:w="636" w:type="pct"/>
            <w:shd w:val="clear" w:color="auto" w:fill="auto"/>
            <w:vAlign w:val="center"/>
          </w:tcPr>
          <w:p w14:paraId="50C7961C">
            <w:pPr>
              <w:spacing w:line="360" w:lineRule="exact"/>
              <w:jc w:val="center"/>
              <w:rPr>
                <w:rFonts w:ascii="Times New Roman" w:hAnsi="Times New Roman" w:eastAsia="宋体" w:cs="Times New Roman"/>
                <w:sz w:val="21"/>
                <w:szCs w:val="21"/>
                <w:lang w:val="en-US" w:eastAsia="zh-CN" w:bidi="ar-SA"/>
              </w:rPr>
            </w:pPr>
            <w:r>
              <w:rPr>
                <w:sz w:val="21"/>
                <w:szCs w:val="21"/>
              </w:rPr>
              <w:t>140</w:t>
            </w:r>
          </w:p>
        </w:tc>
        <w:tc>
          <w:tcPr>
            <w:tcW w:w="702" w:type="pct"/>
            <w:shd w:val="clear" w:color="auto" w:fill="auto"/>
            <w:vAlign w:val="center"/>
          </w:tcPr>
          <w:p w14:paraId="13D68944">
            <w:pPr>
              <w:spacing w:line="360" w:lineRule="exact"/>
              <w:jc w:val="center"/>
              <w:rPr>
                <w:rFonts w:ascii="Times New Roman" w:hAnsi="Times New Roman" w:eastAsia="宋体" w:cs="Times New Roman"/>
                <w:sz w:val="21"/>
                <w:szCs w:val="21"/>
                <w:lang w:val="en-US" w:eastAsia="zh-CN" w:bidi="ar-SA"/>
              </w:rPr>
            </w:pPr>
            <w:r>
              <w:rPr>
                <w:sz w:val="21"/>
                <w:szCs w:val="21"/>
              </w:rPr>
              <w:t>900</w:t>
            </w:r>
          </w:p>
        </w:tc>
        <w:tc>
          <w:tcPr>
            <w:tcW w:w="509" w:type="pct"/>
            <w:shd w:val="clear" w:color="auto" w:fill="auto"/>
            <w:vAlign w:val="center"/>
          </w:tcPr>
          <w:p w14:paraId="285CA80F">
            <w:pPr>
              <w:spacing w:line="360" w:lineRule="exact"/>
              <w:jc w:val="center"/>
              <w:rPr>
                <w:rFonts w:ascii="Times New Roman" w:hAnsi="Times New Roman" w:eastAsia="宋体" w:cs="Times New Roman"/>
                <w:sz w:val="21"/>
                <w:szCs w:val="21"/>
                <w:lang w:val="en-US" w:eastAsia="zh-CN" w:bidi="ar-SA"/>
              </w:rPr>
            </w:pPr>
            <w:r>
              <w:rPr>
                <w:sz w:val="21"/>
                <w:szCs w:val="21"/>
              </w:rPr>
              <w:t>显像诊断</w:t>
            </w:r>
          </w:p>
        </w:tc>
        <w:tc>
          <w:tcPr>
            <w:tcW w:w="996" w:type="pct"/>
            <w:shd w:val="clear" w:color="auto" w:fill="auto"/>
            <w:vAlign w:val="center"/>
          </w:tcPr>
          <w:p w14:paraId="05A7FD54">
            <w:pPr>
              <w:spacing w:line="360" w:lineRule="exact"/>
              <w:jc w:val="center"/>
              <w:rPr>
                <w:rFonts w:ascii="Times New Roman" w:hAnsi="Times New Roman" w:eastAsia="宋体" w:cs="Times New Roman"/>
                <w:spacing w:val="-6"/>
                <w:sz w:val="21"/>
                <w:szCs w:val="21"/>
                <w:lang w:val="en-US" w:eastAsia="zh-CN" w:bidi="ar-SA"/>
              </w:rPr>
            </w:pPr>
            <w:r>
              <w:rPr>
                <w:spacing w:val="-6"/>
                <w:sz w:val="21"/>
                <w:szCs w:val="21"/>
              </w:rPr>
              <w:t>负一层PET/CT机房</w:t>
            </w:r>
          </w:p>
        </w:tc>
        <w:tc>
          <w:tcPr>
            <w:tcW w:w="491" w:type="pct"/>
            <w:shd w:val="clear" w:color="auto" w:fill="auto"/>
            <w:vAlign w:val="center"/>
          </w:tcPr>
          <w:p w14:paraId="18AE23A2">
            <w:pPr>
              <w:spacing w:line="360" w:lineRule="exact"/>
              <w:jc w:val="center"/>
              <w:rPr>
                <w:rFonts w:ascii="Times New Roman" w:hAnsi="Times New Roman" w:eastAsia="宋体" w:cs="Times New Roman"/>
                <w:sz w:val="21"/>
                <w:szCs w:val="21"/>
                <w:lang w:val="en-US" w:eastAsia="zh-CN" w:bidi="ar-SA"/>
              </w:rPr>
            </w:pPr>
            <w:r>
              <w:rPr>
                <w:sz w:val="21"/>
                <w:szCs w:val="21"/>
              </w:rPr>
              <w:t>本项目新增</w:t>
            </w:r>
          </w:p>
        </w:tc>
      </w:tr>
      <w:tr w14:paraId="70E3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33" w:type="pct"/>
            <w:vAlign w:val="center"/>
          </w:tcPr>
          <w:p w14:paraId="055F50B9">
            <w:pPr>
              <w:spacing w:line="360" w:lineRule="exact"/>
              <w:jc w:val="center"/>
              <w:rPr>
                <w:sz w:val="21"/>
                <w:szCs w:val="21"/>
              </w:rPr>
            </w:pPr>
            <w:r>
              <w:rPr>
                <w:sz w:val="21"/>
                <w:szCs w:val="21"/>
              </w:rPr>
              <w:t>2</w:t>
            </w:r>
          </w:p>
        </w:tc>
        <w:tc>
          <w:tcPr>
            <w:tcW w:w="578" w:type="pct"/>
            <w:shd w:val="clear" w:color="auto" w:fill="auto"/>
            <w:vAlign w:val="center"/>
          </w:tcPr>
          <w:p w14:paraId="34A870FF">
            <w:pPr>
              <w:spacing w:line="360" w:lineRule="exact"/>
              <w:jc w:val="center"/>
              <w:rPr>
                <w:rFonts w:ascii="Times New Roman" w:hAnsi="Times New Roman" w:eastAsia="宋体" w:cs="Times New Roman"/>
                <w:sz w:val="21"/>
                <w:szCs w:val="21"/>
                <w:lang w:val="en-US" w:eastAsia="zh-CN" w:bidi="ar-SA"/>
              </w:rPr>
            </w:pPr>
            <w:r>
              <w:rPr>
                <w:sz w:val="21"/>
                <w:szCs w:val="21"/>
              </w:rPr>
              <w:t>SPECT/CT</w:t>
            </w:r>
          </w:p>
        </w:tc>
        <w:tc>
          <w:tcPr>
            <w:tcW w:w="290" w:type="pct"/>
            <w:shd w:val="clear" w:color="auto" w:fill="auto"/>
            <w:vAlign w:val="center"/>
          </w:tcPr>
          <w:p w14:paraId="3D03AB6C">
            <w:pPr>
              <w:spacing w:line="360" w:lineRule="exact"/>
              <w:jc w:val="center"/>
              <w:rPr>
                <w:rFonts w:ascii="Times New Roman" w:hAnsi="Times New Roman" w:eastAsia="宋体" w:cs="Times New Roman"/>
                <w:sz w:val="21"/>
                <w:szCs w:val="21"/>
                <w:lang w:val="en-US" w:eastAsia="zh-CN" w:bidi="ar-SA"/>
              </w:rPr>
            </w:pPr>
            <w:r>
              <w:rPr>
                <w:sz w:val="21"/>
                <w:szCs w:val="21"/>
              </w:rPr>
              <w:t>Ⅲ类</w:t>
            </w:r>
          </w:p>
        </w:tc>
        <w:tc>
          <w:tcPr>
            <w:tcW w:w="263" w:type="pct"/>
            <w:shd w:val="clear" w:color="auto" w:fill="auto"/>
            <w:vAlign w:val="center"/>
          </w:tcPr>
          <w:p w14:paraId="50D41E55">
            <w:pPr>
              <w:spacing w:line="360" w:lineRule="exact"/>
              <w:jc w:val="center"/>
              <w:rPr>
                <w:rFonts w:ascii="Times New Roman" w:hAnsi="Times New Roman" w:eastAsia="宋体" w:cs="Times New Roman"/>
                <w:sz w:val="21"/>
                <w:szCs w:val="21"/>
                <w:lang w:val="en-US" w:eastAsia="zh-CN" w:bidi="ar-SA"/>
              </w:rPr>
            </w:pPr>
            <w:r>
              <w:rPr>
                <w:rFonts w:hint="eastAsia"/>
                <w:sz w:val="21"/>
                <w:szCs w:val="21"/>
                <w:lang w:val="en-US" w:eastAsia="zh-CN"/>
              </w:rPr>
              <w:t>1</w:t>
            </w:r>
            <w:r>
              <w:rPr>
                <w:sz w:val="21"/>
                <w:szCs w:val="21"/>
              </w:rPr>
              <w:t>台</w:t>
            </w:r>
          </w:p>
        </w:tc>
        <w:tc>
          <w:tcPr>
            <w:tcW w:w="297" w:type="pct"/>
            <w:shd w:val="clear" w:color="auto" w:fill="auto"/>
            <w:vAlign w:val="center"/>
          </w:tcPr>
          <w:p w14:paraId="749C8362">
            <w:pPr>
              <w:spacing w:line="360" w:lineRule="exact"/>
              <w:jc w:val="center"/>
              <w:rPr>
                <w:rFonts w:ascii="Times New Roman" w:hAnsi="Times New Roman" w:eastAsia="宋体" w:cs="Times New Roman"/>
                <w:sz w:val="21"/>
                <w:szCs w:val="21"/>
                <w:lang w:val="en-US" w:eastAsia="zh-CN" w:bidi="ar-SA"/>
              </w:rPr>
            </w:pPr>
            <w:r>
              <w:rPr>
                <w:sz w:val="21"/>
                <w:szCs w:val="21"/>
              </w:rPr>
              <w:t>未定</w:t>
            </w:r>
          </w:p>
        </w:tc>
        <w:tc>
          <w:tcPr>
            <w:tcW w:w="636" w:type="pct"/>
            <w:shd w:val="clear" w:color="auto" w:fill="auto"/>
            <w:vAlign w:val="center"/>
          </w:tcPr>
          <w:p w14:paraId="33694502">
            <w:pPr>
              <w:spacing w:line="360" w:lineRule="exact"/>
              <w:jc w:val="center"/>
              <w:rPr>
                <w:rFonts w:ascii="Times New Roman" w:hAnsi="Times New Roman" w:eastAsia="宋体" w:cs="Times New Roman"/>
                <w:sz w:val="21"/>
                <w:szCs w:val="21"/>
                <w:lang w:val="en-US" w:eastAsia="zh-CN" w:bidi="ar-SA"/>
              </w:rPr>
            </w:pPr>
            <w:r>
              <w:rPr>
                <w:sz w:val="21"/>
                <w:szCs w:val="21"/>
              </w:rPr>
              <w:t>140</w:t>
            </w:r>
          </w:p>
        </w:tc>
        <w:tc>
          <w:tcPr>
            <w:tcW w:w="702" w:type="pct"/>
            <w:shd w:val="clear" w:color="auto" w:fill="auto"/>
            <w:vAlign w:val="center"/>
          </w:tcPr>
          <w:p w14:paraId="688921AF">
            <w:pPr>
              <w:spacing w:line="360" w:lineRule="exact"/>
              <w:jc w:val="center"/>
              <w:rPr>
                <w:rFonts w:ascii="Times New Roman" w:hAnsi="Times New Roman" w:eastAsia="宋体" w:cs="Times New Roman"/>
                <w:sz w:val="21"/>
                <w:szCs w:val="21"/>
                <w:lang w:val="en-US" w:eastAsia="zh-CN" w:bidi="ar-SA"/>
              </w:rPr>
            </w:pPr>
            <w:r>
              <w:rPr>
                <w:rFonts w:hint="eastAsia"/>
                <w:sz w:val="21"/>
                <w:szCs w:val="21"/>
                <w:lang w:val="en-US" w:eastAsia="zh-CN"/>
              </w:rPr>
              <w:t>9</w:t>
            </w:r>
            <w:r>
              <w:rPr>
                <w:sz w:val="21"/>
                <w:szCs w:val="21"/>
              </w:rPr>
              <w:t>00</w:t>
            </w:r>
          </w:p>
        </w:tc>
        <w:tc>
          <w:tcPr>
            <w:tcW w:w="509" w:type="pct"/>
            <w:shd w:val="clear" w:color="auto" w:fill="auto"/>
            <w:vAlign w:val="center"/>
          </w:tcPr>
          <w:p w14:paraId="6FDE2D1C">
            <w:pPr>
              <w:spacing w:line="360" w:lineRule="exact"/>
              <w:jc w:val="center"/>
              <w:rPr>
                <w:rFonts w:ascii="Times New Roman" w:hAnsi="Times New Roman" w:eastAsia="宋体" w:cs="Times New Roman"/>
                <w:sz w:val="21"/>
                <w:szCs w:val="21"/>
                <w:lang w:val="en-US" w:eastAsia="zh-CN" w:bidi="ar-SA"/>
              </w:rPr>
            </w:pPr>
            <w:r>
              <w:rPr>
                <w:sz w:val="21"/>
                <w:szCs w:val="21"/>
              </w:rPr>
              <w:t>显像诊断</w:t>
            </w:r>
          </w:p>
        </w:tc>
        <w:tc>
          <w:tcPr>
            <w:tcW w:w="996" w:type="pct"/>
            <w:shd w:val="clear" w:color="auto" w:fill="auto"/>
            <w:vAlign w:val="center"/>
          </w:tcPr>
          <w:p w14:paraId="397572A6">
            <w:pPr>
              <w:spacing w:line="360" w:lineRule="exact"/>
              <w:jc w:val="center"/>
              <w:rPr>
                <w:rFonts w:ascii="Times New Roman" w:hAnsi="Times New Roman" w:eastAsia="宋体" w:cs="Times New Roman"/>
                <w:spacing w:val="-6"/>
                <w:sz w:val="21"/>
                <w:szCs w:val="21"/>
                <w:lang w:val="en-US" w:eastAsia="zh-CN" w:bidi="ar-SA"/>
              </w:rPr>
            </w:pPr>
            <w:r>
              <w:rPr>
                <w:rFonts w:hint="eastAsia"/>
                <w:spacing w:val="-6"/>
                <w:sz w:val="21"/>
                <w:szCs w:val="21"/>
                <w:lang w:val="en-US" w:eastAsia="zh-CN"/>
              </w:rPr>
              <w:t>负一</w:t>
            </w:r>
            <w:r>
              <w:rPr>
                <w:spacing w:val="-6"/>
                <w:sz w:val="21"/>
                <w:szCs w:val="21"/>
              </w:rPr>
              <w:t>层SPECT/CT机房</w:t>
            </w:r>
          </w:p>
        </w:tc>
        <w:tc>
          <w:tcPr>
            <w:tcW w:w="491" w:type="pct"/>
            <w:shd w:val="clear" w:color="auto" w:fill="auto"/>
            <w:vAlign w:val="center"/>
          </w:tcPr>
          <w:p w14:paraId="69BC1E4C">
            <w:pPr>
              <w:spacing w:line="360" w:lineRule="exact"/>
              <w:jc w:val="center"/>
              <w:rPr>
                <w:rFonts w:ascii="Times New Roman" w:hAnsi="Times New Roman" w:eastAsia="宋体" w:cs="Times New Roman"/>
                <w:sz w:val="21"/>
                <w:szCs w:val="21"/>
                <w:lang w:val="en-US" w:eastAsia="zh-CN" w:bidi="ar-SA"/>
              </w:rPr>
            </w:pPr>
            <w:r>
              <w:rPr>
                <w:sz w:val="21"/>
                <w:szCs w:val="21"/>
              </w:rPr>
              <w:t>本项目新增</w:t>
            </w:r>
          </w:p>
        </w:tc>
      </w:tr>
      <w:tr w14:paraId="13E8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233" w:type="pct"/>
            <w:vAlign w:val="center"/>
          </w:tcPr>
          <w:p w14:paraId="5862FB74">
            <w:pPr>
              <w:spacing w:line="360" w:lineRule="exact"/>
              <w:jc w:val="center"/>
              <w:rPr>
                <w:sz w:val="21"/>
                <w:szCs w:val="21"/>
              </w:rPr>
            </w:pPr>
            <w:r>
              <w:rPr>
                <w:sz w:val="21"/>
                <w:szCs w:val="21"/>
              </w:rPr>
              <w:t>3</w:t>
            </w:r>
          </w:p>
        </w:tc>
        <w:tc>
          <w:tcPr>
            <w:tcW w:w="578" w:type="pct"/>
            <w:shd w:val="clear" w:color="auto" w:fill="auto"/>
            <w:vAlign w:val="center"/>
          </w:tcPr>
          <w:p w14:paraId="68556894">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DSA+CT</w:t>
            </w:r>
          </w:p>
        </w:tc>
        <w:tc>
          <w:tcPr>
            <w:tcW w:w="290" w:type="pct"/>
            <w:vAlign w:val="center"/>
          </w:tcPr>
          <w:p w14:paraId="2F99F4FF">
            <w:pPr>
              <w:spacing w:line="360" w:lineRule="exact"/>
              <w:jc w:val="center"/>
              <w:rPr>
                <w:sz w:val="21"/>
                <w:szCs w:val="21"/>
              </w:rPr>
            </w:pPr>
            <w:r>
              <w:rPr>
                <w:rFonts w:hint="default" w:ascii="Times New Roman" w:hAnsi="Times New Roman" w:eastAsia="宋体" w:cs="Times New Roman"/>
                <w:spacing w:val="0"/>
                <w:sz w:val="21"/>
                <w:szCs w:val="21"/>
                <w:lang w:bidi="ar"/>
              </w:rPr>
              <w:t>Ⅱ类</w:t>
            </w:r>
            <w:r>
              <w:rPr>
                <w:rFonts w:hint="default" w:ascii="Times New Roman" w:hAnsi="Times New Roman" w:eastAsia="宋体" w:cs="Times New Roman"/>
                <w:spacing w:val="0"/>
                <w:sz w:val="21"/>
                <w:szCs w:val="21"/>
                <w:lang w:val="en-US" w:eastAsia="zh-CN" w:bidi="ar"/>
              </w:rPr>
              <w:t>+</w:t>
            </w:r>
            <w:r>
              <w:rPr>
                <w:rFonts w:hint="default" w:ascii="Times New Roman" w:hAnsi="Times New Roman" w:eastAsia="宋体" w:cs="Times New Roman"/>
                <w:spacing w:val="0"/>
                <w:sz w:val="21"/>
                <w:szCs w:val="21"/>
                <w:lang w:bidi="ar"/>
              </w:rPr>
              <w:t>Ⅲ类</w:t>
            </w:r>
          </w:p>
        </w:tc>
        <w:tc>
          <w:tcPr>
            <w:tcW w:w="263" w:type="pct"/>
            <w:vAlign w:val="center"/>
          </w:tcPr>
          <w:p w14:paraId="40589E72">
            <w:pPr>
              <w:spacing w:line="360" w:lineRule="exact"/>
              <w:jc w:val="center"/>
              <w:rPr>
                <w:rFonts w:hint="eastAsia" w:eastAsia="宋体"/>
                <w:sz w:val="21"/>
                <w:szCs w:val="21"/>
                <w:lang w:val="en-US" w:eastAsia="zh-CN"/>
              </w:rPr>
            </w:pPr>
            <w:r>
              <w:rPr>
                <w:rFonts w:hint="eastAsia"/>
                <w:sz w:val="21"/>
                <w:szCs w:val="21"/>
                <w:lang w:val="en-US" w:eastAsia="zh-CN"/>
              </w:rPr>
              <w:t>1台</w:t>
            </w:r>
          </w:p>
        </w:tc>
        <w:tc>
          <w:tcPr>
            <w:tcW w:w="297" w:type="pct"/>
            <w:vAlign w:val="center"/>
          </w:tcPr>
          <w:p w14:paraId="22C36404">
            <w:pPr>
              <w:spacing w:line="360" w:lineRule="exact"/>
              <w:jc w:val="center"/>
              <w:rPr>
                <w:sz w:val="21"/>
                <w:szCs w:val="21"/>
              </w:rPr>
            </w:pPr>
            <w:r>
              <w:rPr>
                <w:sz w:val="21"/>
                <w:szCs w:val="21"/>
              </w:rPr>
              <w:t>未定</w:t>
            </w:r>
          </w:p>
        </w:tc>
        <w:tc>
          <w:tcPr>
            <w:tcW w:w="636" w:type="pct"/>
            <w:vAlign w:val="center"/>
          </w:tcPr>
          <w:p w14:paraId="3CE0B6CF">
            <w:pPr>
              <w:spacing w:line="360" w:lineRule="exact"/>
              <w:jc w:val="center"/>
              <w:rPr>
                <w:rFonts w:hint="eastAsia"/>
                <w:sz w:val="21"/>
                <w:szCs w:val="21"/>
                <w:lang w:val="en-US" w:eastAsia="zh-CN"/>
              </w:rPr>
            </w:pPr>
            <w:r>
              <w:rPr>
                <w:rFonts w:hint="eastAsia"/>
                <w:sz w:val="21"/>
                <w:szCs w:val="21"/>
                <w:lang w:val="en-US" w:eastAsia="zh-CN"/>
              </w:rPr>
              <w:t>DSA部分：125</w:t>
            </w:r>
          </w:p>
          <w:p w14:paraId="34BF5B01">
            <w:pPr>
              <w:pStyle w:val="20"/>
              <w:jc w:val="center"/>
              <w:rPr>
                <w:rFonts w:hint="default"/>
                <w:lang w:val="en-US" w:eastAsia="zh-CN"/>
              </w:rPr>
            </w:pPr>
            <w:r>
              <w:rPr>
                <w:rFonts w:hint="eastAsia"/>
                <w:sz w:val="21"/>
                <w:szCs w:val="21"/>
                <w:lang w:val="en-US" w:eastAsia="zh-CN"/>
              </w:rPr>
              <w:t>CT部分：140</w:t>
            </w:r>
          </w:p>
        </w:tc>
        <w:tc>
          <w:tcPr>
            <w:tcW w:w="702" w:type="pct"/>
            <w:vAlign w:val="center"/>
          </w:tcPr>
          <w:p w14:paraId="68186E8C">
            <w:pPr>
              <w:spacing w:line="360" w:lineRule="exact"/>
              <w:jc w:val="center"/>
              <w:rPr>
                <w:rFonts w:hint="default"/>
                <w:sz w:val="21"/>
                <w:szCs w:val="21"/>
                <w:lang w:val="en-US" w:eastAsia="zh-CN"/>
              </w:rPr>
            </w:pPr>
            <w:r>
              <w:rPr>
                <w:rFonts w:hint="eastAsia"/>
                <w:sz w:val="21"/>
                <w:szCs w:val="21"/>
                <w:lang w:val="en-US" w:eastAsia="zh-CN"/>
              </w:rPr>
              <w:t>DSA部分：1000</w:t>
            </w:r>
          </w:p>
          <w:p w14:paraId="625B5161">
            <w:pPr>
              <w:spacing w:line="360" w:lineRule="exact"/>
              <w:jc w:val="center"/>
              <w:rPr>
                <w:rFonts w:hint="default"/>
                <w:sz w:val="21"/>
                <w:szCs w:val="21"/>
                <w:lang w:val="en-US"/>
              </w:rPr>
            </w:pPr>
            <w:r>
              <w:rPr>
                <w:rFonts w:hint="eastAsia"/>
                <w:sz w:val="21"/>
                <w:szCs w:val="21"/>
                <w:lang w:val="en-US" w:eastAsia="zh-CN"/>
              </w:rPr>
              <w:t>CT部分：1300</w:t>
            </w:r>
          </w:p>
        </w:tc>
        <w:tc>
          <w:tcPr>
            <w:tcW w:w="509" w:type="pct"/>
            <w:vAlign w:val="center"/>
          </w:tcPr>
          <w:p w14:paraId="78E565D0">
            <w:pPr>
              <w:spacing w:line="360" w:lineRule="exact"/>
              <w:jc w:val="center"/>
              <w:rPr>
                <w:sz w:val="21"/>
                <w:szCs w:val="21"/>
              </w:rPr>
            </w:pPr>
            <w:r>
              <w:rPr>
                <w:rFonts w:hint="default" w:ascii="Times New Roman" w:hAnsi="Times New Roman" w:eastAsia="宋体" w:cs="Times New Roman"/>
                <w:spacing w:val="0"/>
                <w:sz w:val="21"/>
                <w:szCs w:val="21"/>
                <w:lang w:val="en-US" w:eastAsia="zh-CN"/>
              </w:rPr>
              <w:t>影像检查和介入操作</w:t>
            </w:r>
          </w:p>
        </w:tc>
        <w:tc>
          <w:tcPr>
            <w:tcW w:w="996" w:type="pct"/>
            <w:vAlign w:val="center"/>
          </w:tcPr>
          <w:p w14:paraId="137FCB76">
            <w:pPr>
              <w:spacing w:line="360" w:lineRule="exact"/>
              <w:jc w:val="center"/>
              <w:rPr>
                <w:spacing w:val="-6"/>
                <w:sz w:val="21"/>
                <w:szCs w:val="21"/>
              </w:rPr>
            </w:pPr>
            <w:r>
              <w:rPr>
                <w:rFonts w:hint="default" w:ascii="Times New Roman" w:hAnsi="Times New Roman" w:eastAsia="宋体" w:cs="Times New Roman"/>
                <w:spacing w:val="0"/>
                <w:sz w:val="21"/>
                <w:szCs w:val="21"/>
                <w:lang w:val="en-US" w:eastAsia="zh-CN"/>
              </w:rPr>
              <w:t>四</w:t>
            </w:r>
            <w:r>
              <w:rPr>
                <w:rFonts w:hint="default" w:ascii="Times New Roman" w:hAnsi="Times New Roman" w:eastAsia="宋体" w:cs="Times New Roman"/>
                <w:spacing w:val="0"/>
                <w:sz w:val="21"/>
                <w:szCs w:val="21"/>
              </w:rPr>
              <w:t>层</w:t>
            </w:r>
            <w:r>
              <w:rPr>
                <w:rFonts w:hint="default" w:ascii="Times New Roman" w:hAnsi="Times New Roman" w:eastAsia="宋体" w:cs="Times New Roman"/>
                <w:spacing w:val="0"/>
                <w:sz w:val="21"/>
                <w:szCs w:val="21"/>
                <w:lang w:val="en-US" w:eastAsia="zh-CN"/>
              </w:rPr>
              <w:t>手术部</w:t>
            </w:r>
            <w:r>
              <w:rPr>
                <w:rFonts w:hint="default" w:ascii="Times New Roman" w:hAnsi="Times New Roman" w:eastAsia="宋体" w:cs="Times New Roman"/>
                <w:sz w:val="21"/>
                <w:szCs w:val="21"/>
                <w:lang w:val="en-US" w:eastAsia="zh-CN"/>
              </w:rPr>
              <w:t>DSA+CT复合手术室</w:t>
            </w:r>
          </w:p>
        </w:tc>
        <w:tc>
          <w:tcPr>
            <w:tcW w:w="491" w:type="pct"/>
            <w:vAlign w:val="center"/>
          </w:tcPr>
          <w:p w14:paraId="28AD1AC0">
            <w:pPr>
              <w:spacing w:line="360" w:lineRule="exact"/>
              <w:jc w:val="center"/>
              <w:rPr>
                <w:sz w:val="21"/>
                <w:szCs w:val="21"/>
              </w:rPr>
            </w:pPr>
            <w:r>
              <w:rPr>
                <w:sz w:val="21"/>
                <w:szCs w:val="21"/>
              </w:rPr>
              <w:t>本项目新增</w:t>
            </w:r>
          </w:p>
        </w:tc>
      </w:tr>
      <w:tr w14:paraId="329D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0" w:type="auto"/>
            <w:vAlign w:val="center"/>
          </w:tcPr>
          <w:p w14:paraId="44A553F8">
            <w:pPr>
              <w:spacing w:line="360" w:lineRule="exact"/>
              <w:jc w:val="center"/>
              <w:rPr>
                <w:rFonts w:hint="eastAsia" w:eastAsia="宋体"/>
                <w:sz w:val="21"/>
                <w:szCs w:val="21"/>
                <w:lang w:val="en-US" w:eastAsia="zh-CN"/>
              </w:rPr>
            </w:pPr>
            <w:r>
              <w:rPr>
                <w:rFonts w:hint="eastAsia"/>
                <w:sz w:val="21"/>
                <w:szCs w:val="21"/>
                <w:lang w:val="en-US" w:eastAsia="zh-CN"/>
              </w:rPr>
              <w:t>4</w:t>
            </w:r>
          </w:p>
        </w:tc>
        <w:tc>
          <w:tcPr>
            <w:tcW w:w="0" w:type="auto"/>
            <w:shd w:val="clear" w:color="auto" w:fill="auto"/>
            <w:vAlign w:val="center"/>
          </w:tcPr>
          <w:p w14:paraId="5AD28A99">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DSA</w:t>
            </w:r>
          </w:p>
        </w:tc>
        <w:tc>
          <w:tcPr>
            <w:tcW w:w="0" w:type="auto"/>
            <w:vAlign w:val="center"/>
          </w:tcPr>
          <w:p w14:paraId="076FE32C">
            <w:pPr>
              <w:spacing w:line="360" w:lineRule="exact"/>
              <w:jc w:val="center"/>
              <w:rPr>
                <w:sz w:val="21"/>
                <w:szCs w:val="21"/>
              </w:rPr>
            </w:pPr>
            <w:r>
              <w:rPr>
                <w:rFonts w:hint="default" w:ascii="Times New Roman" w:hAnsi="Times New Roman" w:eastAsia="宋体" w:cs="Times New Roman"/>
                <w:spacing w:val="0"/>
                <w:sz w:val="21"/>
                <w:szCs w:val="21"/>
                <w:lang w:bidi="ar"/>
              </w:rPr>
              <w:t>Ⅱ类</w:t>
            </w:r>
          </w:p>
        </w:tc>
        <w:tc>
          <w:tcPr>
            <w:tcW w:w="0" w:type="auto"/>
            <w:vAlign w:val="center"/>
          </w:tcPr>
          <w:p w14:paraId="79969355">
            <w:pPr>
              <w:spacing w:line="360" w:lineRule="exact"/>
              <w:jc w:val="center"/>
              <w:rPr>
                <w:rFonts w:hint="default" w:eastAsia="宋体"/>
                <w:sz w:val="21"/>
                <w:szCs w:val="21"/>
                <w:lang w:val="en-US" w:eastAsia="zh-CN"/>
              </w:rPr>
            </w:pPr>
            <w:r>
              <w:rPr>
                <w:rFonts w:hint="eastAsia"/>
                <w:sz w:val="21"/>
                <w:szCs w:val="21"/>
                <w:lang w:val="en-US" w:eastAsia="zh-CN"/>
              </w:rPr>
              <w:t>3台</w:t>
            </w:r>
          </w:p>
        </w:tc>
        <w:tc>
          <w:tcPr>
            <w:tcW w:w="0" w:type="auto"/>
            <w:vAlign w:val="center"/>
          </w:tcPr>
          <w:p w14:paraId="675210B6">
            <w:pPr>
              <w:spacing w:line="360" w:lineRule="exact"/>
              <w:jc w:val="center"/>
              <w:rPr>
                <w:sz w:val="21"/>
                <w:szCs w:val="21"/>
              </w:rPr>
            </w:pPr>
            <w:r>
              <w:rPr>
                <w:sz w:val="21"/>
                <w:szCs w:val="21"/>
              </w:rPr>
              <w:t>未定</w:t>
            </w:r>
          </w:p>
        </w:tc>
        <w:tc>
          <w:tcPr>
            <w:tcW w:w="636" w:type="pct"/>
            <w:vAlign w:val="center"/>
          </w:tcPr>
          <w:p w14:paraId="136993BF">
            <w:pPr>
              <w:spacing w:line="360" w:lineRule="exact"/>
              <w:jc w:val="center"/>
              <w:rPr>
                <w:rFonts w:hint="default" w:eastAsia="宋体"/>
                <w:sz w:val="21"/>
                <w:szCs w:val="21"/>
                <w:lang w:val="en-US" w:eastAsia="zh-CN"/>
              </w:rPr>
            </w:pPr>
            <w:r>
              <w:rPr>
                <w:rFonts w:hint="eastAsia"/>
                <w:sz w:val="21"/>
                <w:szCs w:val="21"/>
                <w:lang w:val="en-US" w:eastAsia="zh-CN"/>
              </w:rPr>
              <w:t>125</w:t>
            </w:r>
          </w:p>
        </w:tc>
        <w:tc>
          <w:tcPr>
            <w:tcW w:w="702" w:type="pct"/>
            <w:vAlign w:val="center"/>
          </w:tcPr>
          <w:p w14:paraId="475B301D">
            <w:pPr>
              <w:spacing w:line="360" w:lineRule="exact"/>
              <w:jc w:val="center"/>
              <w:rPr>
                <w:rFonts w:hint="default" w:eastAsia="宋体"/>
                <w:sz w:val="21"/>
                <w:szCs w:val="21"/>
                <w:lang w:val="en-US" w:eastAsia="zh-CN"/>
              </w:rPr>
            </w:pPr>
            <w:r>
              <w:rPr>
                <w:rFonts w:hint="eastAsia"/>
                <w:sz w:val="21"/>
                <w:szCs w:val="21"/>
                <w:lang w:val="en-US" w:eastAsia="zh-CN"/>
              </w:rPr>
              <w:t>1000</w:t>
            </w:r>
          </w:p>
        </w:tc>
        <w:tc>
          <w:tcPr>
            <w:tcW w:w="509" w:type="pct"/>
            <w:vAlign w:val="center"/>
          </w:tcPr>
          <w:p w14:paraId="4D321E88">
            <w:pPr>
              <w:spacing w:line="360" w:lineRule="exact"/>
              <w:jc w:val="center"/>
              <w:rPr>
                <w:sz w:val="21"/>
                <w:szCs w:val="21"/>
              </w:rPr>
            </w:pPr>
            <w:r>
              <w:rPr>
                <w:rFonts w:hint="default" w:ascii="Times New Roman" w:hAnsi="Times New Roman" w:eastAsia="宋体" w:cs="Times New Roman"/>
                <w:spacing w:val="0"/>
                <w:sz w:val="21"/>
                <w:szCs w:val="21"/>
                <w:lang w:val="en-US" w:eastAsia="zh-CN"/>
              </w:rPr>
              <w:t>影像检查和介入操作</w:t>
            </w:r>
          </w:p>
        </w:tc>
        <w:tc>
          <w:tcPr>
            <w:tcW w:w="996" w:type="pct"/>
            <w:vAlign w:val="center"/>
          </w:tcPr>
          <w:p w14:paraId="79E5E888">
            <w:pPr>
              <w:spacing w:line="360" w:lineRule="exact"/>
              <w:jc w:val="center"/>
              <w:rPr>
                <w:spacing w:val="-6"/>
                <w:sz w:val="21"/>
                <w:szCs w:val="21"/>
              </w:rPr>
            </w:pPr>
            <w:r>
              <w:rPr>
                <w:rFonts w:hint="default" w:ascii="Times New Roman" w:hAnsi="Times New Roman" w:eastAsia="宋体" w:cs="Times New Roman"/>
                <w:spacing w:val="0"/>
                <w:sz w:val="21"/>
                <w:szCs w:val="21"/>
                <w:lang w:val="en-US" w:eastAsia="zh-CN"/>
              </w:rPr>
              <w:t>四</w:t>
            </w:r>
            <w:r>
              <w:rPr>
                <w:rFonts w:hint="default" w:ascii="Times New Roman" w:hAnsi="Times New Roman" w:eastAsia="宋体" w:cs="Times New Roman"/>
                <w:spacing w:val="0"/>
                <w:sz w:val="21"/>
                <w:szCs w:val="21"/>
              </w:rPr>
              <w:t>层</w:t>
            </w:r>
            <w:r>
              <w:rPr>
                <w:rFonts w:hint="default" w:ascii="Times New Roman" w:hAnsi="Times New Roman" w:eastAsia="宋体" w:cs="Times New Roman"/>
                <w:spacing w:val="0"/>
                <w:sz w:val="21"/>
                <w:szCs w:val="21"/>
                <w:lang w:val="en-US" w:eastAsia="zh-CN"/>
              </w:rPr>
              <w:t>手术部</w:t>
            </w:r>
            <w:r>
              <w:rPr>
                <w:rFonts w:hint="eastAsia" w:ascii="Times New Roman" w:hAnsi="Times New Roman" w:cs="Times New Roman"/>
                <w:spacing w:val="0"/>
                <w:sz w:val="21"/>
                <w:szCs w:val="21"/>
                <w:lang w:val="en-US" w:eastAsia="zh-CN"/>
              </w:rPr>
              <w:t>（</w:t>
            </w:r>
            <w:r>
              <w:rPr>
                <w:rFonts w:hint="eastAsia" w:cs="Times New Roman"/>
                <w:spacing w:val="0"/>
                <w:sz w:val="21"/>
                <w:szCs w:val="21"/>
                <w:lang w:val="en-US" w:eastAsia="zh-CN"/>
              </w:rPr>
              <w:t>OR09</w:t>
            </w:r>
            <w:r>
              <w:rPr>
                <w:rFonts w:hint="eastAsia" w:ascii="Times New Roman" w:hAnsi="Times New Roman" w:cs="Times New Roman"/>
                <w:spacing w:val="0"/>
                <w:sz w:val="21"/>
                <w:szCs w:val="21"/>
                <w:lang w:val="en-US" w:eastAsia="zh-CN"/>
              </w:rPr>
              <w:t>、OR10、OR11）</w:t>
            </w:r>
          </w:p>
        </w:tc>
        <w:tc>
          <w:tcPr>
            <w:tcW w:w="0" w:type="auto"/>
            <w:vAlign w:val="center"/>
          </w:tcPr>
          <w:p w14:paraId="0E261F5F">
            <w:pPr>
              <w:spacing w:line="360" w:lineRule="exact"/>
              <w:jc w:val="center"/>
              <w:rPr>
                <w:sz w:val="21"/>
                <w:szCs w:val="21"/>
              </w:rPr>
            </w:pPr>
            <w:r>
              <w:rPr>
                <w:sz w:val="21"/>
                <w:szCs w:val="21"/>
              </w:rPr>
              <w:t>本项目新增</w:t>
            </w:r>
          </w:p>
        </w:tc>
      </w:tr>
      <w:tr w14:paraId="2712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0" w:type="auto"/>
            <w:vAlign w:val="center"/>
          </w:tcPr>
          <w:p w14:paraId="0A1AFE06">
            <w:pPr>
              <w:spacing w:line="360" w:lineRule="exact"/>
              <w:jc w:val="center"/>
              <w:rPr>
                <w:rFonts w:hint="eastAsia" w:eastAsia="宋体"/>
                <w:sz w:val="21"/>
                <w:szCs w:val="21"/>
                <w:lang w:val="en-US" w:eastAsia="zh-CN"/>
              </w:rPr>
            </w:pPr>
            <w:r>
              <w:rPr>
                <w:rFonts w:hint="eastAsia"/>
                <w:sz w:val="21"/>
                <w:szCs w:val="21"/>
                <w:lang w:val="en-US" w:eastAsia="zh-CN"/>
              </w:rPr>
              <w:t>7</w:t>
            </w:r>
          </w:p>
        </w:tc>
        <w:tc>
          <w:tcPr>
            <w:tcW w:w="0" w:type="auto"/>
            <w:shd w:val="clear" w:color="auto" w:fill="auto"/>
            <w:vAlign w:val="center"/>
          </w:tcPr>
          <w:p w14:paraId="0BCAF8F3">
            <w:pPr>
              <w:spacing w:line="240" w:lineRule="auto"/>
              <w:jc w:val="center"/>
              <w:rPr>
                <w:rFonts w:hint="default" w:ascii="Times New Roman" w:hAnsi="Times New Roman" w:eastAsia="宋体" w:cs="Times New Roman"/>
                <w:spacing w:val="0"/>
                <w:sz w:val="21"/>
                <w:szCs w:val="21"/>
                <w:lang w:val="en-US" w:eastAsia="zh-CN" w:bidi="ar"/>
              </w:rPr>
            </w:pPr>
            <w:r>
              <w:rPr>
                <w:rFonts w:hint="default" w:ascii="Times New Roman" w:hAnsi="Times New Roman" w:eastAsia="宋体" w:cs="Times New Roman"/>
                <w:spacing w:val="0"/>
                <w:sz w:val="21"/>
                <w:szCs w:val="21"/>
                <w:lang w:val="en-US" w:eastAsia="zh-CN" w:bidi="ar"/>
              </w:rPr>
              <w:t>ERCP</w:t>
            </w:r>
          </w:p>
        </w:tc>
        <w:tc>
          <w:tcPr>
            <w:tcW w:w="0" w:type="auto"/>
            <w:vAlign w:val="center"/>
          </w:tcPr>
          <w:p w14:paraId="69511172">
            <w:pPr>
              <w:spacing w:line="360" w:lineRule="exact"/>
              <w:jc w:val="center"/>
              <w:rPr>
                <w:sz w:val="21"/>
                <w:szCs w:val="21"/>
              </w:rPr>
            </w:pPr>
            <w:r>
              <w:rPr>
                <w:rFonts w:hint="default" w:ascii="Times New Roman" w:hAnsi="Times New Roman" w:eastAsia="宋体" w:cs="Times New Roman"/>
                <w:spacing w:val="0"/>
                <w:sz w:val="21"/>
                <w:szCs w:val="21"/>
                <w:lang w:bidi="ar"/>
              </w:rPr>
              <w:t>Ⅱ类</w:t>
            </w:r>
          </w:p>
        </w:tc>
        <w:tc>
          <w:tcPr>
            <w:tcW w:w="0" w:type="auto"/>
            <w:vAlign w:val="center"/>
          </w:tcPr>
          <w:p w14:paraId="7909000E">
            <w:pPr>
              <w:spacing w:line="360" w:lineRule="exact"/>
              <w:jc w:val="center"/>
              <w:rPr>
                <w:rFonts w:hint="eastAsia" w:eastAsia="宋体"/>
                <w:sz w:val="21"/>
                <w:szCs w:val="21"/>
                <w:lang w:val="en-US" w:eastAsia="zh-CN"/>
              </w:rPr>
            </w:pPr>
            <w:r>
              <w:rPr>
                <w:rFonts w:hint="eastAsia"/>
                <w:sz w:val="21"/>
                <w:szCs w:val="21"/>
                <w:lang w:val="en-US" w:eastAsia="zh-CN"/>
              </w:rPr>
              <w:t>1台</w:t>
            </w:r>
          </w:p>
        </w:tc>
        <w:tc>
          <w:tcPr>
            <w:tcW w:w="0" w:type="auto"/>
            <w:vAlign w:val="center"/>
          </w:tcPr>
          <w:p w14:paraId="30E38DF5">
            <w:pPr>
              <w:spacing w:line="360" w:lineRule="exact"/>
              <w:jc w:val="center"/>
              <w:rPr>
                <w:sz w:val="21"/>
                <w:szCs w:val="21"/>
              </w:rPr>
            </w:pPr>
            <w:r>
              <w:rPr>
                <w:sz w:val="21"/>
                <w:szCs w:val="21"/>
              </w:rPr>
              <w:t>未定</w:t>
            </w:r>
          </w:p>
        </w:tc>
        <w:tc>
          <w:tcPr>
            <w:tcW w:w="636" w:type="pct"/>
            <w:vAlign w:val="center"/>
          </w:tcPr>
          <w:p w14:paraId="05136EF7">
            <w:pPr>
              <w:spacing w:line="360" w:lineRule="exact"/>
              <w:jc w:val="center"/>
              <w:rPr>
                <w:rFonts w:hint="default" w:eastAsia="宋体"/>
                <w:sz w:val="21"/>
                <w:szCs w:val="21"/>
                <w:lang w:val="en-US" w:eastAsia="zh-CN"/>
              </w:rPr>
            </w:pPr>
            <w:r>
              <w:rPr>
                <w:rFonts w:hint="eastAsia"/>
                <w:sz w:val="21"/>
                <w:szCs w:val="21"/>
                <w:lang w:val="en-US" w:eastAsia="zh-CN"/>
              </w:rPr>
              <w:t>125</w:t>
            </w:r>
          </w:p>
        </w:tc>
        <w:tc>
          <w:tcPr>
            <w:tcW w:w="702" w:type="pct"/>
            <w:vAlign w:val="center"/>
          </w:tcPr>
          <w:p w14:paraId="325A6586">
            <w:pPr>
              <w:spacing w:line="360" w:lineRule="exact"/>
              <w:jc w:val="center"/>
              <w:rPr>
                <w:rFonts w:hint="default" w:eastAsia="宋体"/>
                <w:sz w:val="21"/>
                <w:szCs w:val="21"/>
                <w:lang w:val="en-US" w:eastAsia="zh-CN"/>
              </w:rPr>
            </w:pPr>
            <w:r>
              <w:rPr>
                <w:rFonts w:hint="eastAsia"/>
                <w:sz w:val="21"/>
                <w:szCs w:val="21"/>
                <w:lang w:val="en-US" w:eastAsia="zh-CN"/>
              </w:rPr>
              <w:t>1000</w:t>
            </w:r>
          </w:p>
        </w:tc>
        <w:tc>
          <w:tcPr>
            <w:tcW w:w="509" w:type="pct"/>
            <w:vAlign w:val="center"/>
          </w:tcPr>
          <w:p w14:paraId="41FFEC87">
            <w:pPr>
              <w:spacing w:line="360" w:lineRule="exact"/>
              <w:jc w:val="center"/>
              <w:rPr>
                <w:sz w:val="21"/>
                <w:szCs w:val="21"/>
              </w:rPr>
            </w:pPr>
            <w:r>
              <w:rPr>
                <w:rFonts w:hint="default" w:ascii="Times New Roman" w:hAnsi="Times New Roman" w:eastAsia="宋体" w:cs="Times New Roman"/>
                <w:spacing w:val="0"/>
                <w:sz w:val="21"/>
                <w:szCs w:val="21"/>
                <w:lang w:val="en-US" w:eastAsia="zh-CN"/>
              </w:rPr>
              <w:t>影像检查和介入操作</w:t>
            </w:r>
          </w:p>
        </w:tc>
        <w:tc>
          <w:tcPr>
            <w:tcW w:w="996" w:type="pct"/>
            <w:vAlign w:val="center"/>
          </w:tcPr>
          <w:p w14:paraId="72555357">
            <w:pPr>
              <w:spacing w:line="360" w:lineRule="exact"/>
              <w:jc w:val="center"/>
              <w:rPr>
                <w:spacing w:val="-6"/>
                <w:sz w:val="21"/>
                <w:szCs w:val="21"/>
              </w:rPr>
            </w:pPr>
            <w:r>
              <w:rPr>
                <w:rFonts w:hint="default" w:ascii="Times New Roman" w:hAnsi="Times New Roman" w:eastAsia="宋体" w:cs="Times New Roman"/>
                <w:spacing w:val="0"/>
                <w:sz w:val="21"/>
                <w:szCs w:val="21"/>
                <w:lang w:val="en-US" w:eastAsia="zh-CN"/>
              </w:rPr>
              <w:t>四层内镜中心ERCP室</w:t>
            </w:r>
          </w:p>
        </w:tc>
        <w:tc>
          <w:tcPr>
            <w:tcW w:w="0" w:type="auto"/>
            <w:vAlign w:val="center"/>
          </w:tcPr>
          <w:p w14:paraId="48137BC8">
            <w:pPr>
              <w:spacing w:line="360" w:lineRule="exact"/>
              <w:jc w:val="center"/>
              <w:rPr>
                <w:sz w:val="21"/>
                <w:szCs w:val="21"/>
              </w:rPr>
            </w:pPr>
            <w:r>
              <w:rPr>
                <w:sz w:val="21"/>
                <w:szCs w:val="21"/>
              </w:rPr>
              <w:t>本项目新增</w:t>
            </w:r>
          </w:p>
        </w:tc>
      </w:tr>
    </w:tbl>
    <w:p w14:paraId="47D54C97">
      <w:pPr>
        <w:spacing w:before="163"/>
      </w:pPr>
      <w:r>
        <w:t>（三）中子发生器，包括中子管，但不包括放射性中子源</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707"/>
        <w:gridCol w:w="849"/>
        <w:gridCol w:w="808"/>
        <w:gridCol w:w="972"/>
        <w:gridCol w:w="1248"/>
        <w:gridCol w:w="1248"/>
        <w:gridCol w:w="1360"/>
        <w:gridCol w:w="778"/>
        <w:gridCol w:w="1068"/>
        <w:gridCol w:w="1174"/>
        <w:gridCol w:w="1144"/>
        <w:gridCol w:w="718"/>
        <w:gridCol w:w="890"/>
      </w:tblGrid>
      <w:tr w14:paraId="6A7A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52" w:type="pct"/>
            <w:vMerge w:val="restart"/>
            <w:vAlign w:val="center"/>
          </w:tcPr>
          <w:p w14:paraId="5CE81079">
            <w:pPr>
              <w:spacing w:line="360" w:lineRule="exact"/>
              <w:jc w:val="center"/>
              <w:rPr>
                <w:sz w:val="21"/>
                <w:szCs w:val="21"/>
              </w:rPr>
            </w:pPr>
            <w:r>
              <w:rPr>
                <w:sz w:val="21"/>
                <w:szCs w:val="21"/>
              </w:rPr>
              <w:t>序号</w:t>
            </w:r>
          </w:p>
        </w:tc>
        <w:tc>
          <w:tcPr>
            <w:tcW w:w="259" w:type="pct"/>
            <w:vMerge w:val="restart"/>
            <w:vAlign w:val="center"/>
          </w:tcPr>
          <w:p w14:paraId="4DCCE712">
            <w:pPr>
              <w:spacing w:line="360" w:lineRule="exact"/>
              <w:jc w:val="center"/>
              <w:rPr>
                <w:sz w:val="21"/>
                <w:szCs w:val="21"/>
              </w:rPr>
            </w:pPr>
            <w:r>
              <w:rPr>
                <w:sz w:val="21"/>
                <w:szCs w:val="21"/>
              </w:rPr>
              <w:t>名称</w:t>
            </w:r>
          </w:p>
        </w:tc>
        <w:tc>
          <w:tcPr>
            <w:tcW w:w="311" w:type="pct"/>
            <w:vMerge w:val="restart"/>
            <w:vAlign w:val="center"/>
          </w:tcPr>
          <w:p w14:paraId="48C973B5">
            <w:pPr>
              <w:spacing w:line="360" w:lineRule="exact"/>
              <w:jc w:val="center"/>
              <w:rPr>
                <w:sz w:val="21"/>
                <w:szCs w:val="21"/>
              </w:rPr>
            </w:pPr>
            <w:r>
              <w:rPr>
                <w:sz w:val="21"/>
                <w:szCs w:val="21"/>
              </w:rPr>
              <w:t>类别</w:t>
            </w:r>
          </w:p>
        </w:tc>
        <w:tc>
          <w:tcPr>
            <w:tcW w:w="296" w:type="pct"/>
            <w:vMerge w:val="restart"/>
            <w:vAlign w:val="center"/>
          </w:tcPr>
          <w:p w14:paraId="7368BC3F">
            <w:pPr>
              <w:spacing w:line="360" w:lineRule="exact"/>
              <w:jc w:val="center"/>
              <w:rPr>
                <w:sz w:val="21"/>
                <w:szCs w:val="21"/>
              </w:rPr>
            </w:pPr>
            <w:r>
              <w:rPr>
                <w:sz w:val="21"/>
                <w:szCs w:val="21"/>
              </w:rPr>
              <w:t>数量</w:t>
            </w:r>
          </w:p>
        </w:tc>
        <w:tc>
          <w:tcPr>
            <w:tcW w:w="356" w:type="pct"/>
            <w:vMerge w:val="restart"/>
            <w:vAlign w:val="center"/>
          </w:tcPr>
          <w:p w14:paraId="140AA065">
            <w:pPr>
              <w:spacing w:line="360" w:lineRule="exact"/>
              <w:jc w:val="center"/>
              <w:rPr>
                <w:sz w:val="21"/>
                <w:szCs w:val="21"/>
              </w:rPr>
            </w:pPr>
            <w:r>
              <w:rPr>
                <w:sz w:val="21"/>
                <w:szCs w:val="21"/>
              </w:rPr>
              <w:t>型号</w:t>
            </w:r>
          </w:p>
        </w:tc>
        <w:tc>
          <w:tcPr>
            <w:tcW w:w="457" w:type="pct"/>
            <w:vMerge w:val="restart"/>
            <w:vAlign w:val="center"/>
          </w:tcPr>
          <w:p w14:paraId="76B7FE8E">
            <w:pPr>
              <w:spacing w:line="360" w:lineRule="exact"/>
              <w:jc w:val="center"/>
              <w:rPr>
                <w:sz w:val="21"/>
                <w:szCs w:val="21"/>
              </w:rPr>
            </w:pPr>
            <w:r>
              <w:rPr>
                <w:sz w:val="21"/>
                <w:szCs w:val="21"/>
              </w:rPr>
              <w:t>最大管电</w:t>
            </w:r>
          </w:p>
          <w:p w14:paraId="0BAD92D0">
            <w:pPr>
              <w:spacing w:line="360" w:lineRule="exact"/>
              <w:jc w:val="center"/>
              <w:rPr>
                <w:sz w:val="21"/>
                <w:szCs w:val="21"/>
              </w:rPr>
            </w:pPr>
            <w:r>
              <w:rPr>
                <w:sz w:val="21"/>
                <w:szCs w:val="21"/>
              </w:rPr>
              <w:t>压（kV）</w:t>
            </w:r>
          </w:p>
        </w:tc>
        <w:tc>
          <w:tcPr>
            <w:tcW w:w="457" w:type="pct"/>
            <w:vMerge w:val="restart"/>
            <w:vAlign w:val="center"/>
          </w:tcPr>
          <w:p w14:paraId="1CE5E78B">
            <w:pPr>
              <w:spacing w:line="360" w:lineRule="exact"/>
              <w:jc w:val="center"/>
              <w:rPr>
                <w:sz w:val="21"/>
                <w:szCs w:val="21"/>
              </w:rPr>
            </w:pPr>
            <w:r>
              <w:rPr>
                <w:sz w:val="21"/>
                <w:szCs w:val="21"/>
              </w:rPr>
              <w:t>最大靶电</w:t>
            </w:r>
          </w:p>
          <w:p w14:paraId="3AF078E4">
            <w:pPr>
              <w:spacing w:line="360" w:lineRule="exact"/>
              <w:jc w:val="center"/>
              <w:rPr>
                <w:sz w:val="21"/>
                <w:szCs w:val="21"/>
              </w:rPr>
            </w:pPr>
            <w:r>
              <w:rPr>
                <w:sz w:val="21"/>
                <w:szCs w:val="21"/>
              </w:rPr>
              <w:t>流（μA）</w:t>
            </w:r>
          </w:p>
        </w:tc>
        <w:tc>
          <w:tcPr>
            <w:tcW w:w="498" w:type="pct"/>
            <w:vMerge w:val="restart"/>
            <w:vAlign w:val="center"/>
          </w:tcPr>
          <w:p w14:paraId="365AA1EA">
            <w:pPr>
              <w:spacing w:line="360" w:lineRule="exact"/>
              <w:jc w:val="center"/>
              <w:rPr>
                <w:sz w:val="21"/>
                <w:szCs w:val="21"/>
              </w:rPr>
            </w:pPr>
            <w:r>
              <w:rPr>
                <w:sz w:val="21"/>
                <w:szCs w:val="21"/>
              </w:rPr>
              <w:t>中子强</w:t>
            </w:r>
          </w:p>
          <w:p w14:paraId="4E0254BD">
            <w:pPr>
              <w:spacing w:line="360" w:lineRule="exact"/>
              <w:jc w:val="center"/>
              <w:rPr>
                <w:sz w:val="21"/>
                <w:szCs w:val="21"/>
              </w:rPr>
            </w:pPr>
            <w:r>
              <w:rPr>
                <w:sz w:val="21"/>
                <w:szCs w:val="21"/>
              </w:rPr>
              <w:t>度(n/s)</w:t>
            </w:r>
          </w:p>
        </w:tc>
        <w:tc>
          <w:tcPr>
            <w:tcW w:w="285" w:type="pct"/>
            <w:vMerge w:val="restart"/>
            <w:vAlign w:val="center"/>
          </w:tcPr>
          <w:p w14:paraId="4A79C27B">
            <w:pPr>
              <w:spacing w:line="360" w:lineRule="exact"/>
              <w:jc w:val="center"/>
              <w:rPr>
                <w:sz w:val="21"/>
                <w:szCs w:val="21"/>
              </w:rPr>
            </w:pPr>
            <w:r>
              <w:rPr>
                <w:sz w:val="21"/>
                <w:szCs w:val="21"/>
              </w:rPr>
              <w:t>用途</w:t>
            </w:r>
          </w:p>
        </w:tc>
        <w:tc>
          <w:tcPr>
            <w:tcW w:w="391" w:type="pct"/>
            <w:vMerge w:val="restart"/>
            <w:vAlign w:val="center"/>
          </w:tcPr>
          <w:p w14:paraId="3C26D122">
            <w:pPr>
              <w:spacing w:line="360" w:lineRule="exact"/>
              <w:jc w:val="center"/>
              <w:rPr>
                <w:sz w:val="21"/>
                <w:szCs w:val="21"/>
              </w:rPr>
            </w:pPr>
            <w:r>
              <w:rPr>
                <w:sz w:val="21"/>
                <w:szCs w:val="21"/>
              </w:rPr>
              <w:t>工作场所</w:t>
            </w:r>
          </w:p>
        </w:tc>
        <w:tc>
          <w:tcPr>
            <w:tcW w:w="1112" w:type="pct"/>
            <w:gridSpan w:val="3"/>
            <w:vAlign w:val="center"/>
          </w:tcPr>
          <w:p w14:paraId="3831E722">
            <w:pPr>
              <w:spacing w:line="360" w:lineRule="exact"/>
              <w:jc w:val="center"/>
              <w:rPr>
                <w:sz w:val="21"/>
                <w:szCs w:val="21"/>
              </w:rPr>
            </w:pPr>
            <w:r>
              <w:rPr>
                <w:sz w:val="21"/>
                <w:szCs w:val="21"/>
              </w:rPr>
              <w:t>氚靶情况</w:t>
            </w:r>
          </w:p>
        </w:tc>
        <w:tc>
          <w:tcPr>
            <w:tcW w:w="326" w:type="pct"/>
            <w:vMerge w:val="restart"/>
            <w:vAlign w:val="center"/>
          </w:tcPr>
          <w:p w14:paraId="6D7CDEC3">
            <w:pPr>
              <w:spacing w:line="360" w:lineRule="exact"/>
              <w:jc w:val="center"/>
              <w:rPr>
                <w:sz w:val="21"/>
                <w:szCs w:val="21"/>
              </w:rPr>
            </w:pPr>
            <w:r>
              <w:rPr>
                <w:sz w:val="21"/>
                <w:szCs w:val="21"/>
              </w:rPr>
              <w:t>备注</w:t>
            </w:r>
          </w:p>
        </w:tc>
      </w:tr>
      <w:tr w14:paraId="3DC0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52" w:type="pct"/>
            <w:vMerge w:val="continue"/>
            <w:vAlign w:val="center"/>
          </w:tcPr>
          <w:p w14:paraId="04811521">
            <w:pPr>
              <w:spacing w:line="360" w:lineRule="exact"/>
              <w:jc w:val="center"/>
              <w:rPr>
                <w:sz w:val="21"/>
                <w:szCs w:val="21"/>
              </w:rPr>
            </w:pPr>
          </w:p>
        </w:tc>
        <w:tc>
          <w:tcPr>
            <w:tcW w:w="259" w:type="pct"/>
            <w:vMerge w:val="continue"/>
            <w:vAlign w:val="center"/>
          </w:tcPr>
          <w:p w14:paraId="671449AF">
            <w:pPr>
              <w:spacing w:line="360" w:lineRule="exact"/>
              <w:jc w:val="center"/>
              <w:rPr>
                <w:sz w:val="21"/>
                <w:szCs w:val="21"/>
              </w:rPr>
            </w:pPr>
          </w:p>
        </w:tc>
        <w:tc>
          <w:tcPr>
            <w:tcW w:w="311" w:type="pct"/>
            <w:vMerge w:val="continue"/>
            <w:vAlign w:val="center"/>
          </w:tcPr>
          <w:p w14:paraId="105BAF58">
            <w:pPr>
              <w:spacing w:line="360" w:lineRule="exact"/>
              <w:jc w:val="center"/>
              <w:rPr>
                <w:sz w:val="21"/>
                <w:szCs w:val="21"/>
              </w:rPr>
            </w:pPr>
          </w:p>
        </w:tc>
        <w:tc>
          <w:tcPr>
            <w:tcW w:w="296" w:type="pct"/>
            <w:vMerge w:val="continue"/>
            <w:vAlign w:val="center"/>
          </w:tcPr>
          <w:p w14:paraId="2862849C">
            <w:pPr>
              <w:spacing w:line="360" w:lineRule="exact"/>
              <w:jc w:val="center"/>
              <w:rPr>
                <w:sz w:val="21"/>
                <w:szCs w:val="21"/>
              </w:rPr>
            </w:pPr>
          </w:p>
        </w:tc>
        <w:tc>
          <w:tcPr>
            <w:tcW w:w="356" w:type="pct"/>
            <w:vMerge w:val="continue"/>
            <w:vAlign w:val="center"/>
          </w:tcPr>
          <w:p w14:paraId="66860CA4">
            <w:pPr>
              <w:spacing w:line="360" w:lineRule="exact"/>
              <w:jc w:val="center"/>
              <w:rPr>
                <w:sz w:val="21"/>
                <w:szCs w:val="21"/>
              </w:rPr>
            </w:pPr>
          </w:p>
        </w:tc>
        <w:tc>
          <w:tcPr>
            <w:tcW w:w="457" w:type="pct"/>
            <w:vMerge w:val="continue"/>
            <w:vAlign w:val="center"/>
          </w:tcPr>
          <w:p w14:paraId="3F9FE3B8">
            <w:pPr>
              <w:spacing w:line="360" w:lineRule="exact"/>
              <w:jc w:val="center"/>
              <w:rPr>
                <w:sz w:val="21"/>
                <w:szCs w:val="21"/>
              </w:rPr>
            </w:pPr>
          </w:p>
        </w:tc>
        <w:tc>
          <w:tcPr>
            <w:tcW w:w="457" w:type="pct"/>
            <w:vMerge w:val="continue"/>
            <w:vAlign w:val="center"/>
          </w:tcPr>
          <w:p w14:paraId="73EFD226">
            <w:pPr>
              <w:spacing w:line="360" w:lineRule="exact"/>
              <w:jc w:val="center"/>
              <w:rPr>
                <w:sz w:val="21"/>
                <w:szCs w:val="21"/>
              </w:rPr>
            </w:pPr>
          </w:p>
        </w:tc>
        <w:tc>
          <w:tcPr>
            <w:tcW w:w="498" w:type="pct"/>
            <w:vMerge w:val="continue"/>
            <w:vAlign w:val="center"/>
          </w:tcPr>
          <w:p w14:paraId="525DE082">
            <w:pPr>
              <w:spacing w:line="360" w:lineRule="exact"/>
              <w:jc w:val="center"/>
              <w:rPr>
                <w:sz w:val="21"/>
                <w:szCs w:val="21"/>
              </w:rPr>
            </w:pPr>
          </w:p>
        </w:tc>
        <w:tc>
          <w:tcPr>
            <w:tcW w:w="285" w:type="pct"/>
            <w:vMerge w:val="continue"/>
            <w:vAlign w:val="center"/>
          </w:tcPr>
          <w:p w14:paraId="767AB9DC">
            <w:pPr>
              <w:spacing w:line="360" w:lineRule="exact"/>
              <w:jc w:val="center"/>
              <w:rPr>
                <w:sz w:val="21"/>
                <w:szCs w:val="21"/>
              </w:rPr>
            </w:pPr>
          </w:p>
        </w:tc>
        <w:tc>
          <w:tcPr>
            <w:tcW w:w="391" w:type="pct"/>
            <w:vMerge w:val="continue"/>
            <w:vAlign w:val="center"/>
          </w:tcPr>
          <w:p w14:paraId="5D391692">
            <w:pPr>
              <w:spacing w:line="360" w:lineRule="exact"/>
              <w:jc w:val="center"/>
              <w:rPr>
                <w:sz w:val="21"/>
                <w:szCs w:val="21"/>
              </w:rPr>
            </w:pPr>
          </w:p>
        </w:tc>
        <w:tc>
          <w:tcPr>
            <w:tcW w:w="430" w:type="pct"/>
            <w:vAlign w:val="center"/>
          </w:tcPr>
          <w:p w14:paraId="7223BD5F">
            <w:pPr>
              <w:spacing w:line="360" w:lineRule="exact"/>
              <w:jc w:val="center"/>
              <w:rPr>
                <w:sz w:val="21"/>
                <w:szCs w:val="21"/>
              </w:rPr>
            </w:pPr>
            <w:r>
              <w:rPr>
                <w:sz w:val="21"/>
                <w:szCs w:val="21"/>
              </w:rPr>
              <w:t>活度（Bq）</w:t>
            </w:r>
          </w:p>
        </w:tc>
        <w:tc>
          <w:tcPr>
            <w:tcW w:w="419" w:type="pct"/>
            <w:vAlign w:val="center"/>
          </w:tcPr>
          <w:p w14:paraId="6024D9A6">
            <w:pPr>
              <w:spacing w:line="360" w:lineRule="exact"/>
              <w:jc w:val="center"/>
              <w:rPr>
                <w:sz w:val="21"/>
                <w:szCs w:val="21"/>
              </w:rPr>
            </w:pPr>
            <w:r>
              <w:rPr>
                <w:sz w:val="21"/>
                <w:szCs w:val="21"/>
              </w:rPr>
              <w:t>贮存方式</w:t>
            </w:r>
          </w:p>
        </w:tc>
        <w:tc>
          <w:tcPr>
            <w:tcW w:w="262" w:type="pct"/>
            <w:vAlign w:val="center"/>
          </w:tcPr>
          <w:p w14:paraId="00BEA421">
            <w:pPr>
              <w:spacing w:line="360" w:lineRule="exact"/>
              <w:jc w:val="center"/>
              <w:rPr>
                <w:sz w:val="21"/>
                <w:szCs w:val="21"/>
              </w:rPr>
            </w:pPr>
            <w:r>
              <w:rPr>
                <w:sz w:val="21"/>
                <w:szCs w:val="21"/>
              </w:rPr>
              <w:t>数量</w:t>
            </w:r>
          </w:p>
        </w:tc>
        <w:tc>
          <w:tcPr>
            <w:tcW w:w="326" w:type="pct"/>
            <w:vMerge w:val="continue"/>
            <w:vAlign w:val="center"/>
          </w:tcPr>
          <w:p w14:paraId="2CAB2BE7">
            <w:pPr>
              <w:spacing w:line="360" w:lineRule="exact"/>
              <w:jc w:val="center"/>
              <w:rPr>
                <w:sz w:val="21"/>
                <w:szCs w:val="21"/>
              </w:rPr>
            </w:pPr>
          </w:p>
        </w:tc>
      </w:tr>
      <w:tr w14:paraId="15FE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252" w:type="pct"/>
            <w:vAlign w:val="center"/>
          </w:tcPr>
          <w:p w14:paraId="0CB1B39A">
            <w:pPr>
              <w:spacing w:line="360" w:lineRule="exact"/>
              <w:jc w:val="center"/>
              <w:rPr>
                <w:sz w:val="21"/>
                <w:szCs w:val="21"/>
              </w:rPr>
            </w:pPr>
            <w:r>
              <w:rPr>
                <w:sz w:val="21"/>
                <w:szCs w:val="21"/>
              </w:rPr>
              <w:t>—</w:t>
            </w:r>
          </w:p>
        </w:tc>
        <w:tc>
          <w:tcPr>
            <w:tcW w:w="259" w:type="pct"/>
            <w:vAlign w:val="center"/>
          </w:tcPr>
          <w:p w14:paraId="1843DA56">
            <w:pPr>
              <w:spacing w:line="360" w:lineRule="exact"/>
              <w:jc w:val="center"/>
              <w:rPr>
                <w:sz w:val="21"/>
                <w:szCs w:val="21"/>
              </w:rPr>
            </w:pPr>
            <w:r>
              <w:rPr>
                <w:sz w:val="21"/>
                <w:szCs w:val="21"/>
              </w:rPr>
              <w:t>—</w:t>
            </w:r>
          </w:p>
        </w:tc>
        <w:tc>
          <w:tcPr>
            <w:tcW w:w="311" w:type="pct"/>
            <w:vAlign w:val="center"/>
          </w:tcPr>
          <w:p w14:paraId="7E1BE257">
            <w:pPr>
              <w:spacing w:line="360" w:lineRule="exact"/>
              <w:jc w:val="center"/>
              <w:rPr>
                <w:sz w:val="21"/>
                <w:szCs w:val="21"/>
              </w:rPr>
            </w:pPr>
            <w:r>
              <w:rPr>
                <w:sz w:val="21"/>
                <w:szCs w:val="21"/>
              </w:rPr>
              <w:t>—</w:t>
            </w:r>
          </w:p>
        </w:tc>
        <w:tc>
          <w:tcPr>
            <w:tcW w:w="296" w:type="pct"/>
            <w:vAlign w:val="center"/>
          </w:tcPr>
          <w:p w14:paraId="0EC7204A">
            <w:pPr>
              <w:spacing w:line="360" w:lineRule="exact"/>
              <w:jc w:val="center"/>
              <w:rPr>
                <w:sz w:val="21"/>
                <w:szCs w:val="21"/>
              </w:rPr>
            </w:pPr>
            <w:r>
              <w:rPr>
                <w:sz w:val="21"/>
                <w:szCs w:val="21"/>
              </w:rPr>
              <w:t>—</w:t>
            </w:r>
          </w:p>
        </w:tc>
        <w:tc>
          <w:tcPr>
            <w:tcW w:w="356" w:type="pct"/>
            <w:vAlign w:val="center"/>
          </w:tcPr>
          <w:p w14:paraId="082E73F4">
            <w:pPr>
              <w:spacing w:line="360" w:lineRule="exact"/>
              <w:jc w:val="center"/>
              <w:rPr>
                <w:sz w:val="21"/>
                <w:szCs w:val="21"/>
              </w:rPr>
            </w:pPr>
            <w:r>
              <w:rPr>
                <w:sz w:val="21"/>
                <w:szCs w:val="21"/>
              </w:rPr>
              <w:t>—</w:t>
            </w:r>
          </w:p>
        </w:tc>
        <w:tc>
          <w:tcPr>
            <w:tcW w:w="457" w:type="pct"/>
            <w:vAlign w:val="center"/>
          </w:tcPr>
          <w:p w14:paraId="79230C89">
            <w:pPr>
              <w:spacing w:line="360" w:lineRule="exact"/>
              <w:jc w:val="center"/>
              <w:rPr>
                <w:sz w:val="21"/>
                <w:szCs w:val="21"/>
              </w:rPr>
            </w:pPr>
            <w:r>
              <w:rPr>
                <w:sz w:val="21"/>
                <w:szCs w:val="21"/>
              </w:rPr>
              <w:t>—</w:t>
            </w:r>
          </w:p>
        </w:tc>
        <w:tc>
          <w:tcPr>
            <w:tcW w:w="457" w:type="pct"/>
            <w:vAlign w:val="center"/>
          </w:tcPr>
          <w:p w14:paraId="50A4ED1D">
            <w:pPr>
              <w:spacing w:line="360" w:lineRule="exact"/>
              <w:jc w:val="center"/>
              <w:rPr>
                <w:sz w:val="21"/>
                <w:szCs w:val="21"/>
              </w:rPr>
            </w:pPr>
            <w:r>
              <w:rPr>
                <w:sz w:val="21"/>
                <w:szCs w:val="21"/>
              </w:rPr>
              <w:t>—</w:t>
            </w:r>
          </w:p>
        </w:tc>
        <w:tc>
          <w:tcPr>
            <w:tcW w:w="498" w:type="pct"/>
            <w:vAlign w:val="center"/>
          </w:tcPr>
          <w:p w14:paraId="6229496D">
            <w:pPr>
              <w:spacing w:line="360" w:lineRule="exact"/>
              <w:jc w:val="center"/>
              <w:rPr>
                <w:sz w:val="21"/>
                <w:szCs w:val="21"/>
              </w:rPr>
            </w:pPr>
            <w:r>
              <w:rPr>
                <w:sz w:val="21"/>
                <w:szCs w:val="21"/>
              </w:rPr>
              <w:t>—</w:t>
            </w:r>
          </w:p>
        </w:tc>
        <w:tc>
          <w:tcPr>
            <w:tcW w:w="285" w:type="pct"/>
            <w:vAlign w:val="center"/>
          </w:tcPr>
          <w:p w14:paraId="64F2B6E8">
            <w:pPr>
              <w:spacing w:line="360" w:lineRule="exact"/>
              <w:jc w:val="center"/>
              <w:rPr>
                <w:sz w:val="21"/>
                <w:szCs w:val="21"/>
              </w:rPr>
            </w:pPr>
            <w:r>
              <w:rPr>
                <w:sz w:val="21"/>
                <w:szCs w:val="21"/>
              </w:rPr>
              <w:t>—</w:t>
            </w:r>
          </w:p>
        </w:tc>
        <w:tc>
          <w:tcPr>
            <w:tcW w:w="391" w:type="pct"/>
            <w:vAlign w:val="center"/>
          </w:tcPr>
          <w:p w14:paraId="4E5FDA17">
            <w:pPr>
              <w:spacing w:line="360" w:lineRule="exact"/>
              <w:jc w:val="center"/>
              <w:rPr>
                <w:sz w:val="21"/>
                <w:szCs w:val="21"/>
              </w:rPr>
            </w:pPr>
            <w:r>
              <w:rPr>
                <w:sz w:val="21"/>
                <w:szCs w:val="21"/>
              </w:rPr>
              <w:t>—</w:t>
            </w:r>
          </w:p>
        </w:tc>
        <w:tc>
          <w:tcPr>
            <w:tcW w:w="430" w:type="pct"/>
            <w:vAlign w:val="center"/>
          </w:tcPr>
          <w:p w14:paraId="4E3E8F34">
            <w:pPr>
              <w:spacing w:line="360" w:lineRule="exact"/>
              <w:jc w:val="center"/>
              <w:rPr>
                <w:sz w:val="21"/>
                <w:szCs w:val="21"/>
              </w:rPr>
            </w:pPr>
            <w:r>
              <w:rPr>
                <w:sz w:val="21"/>
                <w:szCs w:val="21"/>
              </w:rPr>
              <w:t>—</w:t>
            </w:r>
          </w:p>
        </w:tc>
        <w:tc>
          <w:tcPr>
            <w:tcW w:w="419" w:type="pct"/>
            <w:vAlign w:val="center"/>
          </w:tcPr>
          <w:p w14:paraId="5108987A">
            <w:pPr>
              <w:spacing w:line="360" w:lineRule="exact"/>
              <w:jc w:val="center"/>
              <w:rPr>
                <w:sz w:val="21"/>
                <w:szCs w:val="21"/>
              </w:rPr>
            </w:pPr>
            <w:r>
              <w:rPr>
                <w:sz w:val="21"/>
                <w:szCs w:val="21"/>
              </w:rPr>
              <w:t>—</w:t>
            </w:r>
          </w:p>
        </w:tc>
        <w:tc>
          <w:tcPr>
            <w:tcW w:w="262" w:type="pct"/>
            <w:vAlign w:val="center"/>
          </w:tcPr>
          <w:p w14:paraId="51CE7150">
            <w:pPr>
              <w:spacing w:line="360" w:lineRule="exact"/>
              <w:jc w:val="center"/>
              <w:rPr>
                <w:sz w:val="21"/>
                <w:szCs w:val="21"/>
              </w:rPr>
            </w:pPr>
            <w:r>
              <w:rPr>
                <w:sz w:val="21"/>
                <w:szCs w:val="21"/>
              </w:rPr>
              <w:t>—</w:t>
            </w:r>
          </w:p>
        </w:tc>
        <w:tc>
          <w:tcPr>
            <w:tcW w:w="326" w:type="pct"/>
            <w:vAlign w:val="center"/>
          </w:tcPr>
          <w:p w14:paraId="77DDE09A">
            <w:pPr>
              <w:spacing w:line="360" w:lineRule="exact"/>
              <w:jc w:val="center"/>
              <w:rPr>
                <w:sz w:val="21"/>
                <w:szCs w:val="21"/>
              </w:rPr>
            </w:pPr>
            <w:r>
              <w:rPr>
                <w:sz w:val="21"/>
                <w:szCs w:val="21"/>
              </w:rPr>
              <w:t>—</w:t>
            </w:r>
          </w:p>
        </w:tc>
      </w:tr>
      <w:tr w14:paraId="35B2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52" w:type="pct"/>
            <w:vAlign w:val="center"/>
          </w:tcPr>
          <w:p w14:paraId="5C8CD534">
            <w:pPr>
              <w:spacing w:line="360" w:lineRule="exact"/>
              <w:jc w:val="center"/>
            </w:pPr>
            <w:r>
              <w:rPr>
                <w:sz w:val="21"/>
                <w:szCs w:val="21"/>
              </w:rPr>
              <w:t>—</w:t>
            </w:r>
          </w:p>
        </w:tc>
        <w:tc>
          <w:tcPr>
            <w:tcW w:w="259" w:type="pct"/>
            <w:vAlign w:val="center"/>
          </w:tcPr>
          <w:p w14:paraId="21DC1DEF">
            <w:pPr>
              <w:spacing w:line="360" w:lineRule="exact"/>
              <w:jc w:val="center"/>
            </w:pPr>
            <w:r>
              <w:rPr>
                <w:sz w:val="21"/>
                <w:szCs w:val="21"/>
              </w:rPr>
              <w:t>—</w:t>
            </w:r>
          </w:p>
        </w:tc>
        <w:tc>
          <w:tcPr>
            <w:tcW w:w="311" w:type="pct"/>
            <w:vAlign w:val="center"/>
          </w:tcPr>
          <w:p w14:paraId="14751ED6">
            <w:pPr>
              <w:spacing w:line="360" w:lineRule="exact"/>
              <w:jc w:val="center"/>
            </w:pPr>
            <w:r>
              <w:rPr>
                <w:sz w:val="21"/>
                <w:szCs w:val="21"/>
              </w:rPr>
              <w:t>—</w:t>
            </w:r>
          </w:p>
        </w:tc>
        <w:tc>
          <w:tcPr>
            <w:tcW w:w="296" w:type="pct"/>
            <w:vAlign w:val="center"/>
          </w:tcPr>
          <w:p w14:paraId="6C2CB661">
            <w:pPr>
              <w:spacing w:line="360" w:lineRule="exact"/>
              <w:jc w:val="center"/>
            </w:pPr>
            <w:r>
              <w:rPr>
                <w:sz w:val="21"/>
                <w:szCs w:val="21"/>
              </w:rPr>
              <w:t>—</w:t>
            </w:r>
          </w:p>
        </w:tc>
        <w:tc>
          <w:tcPr>
            <w:tcW w:w="356" w:type="pct"/>
            <w:vAlign w:val="center"/>
          </w:tcPr>
          <w:p w14:paraId="0A5DA1C0">
            <w:pPr>
              <w:spacing w:line="360" w:lineRule="exact"/>
              <w:jc w:val="center"/>
            </w:pPr>
            <w:r>
              <w:rPr>
                <w:sz w:val="21"/>
                <w:szCs w:val="21"/>
              </w:rPr>
              <w:t>—</w:t>
            </w:r>
          </w:p>
        </w:tc>
        <w:tc>
          <w:tcPr>
            <w:tcW w:w="457" w:type="pct"/>
            <w:vAlign w:val="center"/>
          </w:tcPr>
          <w:p w14:paraId="4512F5A0">
            <w:pPr>
              <w:spacing w:line="360" w:lineRule="exact"/>
              <w:jc w:val="center"/>
            </w:pPr>
            <w:r>
              <w:rPr>
                <w:sz w:val="21"/>
                <w:szCs w:val="21"/>
              </w:rPr>
              <w:t>—</w:t>
            </w:r>
          </w:p>
        </w:tc>
        <w:tc>
          <w:tcPr>
            <w:tcW w:w="457" w:type="pct"/>
            <w:vAlign w:val="center"/>
          </w:tcPr>
          <w:p w14:paraId="0365E1C8">
            <w:pPr>
              <w:spacing w:line="360" w:lineRule="exact"/>
              <w:jc w:val="center"/>
            </w:pPr>
            <w:r>
              <w:rPr>
                <w:sz w:val="21"/>
                <w:szCs w:val="21"/>
              </w:rPr>
              <w:t>—</w:t>
            </w:r>
          </w:p>
        </w:tc>
        <w:tc>
          <w:tcPr>
            <w:tcW w:w="498" w:type="pct"/>
            <w:vAlign w:val="center"/>
          </w:tcPr>
          <w:p w14:paraId="76936349">
            <w:pPr>
              <w:spacing w:line="360" w:lineRule="exact"/>
              <w:jc w:val="center"/>
            </w:pPr>
            <w:r>
              <w:rPr>
                <w:sz w:val="21"/>
                <w:szCs w:val="21"/>
              </w:rPr>
              <w:t>—</w:t>
            </w:r>
          </w:p>
        </w:tc>
        <w:tc>
          <w:tcPr>
            <w:tcW w:w="285" w:type="pct"/>
            <w:vAlign w:val="center"/>
          </w:tcPr>
          <w:p w14:paraId="0F54D91D">
            <w:pPr>
              <w:spacing w:line="360" w:lineRule="exact"/>
              <w:jc w:val="center"/>
            </w:pPr>
            <w:r>
              <w:rPr>
                <w:sz w:val="21"/>
                <w:szCs w:val="21"/>
              </w:rPr>
              <w:t>—</w:t>
            </w:r>
          </w:p>
        </w:tc>
        <w:tc>
          <w:tcPr>
            <w:tcW w:w="391" w:type="pct"/>
            <w:vAlign w:val="center"/>
          </w:tcPr>
          <w:p w14:paraId="4519EF19">
            <w:pPr>
              <w:spacing w:line="360" w:lineRule="exact"/>
              <w:jc w:val="center"/>
            </w:pPr>
            <w:r>
              <w:rPr>
                <w:sz w:val="21"/>
                <w:szCs w:val="21"/>
              </w:rPr>
              <w:t>—</w:t>
            </w:r>
          </w:p>
        </w:tc>
        <w:tc>
          <w:tcPr>
            <w:tcW w:w="430" w:type="pct"/>
            <w:vAlign w:val="center"/>
          </w:tcPr>
          <w:p w14:paraId="0EF66974">
            <w:pPr>
              <w:spacing w:line="360" w:lineRule="exact"/>
              <w:jc w:val="center"/>
            </w:pPr>
            <w:r>
              <w:rPr>
                <w:sz w:val="21"/>
                <w:szCs w:val="21"/>
              </w:rPr>
              <w:t>—</w:t>
            </w:r>
          </w:p>
        </w:tc>
        <w:tc>
          <w:tcPr>
            <w:tcW w:w="419" w:type="pct"/>
            <w:vAlign w:val="center"/>
          </w:tcPr>
          <w:p w14:paraId="1E3832AD">
            <w:pPr>
              <w:spacing w:line="360" w:lineRule="exact"/>
              <w:jc w:val="center"/>
            </w:pPr>
            <w:r>
              <w:rPr>
                <w:sz w:val="21"/>
                <w:szCs w:val="21"/>
              </w:rPr>
              <w:t>—</w:t>
            </w:r>
          </w:p>
        </w:tc>
        <w:tc>
          <w:tcPr>
            <w:tcW w:w="262" w:type="pct"/>
            <w:vAlign w:val="center"/>
          </w:tcPr>
          <w:p w14:paraId="6CFCDEC7">
            <w:pPr>
              <w:spacing w:line="360" w:lineRule="exact"/>
              <w:jc w:val="center"/>
            </w:pPr>
            <w:r>
              <w:rPr>
                <w:sz w:val="21"/>
                <w:szCs w:val="21"/>
              </w:rPr>
              <w:t>—</w:t>
            </w:r>
          </w:p>
        </w:tc>
        <w:tc>
          <w:tcPr>
            <w:tcW w:w="326" w:type="pct"/>
            <w:vAlign w:val="center"/>
          </w:tcPr>
          <w:p w14:paraId="3BFB6085">
            <w:pPr>
              <w:spacing w:line="360" w:lineRule="exact"/>
              <w:jc w:val="center"/>
            </w:pPr>
            <w:r>
              <w:rPr>
                <w:sz w:val="21"/>
                <w:szCs w:val="21"/>
              </w:rPr>
              <w:t>—</w:t>
            </w:r>
          </w:p>
        </w:tc>
      </w:tr>
    </w:tbl>
    <w:p w14:paraId="1FFB6E73">
      <w:pPr>
        <w:spacing w:line="240" w:lineRule="auto"/>
        <w:rPr>
          <w:szCs w:val="21"/>
        </w:rPr>
        <w:sectPr>
          <w:pgSz w:w="16838" w:h="11906" w:orient="landscape"/>
          <w:pgMar w:top="1418" w:right="1588" w:bottom="1418" w:left="1588" w:header="851" w:footer="992" w:gutter="0"/>
          <w:pgBorders>
            <w:top w:val="none" w:sz="0" w:space="0"/>
            <w:left w:val="none" w:sz="0" w:space="0"/>
            <w:bottom w:val="none" w:sz="0" w:space="0"/>
            <w:right w:val="none" w:sz="0" w:space="0"/>
          </w:pgBorders>
          <w:cols w:space="720" w:num="1"/>
          <w:docGrid w:linePitch="360" w:charSpace="0"/>
        </w:sectPr>
      </w:pPr>
    </w:p>
    <w:p w14:paraId="0BC8F717">
      <w:pPr>
        <w:keepNext/>
        <w:keepLines/>
        <w:pageBreakBefore/>
        <w:spacing w:line="240" w:lineRule="auto"/>
        <w:outlineLvl w:val="0"/>
        <w:rPr>
          <w:b/>
          <w:bCs/>
          <w:sz w:val="28"/>
          <w:szCs w:val="28"/>
        </w:rPr>
      </w:pPr>
      <w:bookmarkStart w:id="16" w:name="_Toc15991528"/>
      <w:bookmarkStart w:id="17" w:name="_Toc194317393"/>
      <w:r>
        <w:rPr>
          <w:b/>
          <w:bCs/>
          <w:sz w:val="28"/>
          <w:szCs w:val="28"/>
        </w:rPr>
        <w:t>表5：废弃物（重点是放射性废弃物）</w:t>
      </w:r>
      <w:bookmarkEnd w:id="16"/>
      <w:bookmarkEnd w:id="17"/>
    </w:p>
    <w:tbl>
      <w:tblPr>
        <w:tblStyle w:val="57"/>
        <w:tblW w:w="49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995"/>
        <w:gridCol w:w="612"/>
        <w:gridCol w:w="1201"/>
        <w:gridCol w:w="644"/>
        <w:gridCol w:w="990"/>
        <w:gridCol w:w="1147"/>
        <w:gridCol w:w="1163"/>
        <w:gridCol w:w="1640"/>
        <w:gridCol w:w="3129"/>
      </w:tblGrid>
      <w:tr w14:paraId="6E47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trPr>
        <w:tc>
          <w:tcPr>
            <w:tcW w:w="1107" w:type="pct"/>
            <w:vAlign w:val="center"/>
          </w:tcPr>
          <w:p w14:paraId="37BBE182">
            <w:pPr>
              <w:spacing w:line="360" w:lineRule="exact"/>
              <w:jc w:val="center"/>
              <w:rPr>
                <w:sz w:val="21"/>
                <w:szCs w:val="21"/>
              </w:rPr>
            </w:pPr>
            <w:r>
              <w:rPr>
                <w:sz w:val="21"/>
                <w:szCs w:val="21"/>
              </w:rPr>
              <w:t>名称</w:t>
            </w:r>
          </w:p>
        </w:tc>
        <w:tc>
          <w:tcPr>
            <w:tcW w:w="226" w:type="pct"/>
            <w:vAlign w:val="center"/>
          </w:tcPr>
          <w:p w14:paraId="3DC6FBE3">
            <w:pPr>
              <w:spacing w:line="360" w:lineRule="exact"/>
              <w:jc w:val="center"/>
              <w:rPr>
                <w:sz w:val="21"/>
                <w:szCs w:val="21"/>
              </w:rPr>
            </w:pPr>
            <w:r>
              <w:rPr>
                <w:sz w:val="21"/>
                <w:szCs w:val="21"/>
              </w:rPr>
              <w:t>状态</w:t>
            </w:r>
          </w:p>
        </w:tc>
        <w:tc>
          <w:tcPr>
            <w:tcW w:w="444" w:type="pct"/>
            <w:vAlign w:val="center"/>
          </w:tcPr>
          <w:p w14:paraId="15BA0E22">
            <w:pPr>
              <w:spacing w:line="360" w:lineRule="exact"/>
              <w:jc w:val="center"/>
              <w:rPr>
                <w:sz w:val="21"/>
                <w:szCs w:val="21"/>
              </w:rPr>
            </w:pPr>
            <w:r>
              <w:rPr>
                <w:sz w:val="21"/>
                <w:szCs w:val="21"/>
              </w:rPr>
              <w:t>核素名称</w:t>
            </w:r>
          </w:p>
        </w:tc>
        <w:tc>
          <w:tcPr>
            <w:tcW w:w="238" w:type="pct"/>
            <w:vAlign w:val="center"/>
          </w:tcPr>
          <w:p w14:paraId="1DBCD996">
            <w:pPr>
              <w:spacing w:line="360" w:lineRule="exact"/>
              <w:jc w:val="center"/>
              <w:rPr>
                <w:sz w:val="21"/>
                <w:szCs w:val="21"/>
              </w:rPr>
            </w:pPr>
            <w:r>
              <w:rPr>
                <w:sz w:val="21"/>
                <w:szCs w:val="21"/>
              </w:rPr>
              <w:t>活度</w:t>
            </w:r>
          </w:p>
        </w:tc>
        <w:tc>
          <w:tcPr>
            <w:tcW w:w="366" w:type="pct"/>
            <w:vAlign w:val="center"/>
          </w:tcPr>
          <w:p w14:paraId="70F421E9">
            <w:pPr>
              <w:spacing w:line="360" w:lineRule="exact"/>
              <w:jc w:val="center"/>
              <w:rPr>
                <w:sz w:val="21"/>
                <w:szCs w:val="21"/>
              </w:rPr>
            </w:pPr>
            <w:r>
              <w:rPr>
                <w:sz w:val="21"/>
                <w:szCs w:val="21"/>
              </w:rPr>
              <w:t>月排放量</w:t>
            </w:r>
          </w:p>
        </w:tc>
        <w:tc>
          <w:tcPr>
            <w:tcW w:w="424" w:type="pct"/>
            <w:vAlign w:val="center"/>
          </w:tcPr>
          <w:p w14:paraId="60C5E05A">
            <w:pPr>
              <w:spacing w:line="360" w:lineRule="exact"/>
              <w:jc w:val="center"/>
              <w:rPr>
                <w:sz w:val="21"/>
                <w:szCs w:val="21"/>
              </w:rPr>
            </w:pPr>
            <w:r>
              <w:rPr>
                <w:sz w:val="21"/>
                <w:szCs w:val="21"/>
              </w:rPr>
              <w:t>年排放总量</w:t>
            </w:r>
          </w:p>
        </w:tc>
        <w:tc>
          <w:tcPr>
            <w:tcW w:w="430" w:type="pct"/>
            <w:vAlign w:val="center"/>
          </w:tcPr>
          <w:p w14:paraId="223CCE83">
            <w:pPr>
              <w:spacing w:line="360" w:lineRule="exact"/>
              <w:jc w:val="center"/>
              <w:rPr>
                <w:sz w:val="21"/>
                <w:szCs w:val="21"/>
              </w:rPr>
            </w:pPr>
            <w:r>
              <w:rPr>
                <w:sz w:val="21"/>
                <w:szCs w:val="21"/>
              </w:rPr>
              <w:t>排放口浓度</w:t>
            </w:r>
          </w:p>
        </w:tc>
        <w:tc>
          <w:tcPr>
            <w:tcW w:w="606" w:type="pct"/>
            <w:vAlign w:val="center"/>
          </w:tcPr>
          <w:p w14:paraId="11CB4E0F">
            <w:pPr>
              <w:spacing w:line="360" w:lineRule="exact"/>
              <w:jc w:val="center"/>
              <w:rPr>
                <w:sz w:val="21"/>
                <w:szCs w:val="21"/>
              </w:rPr>
            </w:pPr>
            <w:r>
              <w:rPr>
                <w:sz w:val="21"/>
                <w:szCs w:val="21"/>
              </w:rPr>
              <w:t>暂存情况</w:t>
            </w:r>
          </w:p>
        </w:tc>
        <w:tc>
          <w:tcPr>
            <w:tcW w:w="1156" w:type="pct"/>
            <w:vAlign w:val="center"/>
          </w:tcPr>
          <w:p w14:paraId="3F7E6074">
            <w:pPr>
              <w:spacing w:line="360" w:lineRule="exact"/>
              <w:jc w:val="center"/>
              <w:rPr>
                <w:sz w:val="21"/>
                <w:szCs w:val="21"/>
              </w:rPr>
            </w:pPr>
            <w:r>
              <w:rPr>
                <w:sz w:val="21"/>
                <w:szCs w:val="21"/>
              </w:rPr>
              <w:t>最终去向</w:t>
            </w:r>
          </w:p>
        </w:tc>
      </w:tr>
      <w:tr w14:paraId="72D4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107" w:type="pct"/>
            <w:vAlign w:val="center"/>
          </w:tcPr>
          <w:p w14:paraId="3803A9A0">
            <w:pPr>
              <w:spacing w:line="360" w:lineRule="exact"/>
              <w:jc w:val="center"/>
              <w:rPr>
                <w:b/>
                <w:sz w:val="21"/>
                <w:szCs w:val="21"/>
              </w:rPr>
            </w:pPr>
            <w:r>
              <w:rPr>
                <w:b/>
                <w:sz w:val="21"/>
                <w:szCs w:val="21"/>
              </w:rPr>
              <w:t>放射性固废：</w:t>
            </w:r>
          </w:p>
          <w:p w14:paraId="7F8F2FF8">
            <w:pPr>
              <w:spacing w:line="360" w:lineRule="exact"/>
              <w:rPr>
                <w:bCs/>
                <w:sz w:val="21"/>
                <w:szCs w:val="21"/>
              </w:rPr>
            </w:pPr>
            <w:r>
              <w:rPr>
                <w:bCs/>
                <w:sz w:val="21"/>
                <w:szCs w:val="21"/>
              </w:rPr>
              <w:t>①药物</w:t>
            </w:r>
            <w:r>
              <w:rPr>
                <w:rFonts w:hint="eastAsia"/>
                <w:bCs/>
                <w:sz w:val="21"/>
                <w:szCs w:val="21"/>
                <w:lang w:val="en-US" w:eastAsia="zh-CN"/>
              </w:rPr>
              <w:t>抽检</w:t>
            </w:r>
            <w:r>
              <w:rPr>
                <w:bCs/>
                <w:sz w:val="21"/>
                <w:szCs w:val="21"/>
              </w:rPr>
              <w:t>过程产生</w:t>
            </w:r>
            <w:r>
              <w:rPr>
                <w:rFonts w:hint="eastAsia"/>
                <w:bCs/>
                <w:sz w:val="21"/>
                <w:szCs w:val="21"/>
                <w:lang w:eastAsia="zh-CN"/>
              </w:rPr>
              <w:t>的</w:t>
            </w:r>
            <w:r>
              <w:rPr>
                <w:bCs/>
                <w:sz w:val="21"/>
                <w:szCs w:val="21"/>
              </w:rPr>
              <w:t>棉签、质检废液（卫生纸/脱脂棉球吸取）、原液玻璃瓶、试验台垫层吸水纸、pH试纸、纯化测定层析纸、移液器枪头、毛细管、稀释液玻璃瓶、擦拭废物等一次性耗材；②门诊</w:t>
            </w:r>
            <w:r>
              <w:rPr>
                <w:rFonts w:hint="eastAsia"/>
                <w:bCs/>
                <w:sz w:val="21"/>
                <w:szCs w:val="21"/>
                <w:lang w:val="en-US" w:eastAsia="zh-CN"/>
              </w:rPr>
              <w:t>病患</w:t>
            </w:r>
            <w:r>
              <w:rPr>
                <w:bCs/>
                <w:sz w:val="21"/>
                <w:szCs w:val="21"/>
              </w:rPr>
              <w:t>产生的一次性注射器/口杯</w:t>
            </w:r>
            <w:r>
              <w:rPr>
                <w:rFonts w:hint="eastAsia"/>
                <w:bCs/>
                <w:sz w:val="21"/>
                <w:szCs w:val="21"/>
                <w:lang w:eastAsia="zh-CN"/>
              </w:rPr>
              <w:t>、</w:t>
            </w:r>
            <w:r>
              <w:rPr>
                <w:rFonts w:hint="eastAsia" w:ascii="Times New Roman" w:hAnsi="Times New Roman" w:eastAsia="宋体" w:cs="Times New Roman"/>
                <w:bCs/>
                <w:spacing w:val="-11"/>
                <w:sz w:val="21"/>
                <w:szCs w:val="21"/>
                <w:lang w:val="en-US" w:eastAsia="zh-CN" w:bidi="ar-SA"/>
              </w:rPr>
              <w:t>移液瓶、</w:t>
            </w:r>
            <w:r>
              <w:rPr>
                <w:rFonts w:hint="eastAsia" w:cs="Times New Roman"/>
                <w:bCs/>
                <w:spacing w:val="-11"/>
                <w:sz w:val="21"/>
                <w:szCs w:val="21"/>
                <w:lang w:val="en-US" w:eastAsia="zh-CN" w:bidi="ar-SA"/>
              </w:rPr>
              <w:t>滤纸、塑料薄膜、胶布、橡皮泥</w:t>
            </w:r>
            <w:r>
              <w:rPr>
                <w:bCs/>
                <w:sz w:val="21"/>
                <w:szCs w:val="21"/>
              </w:rPr>
              <w:t>药棉、口罩、手套、空药瓶、台面/器皿吸收垫、滤纸及擦拭废物等；③给药后的</w:t>
            </w:r>
            <w:r>
              <w:rPr>
                <w:rFonts w:hint="eastAsia"/>
                <w:bCs/>
                <w:sz w:val="21"/>
                <w:szCs w:val="21"/>
                <w:lang w:val="en-US" w:eastAsia="zh-CN"/>
              </w:rPr>
              <w:t>病患</w:t>
            </w:r>
            <w:r>
              <w:rPr>
                <w:bCs/>
                <w:sz w:val="21"/>
                <w:szCs w:val="21"/>
              </w:rPr>
              <w:t>排泄物</w:t>
            </w:r>
            <w:r>
              <w:rPr>
                <w:rFonts w:hint="eastAsia"/>
                <w:bCs/>
                <w:sz w:val="21"/>
                <w:szCs w:val="21"/>
                <w:lang w:val="en-US" w:eastAsia="zh-CN"/>
              </w:rPr>
              <w:t>及生活垃圾</w:t>
            </w:r>
            <w:r>
              <w:rPr>
                <w:bCs/>
                <w:sz w:val="21"/>
                <w:szCs w:val="21"/>
              </w:rPr>
              <w:t>；④定期更换的废过滤器滤芯。</w:t>
            </w:r>
          </w:p>
        </w:tc>
        <w:tc>
          <w:tcPr>
            <w:tcW w:w="226" w:type="pct"/>
            <w:vAlign w:val="center"/>
          </w:tcPr>
          <w:p w14:paraId="33303CEC">
            <w:pPr>
              <w:spacing w:line="360" w:lineRule="exact"/>
              <w:jc w:val="center"/>
              <w:rPr>
                <w:sz w:val="21"/>
                <w:szCs w:val="21"/>
              </w:rPr>
            </w:pPr>
            <w:r>
              <w:rPr>
                <w:sz w:val="21"/>
                <w:szCs w:val="21"/>
              </w:rPr>
              <w:t>固态</w:t>
            </w:r>
          </w:p>
        </w:tc>
        <w:tc>
          <w:tcPr>
            <w:tcW w:w="444" w:type="pct"/>
            <w:vAlign w:val="center"/>
          </w:tcPr>
          <w:p w14:paraId="5C9DFF14">
            <w:pPr>
              <w:spacing w:line="360" w:lineRule="exact"/>
              <w:jc w:val="center"/>
              <w:rPr>
                <w:sz w:val="21"/>
                <w:szCs w:val="21"/>
                <w:vertAlign w:val="superscript"/>
              </w:rPr>
            </w:pPr>
            <w:r>
              <w:rPr>
                <w:spacing w:val="-11"/>
                <w:sz w:val="21"/>
                <w:szCs w:val="21"/>
                <w:vertAlign w:val="superscript"/>
              </w:rPr>
              <w:t>18</w:t>
            </w:r>
            <w:r>
              <w:rPr>
                <w:spacing w:val="-11"/>
                <w:sz w:val="21"/>
                <w:szCs w:val="21"/>
              </w:rPr>
              <w:t>F、</w:t>
            </w:r>
            <w:r>
              <w:rPr>
                <w:spacing w:val="-11"/>
                <w:sz w:val="21"/>
                <w:szCs w:val="21"/>
                <w:vertAlign w:val="superscript"/>
              </w:rPr>
              <w:t>68</w:t>
            </w:r>
            <w:r>
              <w:rPr>
                <w:spacing w:val="-11"/>
                <w:sz w:val="21"/>
                <w:szCs w:val="21"/>
              </w:rPr>
              <w:t>Ga、</w:t>
            </w:r>
            <w:r>
              <w:rPr>
                <w:spacing w:val="-11"/>
                <w:sz w:val="21"/>
                <w:szCs w:val="21"/>
                <w:vertAlign w:val="superscript"/>
              </w:rPr>
              <w:t>89</w:t>
            </w:r>
            <w:r>
              <w:rPr>
                <w:rFonts w:hint="eastAsia"/>
                <w:spacing w:val="-11"/>
                <w:sz w:val="21"/>
                <w:szCs w:val="21"/>
                <w:lang w:val="en-US" w:eastAsia="zh-CN"/>
              </w:rPr>
              <w:t>S</w:t>
            </w:r>
            <w:r>
              <w:rPr>
                <w:spacing w:val="-11"/>
                <w:sz w:val="21"/>
                <w:szCs w:val="21"/>
              </w:rPr>
              <w:t>r、</w:t>
            </w:r>
            <w:r>
              <w:rPr>
                <w:spacing w:val="-11"/>
                <w:sz w:val="21"/>
                <w:szCs w:val="21"/>
                <w:vertAlign w:val="superscript"/>
              </w:rPr>
              <w:t>131</w:t>
            </w:r>
            <w:r>
              <w:rPr>
                <w:spacing w:val="-11"/>
                <w:sz w:val="21"/>
                <w:szCs w:val="21"/>
              </w:rPr>
              <w:t>I、</w:t>
            </w:r>
            <w:r>
              <w:rPr>
                <w:rFonts w:hint="eastAsia"/>
                <w:spacing w:val="-11"/>
                <w:sz w:val="21"/>
                <w:szCs w:val="21"/>
                <w:vertAlign w:val="superscript"/>
                <w:lang w:val="en-US" w:eastAsia="zh-CN"/>
              </w:rPr>
              <w:t>32</w:t>
            </w:r>
            <w:r>
              <w:rPr>
                <w:spacing w:val="-11"/>
                <w:sz w:val="21"/>
                <w:szCs w:val="21"/>
              </w:rPr>
              <w:t>P、</w:t>
            </w:r>
            <w:r>
              <w:rPr>
                <w:rFonts w:hint="eastAsia"/>
                <w:spacing w:val="-11"/>
                <w:sz w:val="21"/>
                <w:szCs w:val="21"/>
                <w:vertAlign w:val="superscript"/>
                <w:lang w:val="en-US" w:eastAsia="zh-CN"/>
              </w:rPr>
              <w:t>99m</w:t>
            </w:r>
            <w:r>
              <w:rPr>
                <w:rFonts w:hint="eastAsia"/>
                <w:spacing w:val="-11"/>
                <w:sz w:val="21"/>
                <w:szCs w:val="21"/>
                <w:lang w:val="en-US" w:eastAsia="zh-CN"/>
              </w:rPr>
              <w:t>Tc</w:t>
            </w:r>
          </w:p>
        </w:tc>
        <w:tc>
          <w:tcPr>
            <w:tcW w:w="238" w:type="pct"/>
            <w:vAlign w:val="center"/>
          </w:tcPr>
          <w:p w14:paraId="344F77D6">
            <w:pPr>
              <w:spacing w:line="360" w:lineRule="exact"/>
              <w:jc w:val="center"/>
              <w:rPr>
                <w:sz w:val="21"/>
                <w:szCs w:val="21"/>
              </w:rPr>
            </w:pPr>
            <w:r>
              <w:rPr>
                <w:sz w:val="21"/>
                <w:szCs w:val="21"/>
              </w:rPr>
              <w:t>/</w:t>
            </w:r>
          </w:p>
        </w:tc>
        <w:tc>
          <w:tcPr>
            <w:tcW w:w="366" w:type="pct"/>
            <w:vAlign w:val="center"/>
          </w:tcPr>
          <w:p w14:paraId="67B510DA">
            <w:pPr>
              <w:spacing w:line="360" w:lineRule="exact"/>
              <w:jc w:val="center"/>
              <w:rPr>
                <w:sz w:val="21"/>
                <w:szCs w:val="21"/>
                <w:highlight w:val="none"/>
              </w:rPr>
            </w:pPr>
            <w:r>
              <w:rPr>
                <w:sz w:val="21"/>
                <w:szCs w:val="21"/>
                <w:highlight w:val="none"/>
              </w:rPr>
              <w:t>/</w:t>
            </w:r>
          </w:p>
        </w:tc>
        <w:tc>
          <w:tcPr>
            <w:tcW w:w="424" w:type="pct"/>
            <w:vAlign w:val="center"/>
          </w:tcPr>
          <w:p w14:paraId="2854594F">
            <w:pPr>
              <w:spacing w:line="360" w:lineRule="exact"/>
              <w:jc w:val="center"/>
              <w:rPr>
                <w:sz w:val="21"/>
                <w:szCs w:val="21"/>
                <w:highlight w:val="none"/>
              </w:rPr>
            </w:pPr>
            <w:r>
              <w:rPr>
                <w:rFonts w:hint="eastAsia"/>
                <w:bCs/>
                <w:spacing w:val="8"/>
                <w:sz w:val="21"/>
                <w:szCs w:val="21"/>
                <w:highlight w:val="none"/>
                <w:lang w:val="en-US" w:eastAsia="zh-CN"/>
              </w:rPr>
              <w:t>1188.75</w:t>
            </w:r>
            <w:r>
              <w:rPr>
                <w:bCs/>
                <w:spacing w:val="8"/>
                <w:sz w:val="21"/>
                <w:szCs w:val="21"/>
                <w:highlight w:val="none"/>
              </w:rPr>
              <w:t>kg</w:t>
            </w:r>
            <w:r>
              <w:rPr>
                <w:bCs/>
                <w:sz w:val="21"/>
                <w:szCs w:val="21"/>
                <w:highlight w:val="none"/>
              </w:rPr>
              <w:t>/a</w:t>
            </w:r>
          </w:p>
        </w:tc>
        <w:tc>
          <w:tcPr>
            <w:tcW w:w="430" w:type="pct"/>
            <w:vAlign w:val="center"/>
          </w:tcPr>
          <w:p w14:paraId="46F2E492">
            <w:pPr>
              <w:spacing w:line="360" w:lineRule="exact"/>
              <w:jc w:val="center"/>
              <w:rPr>
                <w:sz w:val="21"/>
                <w:szCs w:val="21"/>
              </w:rPr>
            </w:pPr>
            <w:r>
              <w:rPr>
                <w:sz w:val="21"/>
                <w:szCs w:val="21"/>
              </w:rPr>
              <w:t>/</w:t>
            </w:r>
          </w:p>
        </w:tc>
        <w:tc>
          <w:tcPr>
            <w:tcW w:w="606" w:type="pct"/>
            <w:vAlign w:val="center"/>
          </w:tcPr>
          <w:p w14:paraId="6F3789B5">
            <w:pPr>
              <w:spacing w:line="360" w:lineRule="exact"/>
              <w:jc w:val="center"/>
              <w:rPr>
                <w:sz w:val="21"/>
                <w:szCs w:val="21"/>
              </w:rPr>
            </w:pPr>
            <w:r>
              <w:rPr>
                <w:bCs/>
                <w:sz w:val="21"/>
                <w:szCs w:val="21"/>
                <w:lang w:bidi="ar"/>
              </w:rPr>
              <w:t>采用专门的放射性固废收集桶分类收集后，转入相应</w:t>
            </w:r>
            <w:r>
              <w:rPr>
                <w:rFonts w:hint="eastAsia"/>
                <w:bCs/>
                <w:sz w:val="21"/>
                <w:szCs w:val="21"/>
                <w:lang w:eastAsia="zh-CN" w:bidi="ar"/>
              </w:rPr>
              <w:t>放废暂存间</w:t>
            </w:r>
            <w:r>
              <w:rPr>
                <w:bCs/>
                <w:sz w:val="21"/>
                <w:szCs w:val="21"/>
                <w:lang w:bidi="ar"/>
              </w:rPr>
              <w:t>内采用放射性固废暂存容器进行暂存衰变，</w:t>
            </w:r>
            <w:r>
              <w:rPr>
                <w:bCs/>
                <w:sz w:val="21"/>
                <w:szCs w:val="21"/>
              </w:rPr>
              <w:t>所含核素半衰期小于24小时的放射性固体废物暂存时间超过30天，所含核素半衰期大于24小时的放射性固体废物暂存时间超过核素最长半衰期的10倍，含碘-131核素的放射性固体废物暂存超过180天。</w:t>
            </w:r>
          </w:p>
        </w:tc>
        <w:tc>
          <w:tcPr>
            <w:tcW w:w="1156" w:type="pct"/>
            <w:vAlign w:val="center"/>
          </w:tcPr>
          <w:p w14:paraId="40AAC855">
            <w:pPr>
              <w:spacing w:line="360" w:lineRule="exact"/>
              <w:rPr>
                <w:sz w:val="21"/>
                <w:szCs w:val="21"/>
              </w:rPr>
            </w:pPr>
            <w:r>
              <w:rPr>
                <w:sz w:val="21"/>
                <w:szCs w:val="21"/>
              </w:rPr>
              <w:t>暂存衰变，</w:t>
            </w:r>
            <w:r>
              <w:rPr>
                <w:sz w:val="21"/>
                <w:szCs w:val="21"/>
                <w:lang w:bidi="ar"/>
              </w:rPr>
              <w:t>经监测达标（辐射剂量率满足所处环境本底水平、α表面污染小于0.08Bq/cm</w:t>
            </w:r>
            <w:r>
              <w:rPr>
                <w:sz w:val="21"/>
                <w:szCs w:val="21"/>
                <w:vertAlign w:val="superscript"/>
                <w:lang w:bidi="ar"/>
              </w:rPr>
              <w:t>2</w:t>
            </w:r>
            <w:r>
              <w:rPr>
                <w:sz w:val="21"/>
                <w:szCs w:val="21"/>
                <w:lang w:bidi="ar"/>
              </w:rPr>
              <w:t>、β表面污染小于0.8Bq/cm</w:t>
            </w:r>
            <w:r>
              <w:rPr>
                <w:sz w:val="21"/>
                <w:szCs w:val="21"/>
                <w:vertAlign w:val="superscript"/>
                <w:lang w:bidi="ar"/>
              </w:rPr>
              <w:t>2</w:t>
            </w:r>
            <w:r>
              <w:rPr>
                <w:sz w:val="21"/>
                <w:szCs w:val="21"/>
                <w:lang w:bidi="ar"/>
              </w:rPr>
              <w:t>）后，转入医院医疗垃圾暂存间，按照普通医疗废物</w:t>
            </w:r>
            <w:r>
              <w:rPr>
                <w:bCs/>
                <w:sz w:val="21"/>
                <w:szCs w:val="21"/>
                <w:lang w:bidi="ar"/>
              </w:rPr>
              <w:t>执行转移联单制度，由有资质单位统一处理。</w:t>
            </w:r>
          </w:p>
        </w:tc>
      </w:tr>
      <w:tr w14:paraId="2968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4" w:hRule="atLeast"/>
        </w:trPr>
        <w:tc>
          <w:tcPr>
            <w:tcW w:w="1107" w:type="pct"/>
            <w:vAlign w:val="center"/>
          </w:tcPr>
          <w:p w14:paraId="55C70FE0">
            <w:pPr>
              <w:spacing w:line="360" w:lineRule="exact"/>
              <w:jc w:val="center"/>
              <w:rPr>
                <w:b/>
                <w:sz w:val="21"/>
                <w:szCs w:val="21"/>
              </w:rPr>
            </w:pPr>
            <w:r>
              <w:rPr>
                <w:b/>
                <w:sz w:val="21"/>
                <w:szCs w:val="21"/>
              </w:rPr>
              <w:t>放射性废水：</w:t>
            </w:r>
          </w:p>
          <w:p w14:paraId="50B8D8D2">
            <w:pPr>
              <w:spacing w:line="360" w:lineRule="exact"/>
              <w:rPr>
                <w:sz w:val="21"/>
                <w:szCs w:val="21"/>
              </w:rPr>
            </w:pPr>
            <w:r>
              <w:rPr>
                <w:bCs/>
                <w:sz w:val="21"/>
                <w:szCs w:val="21"/>
              </w:rPr>
              <w:t>①</w:t>
            </w:r>
            <w:r>
              <w:rPr>
                <w:bCs/>
                <w:sz w:val="21"/>
                <w:szCs w:val="21"/>
                <w:lang w:bidi="ar"/>
              </w:rPr>
              <w:t>放射性药物质检玻璃器皿清洗及废弃分析混合液；</w:t>
            </w:r>
            <w:r>
              <w:rPr>
                <w:bCs/>
                <w:sz w:val="21"/>
                <w:szCs w:val="21"/>
              </w:rPr>
              <w:t>②</w:t>
            </w:r>
            <w:r>
              <w:rPr>
                <w:rFonts w:hint="eastAsia"/>
                <w:bCs/>
                <w:sz w:val="21"/>
                <w:szCs w:val="21"/>
                <w:lang w:val="en-US" w:eastAsia="zh-CN"/>
              </w:rPr>
              <w:t>门</w:t>
            </w:r>
            <w:r>
              <w:rPr>
                <w:bCs/>
                <w:sz w:val="21"/>
                <w:szCs w:val="21"/>
                <w:lang w:bidi="ar"/>
              </w:rPr>
              <w:t>诊疗病人排泄、清洗、淋浴废水，工作人员及场所清洗废水等。</w:t>
            </w:r>
          </w:p>
        </w:tc>
        <w:tc>
          <w:tcPr>
            <w:tcW w:w="226" w:type="pct"/>
            <w:vAlign w:val="center"/>
          </w:tcPr>
          <w:p w14:paraId="5E62BEF6">
            <w:pPr>
              <w:spacing w:line="360" w:lineRule="exact"/>
              <w:jc w:val="center"/>
              <w:rPr>
                <w:sz w:val="21"/>
                <w:szCs w:val="21"/>
              </w:rPr>
            </w:pPr>
            <w:r>
              <w:rPr>
                <w:sz w:val="21"/>
                <w:szCs w:val="21"/>
              </w:rPr>
              <w:t>液态</w:t>
            </w:r>
          </w:p>
        </w:tc>
        <w:tc>
          <w:tcPr>
            <w:tcW w:w="444" w:type="pct"/>
            <w:vAlign w:val="center"/>
          </w:tcPr>
          <w:p w14:paraId="0D44D8EF">
            <w:pPr>
              <w:spacing w:line="360" w:lineRule="exact"/>
              <w:jc w:val="center"/>
              <w:rPr>
                <w:sz w:val="21"/>
                <w:szCs w:val="21"/>
              </w:rPr>
            </w:pPr>
            <w:r>
              <w:rPr>
                <w:spacing w:val="-11"/>
                <w:sz w:val="21"/>
                <w:szCs w:val="21"/>
                <w:vertAlign w:val="superscript"/>
              </w:rPr>
              <w:t>18</w:t>
            </w:r>
            <w:r>
              <w:rPr>
                <w:spacing w:val="-11"/>
                <w:sz w:val="21"/>
                <w:szCs w:val="21"/>
              </w:rPr>
              <w:t>F、</w:t>
            </w:r>
            <w:r>
              <w:rPr>
                <w:spacing w:val="-11"/>
                <w:sz w:val="21"/>
                <w:szCs w:val="21"/>
                <w:vertAlign w:val="superscript"/>
              </w:rPr>
              <w:t>68</w:t>
            </w:r>
            <w:r>
              <w:rPr>
                <w:spacing w:val="-11"/>
                <w:sz w:val="21"/>
                <w:szCs w:val="21"/>
              </w:rPr>
              <w:t>Ga、</w:t>
            </w:r>
            <w:r>
              <w:rPr>
                <w:spacing w:val="-11"/>
                <w:sz w:val="21"/>
                <w:szCs w:val="21"/>
                <w:vertAlign w:val="superscript"/>
              </w:rPr>
              <w:t>89</w:t>
            </w:r>
            <w:r>
              <w:rPr>
                <w:rFonts w:hint="eastAsia"/>
                <w:spacing w:val="-11"/>
                <w:sz w:val="21"/>
                <w:szCs w:val="21"/>
                <w:lang w:val="en-US" w:eastAsia="zh-CN"/>
              </w:rPr>
              <w:t>S</w:t>
            </w:r>
            <w:r>
              <w:rPr>
                <w:spacing w:val="-11"/>
                <w:sz w:val="21"/>
                <w:szCs w:val="21"/>
              </w:rPr>
              <w:t>r、</w:t>
            </w:r>
            <w:r>
              <w:rPr>
                <w:spacing w:val="-11"/>
                <w:sz w:val="21"/>
                <w:szCs w:val="21"/>
                <w:vertAlign w:val="superscript"/>
              </w:rPr>
              <w:t>131</w:t>
            </w:r>
            <w:r>
              <w:rPr>
                <w:spacing w:val="-11"/>
                <w:sz w:val="21"/>
                <w:szCs w:val="21"/>
              </w:rPr>
              <w:t>I、</w:t>
            </w:r>
            <w:r>
              <w:rPr>
                <w:rFonts w:hint="eastAsia"/>
                <w:spacing w:val="-11"/>
                <w:sz w:val="21"/>
                <w:szCs w:val="21"/>
                <w:vertAlign w:val="superscript"/>
                <w:lang w:val="en-US" w:eastAsia="zh-CN"/>
              </w:rPr>
              <w:t>32</w:t>
            </w:r>
            <w:r>
              <w:rPr>
                <w:spacing w:val="-11"/>
                <w:sz w:val="21"/>
                <w:szCs w:val="21"/>
              </w:rPr>
              <w:t>P、</w:t>
            </w:r>
            <w:r>
              <w:rPr>
                <w:rFonts w:hint="eastAsia"/>
                <w:spacing w:val="-11"/>
                <w:sz w:val="21"/>
                <w:szCs w:val="21"/>
                <w:vertAlign w:val="superscript"/>
                <w:lang w:val="en-US" w:eastAsia="zh-CN"/>
              </w:rPr>
              <w:t>99m</w:t>
            </w:r>
            <w:r>
              <w:rPr>
                <w:rFonts w:hint="eastAsia"/>
                <w:spacing w:val="-11"/>
                <w:sz w:val="21"/>
                <w:szCs w:val="21"/>
                <w:lang w:val="en-US" w:eastAsia="zh-CN"/>
              </w:rPr>
              <w:t>Tc</w:t>
            </w:r>
            <w:r>
              <w:rPr>
                <w:spacing w:val="-11"/>
                <w:sz w:val="21"/>
                <w:szCs w:val="21"/>
              </w:rPr>
              <w:t>等</w:t>
            </w:r>
          </w:p>
        </w:tc>
        <w:tc>
          <w:tcPr>
            <w:tcW w:w="238" w:type="pct"/>
            <w:vAlign w:val="center"/>
          </w:tcPr>
          <w:p w14:paraId="2542FC14">
            <w:pPr>
              <w:spacing w:line="360" w:lineRule="exact"/>
              <w:jc w:val="center"/>
              <w:rPr>
                <w:sz w:val="21"/>
                <w:szCs w:val="21"/>
              </w:rPr>
            </w:pPr>
            <w:r>
              <w:rPr>
                <w:sz w:val="21"/>
                <w:szCs w:val="21"/>
              </w:rPr>
              <w:t>/</w:t>
            </w:r>
          </w:p>
        </w:tc>
        <w:tc>
          <w:tcPr>
            <w:tcW w:w="366" w:type="pct"/>
            <w:vAlign w:val="center"/>
          </w:tcPr>
          <w:p w14:paraId="15CD4809">
            <w:pPr>
              <w:spacing w:line="360" w:lineRule="exact"/>
              <w:jc w:val="center"/>
              <w:rPr>
                <w:sz w:val="21"/>
                <w:szCs w:val="21"/>
              </w:rPr>
            </w:pPr>
            <w:r>
              <w:rPr>
                <w:sz w:val="21"/>
                <w:szCs w:val="21"/>
              </w:rPr>
              <w:t>/</w:t>
            </w:r>
          </w:p>
        </w:tc>
        <w:tc>
          <w:tcPr>
            <w:tcW w:w="424" w:type="pct"/>
            <w:vAlign w:val="center"/>
          </w:tcPr>
          <w:p w14:paraId="7F5140A8">
            <w:pPr>
              <w:spacing w:line="360" w:lineRule="exact"/>
              <w:jc w:val="center"/>
              <w:rPr>
                <w:rFonts w:hint="default" w:eastAsia="宋体"/>
                <w:sz w:val="21"/>
                <w:szCs w:val="21"/>
                <w:lang w:val="en-US" w:eastAsia="zh-CN"/>
              </w:rPr>
            </w:pPr>
            <w:r>
              <w:rPr>
                <w:rFonts w:hint="eastAsia"/>
                <w:bCs/>
                <w:spacing w:val="-11"/>
                <w:sz w:val="21"/>
                <w:szCs w:val="21"/>
                <w:highlight w:val="none"/>
                <w:lang w:val="en-US" w:eastAsia="zh-CN"/>
              </w:rPr>
              <w:t>287125L/a</w:t>
            </w:r>
          </w:p>
        </w:tc>
        <w:tc>
          <w:tcPr>
            <w:tcW w:w="430" w:type="pct"/>
            <w:vAlign w:val="center"/>
          </w:tcPr>
          <w:p w14:paraId="6B2A607E">
            <w:pPr>
              <w:spacing w:line="360" w:lineRule="exact"/>
              <w:jc w:val="center"/>
              <w:rPr>
                <w:sz w:val="21"/>
                <w:szCs w:val="21"/>
              </w:rPr>
            </w:pPr>
            <w:r>
              <w:rPr>
                <w:bCs/>
                <w:spacing w:val="-11"/>
                <w:sz w:val="21"/>
                <w:szCs w:val="21"/>
              </w:rPr>
              <w:t>总α≤1Bq/L、总β≤10Bq/L、碘-131活度浓度≤10Bq/L</w:t>
            </w:r>
          </w:p>
        </w:tc>
        <w:tc>
          <w:tcPr>
            <w:tcW w:w="606" w:type="pct"/>
            <w:vAlign w:val="center"/>
          </w:tcPr>
          <w:p w14:paraId="53C4BE87">
            <w:pPr>
              <w:spacing w:line="360" w:lineRule="exact"/>
              <w:rPr>
                <w:sz w:val="21"/>
                <w:szCs w:val="21"/>
              </w:rPr>
            </w:pPr>
            <w:r>
              <w:rPr>
                <w:sz w:val="21"/>
                <w:szCs w:val="21"/>
              </w:rPr>
              <w:t>放射性废水通过专用管道排至衰变池中暂存。</w:t>
            </w:r>
          </w:p>
        </w:tc>
        <w:tc>
          <w:tcPr>
            <w:tcW w:w="1156" w:type="pct"/>
            <w:vAlign w:val="center"/>
          </w:tcPr>
          <w:p w14:paraId="3DCE2B84">
            <w:pPr>
              <w:spacing w:line="360" w:lineRule="exact"/>
              <w:rPr>
                <w:sz w:val="21"/>
                <w:szCs w:val="21"/>
              </w:rPr>
            </w:pPr>
            <w:r>
              <w:rPr>
                <w:sz w:val="21"/>
                <w:szCs w:val="21"/>
              </w:rPr>
              <w:t>对于衰变池放射性废水暂存超过180天或暂存不满180天但经监测达标（总β≤10Bq/L、碘-131活度浓度≤10Bq/L）后排放至医院污水管网。</w:t>
            </w:r>
          </w:p>
        </w:tc>
      </w:tr>
      <w:tr w14:paraId="5E0E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107" w:type="pct"/>
            <w:vAlign w:val="center"/>
          </w:tcPr>
          <w:p w14:paraId="202E560C">
            <w:pPr>
              <w:spacing w:line="360" w:lineRule="exact"/>
              <w:jc w:val="center"/>
              <w:rPr>
                <w:b/>
                <w:sz w:val="21"/>
                <w:szCs w:val="21"/>
              </w:rPr>
            </w:pPr>
            <w:r>
              <w:rPr>
                <w:b/>
                <w:sz w:val="21"/>
                <w:szCs w:val="21"/>
              </w:rPr>
              <w:t>放射性废气：</w:t>
            </w:r>
          </w:p>
          <w:p w14:paraId="2CA7DF08">
            <w:pPr>
              <w:spacing w:line="360" w:lineRule="exact"/>
              <w:jc w:val="center"/>
              <w:rPr>
                <w:bCs/>
                <w:sz w:val="21"/>
                <w:szCs w:val="21"/>
              </w:rPr>
            </w:pPr>
            <w:r>
              <w:rPr>
                <w:bCs/>
                <w:sz w:val="21"/>
                <w:szCs w:val="21"/>
              </w:rPr>
              <w:t>含有液态放射性药物分装时挥发的微量气溶胶</w:t>
            </w:r>
          </w:p>
        </w:tc>
        <w:tc>
          <w:tcPr>
            <w:tcW w:w="226" w:type="pct"/>
            <w:vAlign w:val="center"/>
          </w:tcPr>
          <w:p w14:paraId="3F23F31F">
            <w:pPr>
              <w:spacing w:line="360" w:lineRule="exact"/>
              <w:jc w:val="center"/>
              <w:rPr>
                <w:bCs/>
                <w:sz w:val="21"/>
                <w:szCs w:val="21"/>
              </w:rPr>
            </w:pPr>
            <w:r>
              <w:rPr>
                <w:bCs/>
                <w:sz w:val="21"/>
                <w:szCs w:val="21"/>
              </w:rPr>
              <w:t>气态</w:t>
            </w:r>
          </w:p>
        </w:tc>
        <w:tc>
          <w:tcPr>
            <w:tcW w:w="444" w:type="pct"/>
            <w:vAlign w:val="center"/>
          </w:tcPr>
          <w:p w14:paraId="6132D576">
            <w:pPr>
              <w:spacing w:line="360" w:lineRule="exact"/>
              <w:jc w:val="center"/>
              <w:rPr>
                <w:bCs/>
                <w:sz w:val="21"/>
                <w:szCs w:val="21"/>
              </w:rPr>
            </w:pPr>
            <w:r>
              <w:rPr>
                <w:spacing w:val="-11"/>
                <w:sz w:val="21"/>
                <w:szCs w:val="21"/>
                <w:vertAlign w:val="superscript"/>
              </w:rPr>
              <w:t>18</w:t>
            </w:r>
            <w:r>
              <w:rPr>
                <w:spacing w:val="-11"/>
                <w:sz w:val="21"/>
                <w:szCs w:val="21"/>
              </w:rPr>
              <w:t>F、</w:t>
            </w:r>
            <w:r>
              <w:rPr>
                <w:spacing w:val="-11"/>
                <w:sz w:val="21"/>
                <w:szCs w:val="21"/>
                <w:vertAlign w:val="superscript"/>
              </w:rPr>
              <w:t>68</w:t>
            </w:r>
            <w:r>
              <w:rPr>
                <w:spacing w:val="-11"/>
                <w:sz w:val="21"/>
                <w:szCs w:val="21"/>
              </w:rPr>
              <w:t>Ga、</w:t>
            </w:r>
            <w:r>
              <w:rPr>
                <w:spacing w:val="-11"/>
                <w:sz w:val="21"/>
                <w:szCs w:val="21"/>
                <w:vertAlign w:val="superscript"/>
              </w:rPr>
              <w:t>89</w:t>
            </w:r>
            <w:r>
              <w:rPr>
                <w:rFonts w:hint="eastAsia"/>
                <w:spacing w:val="-11"/>
                <w:sz w:val="21"/>
                <w:szCs w:val="21"/>
                <w:lang w:val="en-US" w:eastAsia="zh-CN"/>
              </w:rPr>
              <w:t>S</w:t>
            </w:r>
            <w:r>
              <w:rPr>
                <w:spacing w:val="-11"/>
                <w:sz w:val="21"/>
                <w:szCs w:val="21"/>
              </w:rPr>
              <w:t>r、</w:t>
            </w:r>
            <w:r>
              <w:rPr>
                <w:spacing w:val="-11"/>
                <w:sz w:val="21"/>
                <w:szCs w:val="21"/>
                <w:vertAlign w:val="superscript"/>
              </w:rPr>
              <w:t>131</w:t>
            </w:r>
            <w:r>
              <w:rPr>
                <w:spacing w:val="-11"/>
                <w:sz w:val="21"/>
                <w:szCs w:val="21"/>
              </w:rPr>
              <w:t>I、</w:t>
            </w:r>
            <w:r>
              <w:rPr>
                <w:rFonts w:hint="eastAsia"/>
                <w:spacing w:val="-11"/>
                <w:sz w:val="21"/>
                <w:szCs w:val="21"/>
                <w:vertAlign w:val="superscript"/>
                <w:lang w:val="en-US" w:eastAsia="zh-CN"/>
              </w:rPr>
              <w:t>32</w:t>
            </w:r>
            <w:r>
              <w:rPr>
                <w:spacing w:val="-11"/>
                <w:sz w:val="21"/>
                <w:szCs w:val="21"/>
              </w:rPr>
              <w:t>P、</w:t>
            </w:r>
            <w:r>
              <w:rPr>
                <w:rFonts w:hint="eastAsia"/>
                <w:spacing w:val="-11"/>
                <w:sz w:val="21"/>
                <w:szCs w:val="21"/>
                <w:vertAlign w:val="superscript"/>
                <w:lang w:val="en-US" w:eastAsia="zh-CN"/>
              </w:rPr>
              <w:t>99m</w:t>
            </w:r>
            <w:r>
              <w:rPr>
                <w:rFonts w:hint="eastAsia"/>
                <w:spacing w:val="-11"/>
                <w:sz w:val="21"/>
                <w:szCs w:val="21"/>
                <w:lang w:val="en-US" w:eastAsia="zh-CN"/>
              </w:rPr>
              <w:t>Tc</w:t>
            </w:r>
            <w:r>
              <w:rPr>
                <w:spacing w:val="-11"/>
                <w:sz w:val="21"/>
                <w:szCs w:val="21"/>
              </w:rPr>
              <w:t>等</w:t>
            </w:r>
          </w:p>
        </w:tc>
        <w:tc>
          <w:tcPr>
            <w:tcW w:w="238" w:type="pct"/>
            <w:vAlign w:val="center"/>
          </w:tcPr>
          <w:p w14:paraId="7633EA9A">
            <w:pPr>
              <w:spacing w:line="360" w:lineRule="exact"/>
              <w:jc w:val="center"/>
              <w:rPr>
                <w:bCs/>
                <w:sz w:val="21"/>
                <w:szCs w:val="21"/>
              </w:rPr>
            </w:pPr>
            <w:r>
              <w:rPr>
                <w:bCs/>
                <w:sz w:val="21"/>
                <w:szCs w:val="21"/>
              </w:rPr>
              <w:t>/</w:t>
            </w:r>
          </w:p>
        </w:tc>
        <w:tc>
          <w:tcPr>
            <w:tcW w:w="366" w:type="pct"/>
            <w:vAlign w:val="center"/>
          </w:tcPr>
          <w:p w14:paraId="40BC14E0">
            <w:pPr>
              <w:spacing w:line="360" w:lineRule="exact"/>
              <w:jc w:val="center"/>
              <w:rPr>
                <w:bCs/>
                <w:sz w:val="21"/>
                <w:szCs w:val="21"/>
              </w:rPr>
            </w:pPr>
            <w:r>
              <w:rPr>
                <w:bCs/>
                <w:sz w:val="21"/>
                <w:szCs w:val="21"/>
              </w:rPr>
              <w:t>/</w:t>
            </w:r>
          </w:p>
        </w:tc>
        <w:tc>
          <w:tcPr>
            <w:tcW w:w="424" w:type="pct"/>
            <w:vAlign w:val="center"/>
          </w:tcPr>
          <w:p w14:paraId="0A79A3D4">
            <w:pPr>
              <w:spacing w:line="360" w:lineRule="exact"/>
              <w:jc w:val="center"/>
              <w:rPr>
                <w:bCs/>
                <w:sz w:val="21"/>
                <w:szCs w:val="21"/>
              </w:rPr>
            </w:pPr>
            <w:r>
              <w:rPr>
                <w:bCs/>
                <w:sz w:val="21"/>
                <w:szCs w:val="21"/>
              </w:rPr>
              <w:t>/</w:t>
            </w:r>
          </w:p>
        </w:tc>
        <w:tc>
          <w:tcPr>
            <w:tcW w:w="430" w:type="pct"/>
            <w:vAlign w:val="center"/>
          </w:tcPr>
          <w:p w14:paraId="778EB64F">
            <w:pPr>
              <w:widowControl/>
              <w:spacing w:line="360" w:lineRule="exact"/>
              <w:jc w:val="center"/>
              <w:rPr>
                <w:bCs/>
                <w:sz w:val="21"/>
                <w:szCs w:val="21"/>
              </w:rPr>
            </w:pPr>
            <w:r>
              <w:rPr>
                <w:bCs/>
                <w:sz w:val="21"/>
                <w:szCs w:val="21"/>
              </w:rPr>
              <w:t>/</w:t>
            </w:r>
          </w:p>
        </w:tc>
        <w:tc>
          <w:tcPr>
            <w:tcW w:w="606" w:type="pct"/>
            <w:vAlign w:val="center"/>
          </w:tcPr>
          <w:p w14:paraId="38F4DAAD">
            <w:pPr>
              <w:spacing w:line="360" w:lineRule="exact"/>
              <w:jc w:val="center"/>
              <w:rPr>
                <w:bCs/>
                <w:sz w:val="21"/>
                <w:szCs w:val="21"/>
              </w:rPr>
            </w:pPr>
            <w:r>
              <w:rPr>
                <w:bCs/>
                <w:sz w:val="21"/>
                <w:szCs w:val="21"/>
              </w:rPr>
              <w:t>/</w:t>
            </w:r>
          </w:p>
        </w:tc>
        <w:tc>
          <w:tcPr>
            <w:tcW w:w="1156" w:type="pct"/>
            <w:vAlign w:val="center"/>
          </w:tcPr>
          <w:p w14:paraId="247600EE">
            <w:pPr>
              <w:spacing w:line="360" w:lineRule="exact"/>
              <w:jc w:val="center"/>
              <w:rPr>
                <w:bCs/>
                <w:sz w:val="21"/>
                <w:szCs w:val="21"/>
              </w:rPr>
            </w:pPr>
            <w:r>
              <w:rPr>
                <w:bCs/>
                <w:sz w:val="21"/>
                <w:szCs w:val="21"/>
                <w:lang w:bidi="ar"/>
              </w:rPr>
              <w:t>经独立排风管道引至屋顶，并经过滤器过滤后排放。</w:t>
            </w:r>
          </w:p>
        </w:tc>
      </w:tr>
      <w:tr w14:paraId="0ABF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107" w:type="pct"/>
            <w:vAlign w:val="center"/>
          </w:tcPr>
          <w:p w14:paraId="74661851">
            <w:pPr>
              <w:spacing w:line="360" w:lineRule="exact"/>
              <w:jc w:val="center"/>
              <w:rPr>
                <w:bCs/>
                <w:sz w:val="21"/>
                <w:szCs w:val="21"/>
              </w:rPr>
            </w:pPr>
            <w:r>
              <w:rPr>
                <w:bCs/>
                <w:sz w:val="21"/>
                <w:szCs w:val="21"/>
              </w:rPr>
              <w:t>放射性同位素和射线装置产生的臭氧、氮氧化物</w:t>
            </w:r>
          </w:p>
        </w:tc>
        <w:tc>
          <w:tcPr>
            <w:tcW w:w="226" w:type="pct"/>
            <w:vAlign w:val="center"/>
          </w:tcPr>
          <w:p w14:paraId="0BBFDB8F">
            <w:pPr>
              <w:spacing w:line="360" w:lineRule="exact"/>
              <w:jc w:val="center"/>
              <w:rPr>
                <w:bCs/>
                <w:sz w:val="21"/>
                <w:szCs w:val="21"/>
              </w:rPr>
            </w:pPr>
            <w:r>
              <w:rPr>
                <w:bCs/>
                <w:sz w:val="21"/>
                <w:szCs w:val="21"/>
              </w:rPr>
              <w:t>气态</w:t>
            </w:r>
          </w:p>
        </w:tc>
        <w:tc>
          <w:tcPr>
            <w:tcW w:w="444" w:type="pct"/>
            <w:vAlign w:val="center"/>
          </w:tcPr>
          <w:p w14:paraId="5A56A170">
            <w:pPr>
              <w:spacing w:line="360" w:lineRule="exact"/>
              <w:jc w:val="center"/>
              <w:rPr>
                <w:bCs/>
                <w:sz w:val="21"/>
                <w:szCs w:val="21"/>
                <w:vertAlign w:val="superscript"/>
              </w:rPr>
            </w:pPr>
            <w:r>
              <w:rPr>
                <w:bCs/>
                <w:sz w:val="21"/>
                <w:szCs w:val="21"/>
              </w:rPr>
              <w:t>/</w:t>
            </w:r>
          </w:p>
        </w:tc>
        <w:tc>
          <w:tcPr>
            <w:tcW w:w="238" w:type="pct"/>
            <w:vAlign w:val="center"/>
          </w:tcPr>
          <w:p w14:paraId="487C3122">
            <w:pPr>
              <w:spacing w:line="360" w:lineRule="exact"/>
              <w:jc w:val="center"/>
              <w:rPr>
                <w:bCs/>
                <w:sz w:val="21"/>
                <w:szCs w:val="21"/>
              </w:rPr>
            </w:pPr>
            <w:r>
              <w:rPr>
                <w:bCs/>
                <w:sz w:val="21"/>
                <w:szCs w:val="21"/>
              </w:rPr>
              <w:t>/</w:t>
            </w:r>
          </w:p>
        </w:tc>
        <w:tc>
          <w:tcPr>
            <w:tcW w:w="366" w:type="pct"/>
            <w:vAlign w:val="center"/>
          </w:tcPr>
          <w:p w14:paraId="5F75D152">
            <w:pPr>
              <w:spacing w:line="360" w:lineRule="exact"/>
              <w:jc w:val="center"/>
              <w:rPr>
                <w:bCs/>
                <w:sz w:val="21"/>
                <w:szCs w:val="21"/>
              </w:rPr>
            </w:pPr>
            <w:r>
              <w:rPr>
                <w:bCs/>
                <w:sz w:val="21"/>
                <w:szCs w:val="21"/>
              </w:rPr>
              <w:t>/</w:t>
            </w:r>
          </w:p>
        </w:tc>
        <w:tc>
          <w:tcPr>
            <w:tcW w:w="424" w:type="pct"/>
            <w:vAlign w:val="center"/>
          </w:tcPr>
          <w:p w14:paraId="45EC2D2D">
            <w:pPr>
              <w:spacing w:line="360" w:lineRule="exact"/>
              <w:jc w:val="center"/>
              <w:rPr>
                <w:bCs/>
                <w:sz w:val="21"/>
                <w:szCs w:val="21"/>
              </w:rPr>
            </w:pPr>
            <w:r>
              <w:rPr>
                <w:bCs/>
                <w:sz w:val="21"/>
                <w:szCs w:val="21"/>
              </w:rPr>
              <w:t>/</w:t>
            </w:r>
          </w:p>
        </w:tc>
        <w:tc>
          <w:tcPr>
            <w:tcW w:w="430" w:type="pct"/>
            <w:vAlign w:val="center"/>
          </w:tcPr>
          <w:p w14:paraId="108DF0E4">
            <w:pPr>
              <w:spacing w:line="360" w:lineRule="exact"/>
              <w:jc w:val="center"/>
              <w:rPr>
                <w:bCs/>
                <w:sz w:val="21"/>
                <w:szCs w:val="21"/>
              </w:rPr>
            </w:pPr>
            <w:r>
              <w:rPr>
                <w:bCs/>
                <w:sz w:val="21"/>
                <w:szCs w:val="21"/>
              </w:rPr>
              <w:t>/</w:t>
            </w:r>
          </w:p>
        </w:tc>
        <w:tc>
          <w:tcPr>
            <w:tcW w:w="606" w:type="pct"/>
            <w:vAlign w:val="center"/>
          </w:tcPr>
          <w:p w14:paraId="305F10A1">
            <w:pPr>
              <w:spacing w:line="360" w:lineRule="exact"/>
              <w:jc w:val="center"/>
              <w:rPr>
                <w:bCs/>
                <w:sz w:val="21"/>
                <w:szCs w:val="21"/>
              </w:rPr>
            </w:pPr>
            <w:r>
              <w:rPr>
                <w:bCs/>
                <w:sz w:val="21"/>
                <w:szCs w:val="21"/>
              </w:rPr>
              <w:t>/</w:t>
            </w:r>
          </w:p>
        </w:tc>
        <w:tc>
          <w:tcPr>
            <w:tcW w:w="1156" w:type="pct"/>
            <w:vAlign w:val="center"/>
          </w:tcPr>
          <w:p w14:paraId="4A0DB400">
            <w:pPr>
              <w:spacing w:line="360" w:lineRule="exact"/>
              <w:jc w:val="center"/>
              <w:rPr>
                <w:bCs/>
                <w:sz w:val="21"/>
                <w:szCs w:val="21"/>
              </w:rPr>
            </w:pPr>
            <w:r>
              <w:rPr>
                <w:bCs/>
                <w:sz w:val="21"/>
                <w:szCs w:val="21"/>
                <w:lang w:bidi="ar"/>
              </w:rPr>
              <w:t>经独立排风管道引至屋顶，并经过滤器过滤后排放。</w:t>
            </w:r>
          </w:p>
        </w:tc>
      </w:tr>
    </w:tbl>
    <w:p w14:paraId="43EF9ED3">
      <w:pPr>
        <w:spacing w:line="240" w:lineRule="auto"/>
        <w:jc w:val="left"/>
        <w:rPr>
          <w:sz w:val="21"/>
          <w:szCs w:val="21"/>
        </w:rPr>
      </w:pPr>
      <w:r>
        <w:rPr>
          <w:sz w:val="21"/>
          <w:szCs w:val="21"/>
        </w:rPr>
        <w:t>注：1.常规废弃物排放浓度，对于液态单位为mg/L，固体为mg/kg，气态为mg/m</w:t>
      </w:r>
      <w:r>
        <w:rPr>
          <w:sz w:val="21"/>
          <w:szCs w:val="21"/>
          <w:vertAlign w:val="superscript"/>
        </w:rPr>
        <w:t>3</w:t>
      </w:r>
      <w:r>
        <w:rPr>
          <w:sz w:val="21"/>
          <w:szCs w:val="21"/>
        </w:rPr>
        <w:t>；年排放总量用kg。</w:t>
      </w:r>
    </w:p>
    <w:p w14:paraId="5AACF053">
      <w:pPr>
        <w:spacing w:line="240" w:lineRule="auto"/>
        <w:ind w:left="728" w:hanging="315"/>
      </w:pPr>
      <w:r>
        <w:rPr>
          <w:sz w:val="21"/>
          <w:szCs w:val="21"/>
        </w:rPr>
        <w:t>2．含有放射性的废物要注明，其排放浓度、年排放总量分别用比活度（Bq/L或Bq/kg或Bq/m</w:t>
      </w:r>
      <w:r>
        <w:rPr>
          <w:sz w:val="21"/>
          <w:szCs w:val="21"/>
          <w:vertAlign w:val="superscript"/>
        </w:rPr>
        <w:t>3</w:t>
      </w:r>
      <w:r>
        <w:rPr>
          <w:sz w:val="21"/>
          <w:szCs w:val="21"/>
        </w:rPr>
        <w:t>）和活度（Bq）。</w:t>
      </w:r>
    </w:p>
    <w:p w14:paraId="378C7AAB">
      <w:pPr>
        <w:sectPr>
          <w:pgSz w:w="16838" w:h="11906" w:orient="landscape"/>
          <w:pgMar w:top="1418" w:right="1588" w:bottom="1418" w:left="1588" w:header="851" w:footer="992" w:gutter="0"/>
          <w:pgBorders>
            <w:top w:val="none" w:sz="0" w:space="0"/>
            <w:left w:val="none" w:sz="0" w:space="0"/>
            <w:bottom w:val="none" w:sz="0" w:space="0"/>
            <w:right w:val="none" w:sz="0" w:space="0"/>
          </w:pgBorders>
          <w:cols w:space="425" w:num="1"/>
          <w:docGrid w:linePitch="360" w:charSpace="0"/>
        </w:sectPr>
      </w:pPr>
    </w:p>
    <w:p w14:paraId="234AB5C9">
      <w:pPr>
        <w:keepNext/>
        <w:keepLines/>
        <w:pageBreakBefore/>
        <w:spacing w:line="240" w:lineRule="auto"/>
        <w:outlineLvl w:val="0"/>
        <w:rPr>
          <w:rFonts w:eastAsia="黑体"/>
          <w:bCs/>
        </w:rPr>
      </w:pPr>
      <w:bookmarkStart w:id="18" w:name="_Toc15991529"/>
      <w:bookmarkStart w:id="19" w:name="_Toc194317394"/>
      <w:r>
        <w:rPr>
          <w:b/>
          <w:bCs/>
          <w:sz w:val="28"/>
          <w:szCs w:val="28"/>
        </w:rPr>
        <w:t>表6：</w:t>
      </w:r>
      <w:r>
        <w:rPr>
          <w:b/>
          <w:bCs/>
          <w:sz w:val="28"/>
          <w:szCs w:val="28"/>
          <w:highlight w:val="none"/>
        </w:rPr>
        <w:t>评价依据</w:t>
      </w:r>
      <w:bookmarkEnd w:id="18"/>
      <w:bookmarkEnd w:id="19"/>
    </w:p>
    <w:tbl>
      <w:tblPr>
        <w:tblStyle w:val="57"/>
        <w:tblW w:w="50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8267"/>
      </w:tblGrid>
      <w:tr w14:paraId="4D53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8" w:hRule="atLeast"/>
          <w:jc w:val="center"/>
        </w:trPr>
        <w:tc>
          <w:tcPr>
            <w:tcW w:w="425" w:type="pct"/>
            <w:vAlign w:val="center"/>
          </w:tcPr>
          <w:p w14:paraId="042C9453">
            <w:pPr>
              <w:jc w:val="center"/>
              <w:rPr>
                <w:bCs/>
              </w:rPr>
            </w:pPr>
            <w:r>
              <w:rPr>
                <w:bCs/>
              </w:rPr>
              <w:t>法规文件</w:t>
            </w:r>
          </w:p>
        </w:tc>
        <w:tc>
          <w:tcPr>
            <w:tcW w:w="4574" w:type="pct"/>
          </w:tcPr>
          <w:p w14:paraId="3D42DF63">
            <w:pPr>
              <w:ind w:firstLine="480"/>
              <w:rPr>
                <w:lang w:bidi="ar"/>
              </w:rPr>
            </w:pPr>
            <w:r>
              <w:rPr>
                <w:lang w:bidi="ar"/>
              </w:rPr>
              <w:t>（1）《中华人民共和国</w:t>
            </w:r>
            <w:r>
              <w:rPr>
                <w:rFonts w:hint="eastAsia"/>
                <w:lang w:val="en-US" w:eastAsia="zh-CN" w:bidi="ar"/>
              </w:rPr>
              <w:t>生态环境法典</w:t>
            </w:r>
            <w:r>
              <w:rPr>
                <w:lang w:bidi="ar"/>
              </w:rPr>
              <w:t>》（20</w:t>
            </w:r>
            <w:r>
              <w:rPr>
                <w:rFonts w:hint="eastAsia"/>
                <w:lang w:val="en-US" w:eastAsia="zh-CN" w:bidi="ar"/>
              </w:rPr>
              <w:t>26</w:t>
            </w:r>
            <w:r>
              <w:rPr>
                <w:lang w:bidi="ar"/>
              </w:rPr>
              <w:t>年</w:t>
            </w:r>
            <w:r>
              <w:rPr>
                <w:rFonts w:hint="eastAsia"/>
                <w:lang w:val="en-US" w:eastAsia="zh-CN" w:bidi="ar"/>
              </w:rPr>
              <w:t>8</w:t>
            </w:r>
            <w:r>
              <w:rPr>
                <w:lang w:bidi="ar"/>
              </w:rPr>
              <w:t>月1</w:t>
            </w:r>
            <w:r>
              <w:rPr>
                <w:rFonts w:hint="eastAsia"/>
                <w:lang w:val="en-US" w:eastAsia="zh-CN" w:bidi="ar"/>
              </w:rPr>
              <w:t>5</w:t>
            </w:r>
            <w:r>
              <w:rPr>
                <w:lang w:bidi="ar"/>
              </w:rPr>
              <w:t>日实施）；</w:t>
            </w:r>
          </w:p>
          <w:p w14:paraId="4980AB63">
            <w:pPr>
              <w:ind w:firstLine="480" w:firstLineChars="200"/>
              <w:rPr>
                <w:lang w:bidi="ar"/>
              </w:rPr>
            </w:pPr>
            <w:r>
              <w:rPr>
                <w:lang w:bidi="ar"/>
              </w:rPr>
              <w:t>（2）《中华人民共和国环境影响评价法（2018年修订）》（2018年12月29日实施）；</w:t>
            </w:r>
          </w:p>
          <w:p w14:paraId="585A1370">
            <w:pPr>
              <w:ind w:firstLine="480"/>
              <w:rPr>
                <w:lang w:bidi="ar"/>
              </w:rPr>
            </w:pPr>
            <w:r>
              <w:rPr>
                <w:lang w:bidi="ar"/>
              </w:rPr>
              <w:t>（3）《国务院关于修改&lt;建设项目环境保护管理条例&gt;的决定》（国务院682号令）；</w:t>
            </w:r>
          </w:p>
          <w:p w14:paraId="12A8A58E">
            <w:pPr>
              <w:ind w:firstLine="480"/>
              <w:rPr>
                <w:lang w:bidi="ar"/>
              </w:rPr>
            </w:pPr>
            <w:r>
              <w:rPr>
                <w:lang w:bidi="ar"/>
              </w:rPr>
              <w:t>（</w:t>
            </w:r>
            <w:r>
              <w:rPr>
                <w:rFonts w:hint="eastAsia"/>
                <w:lang w:val="en-US" w:eastAsia="zh-CN" w:bidi="ar"/>
              </w:rPr>
              <w:t>4</w:t>
            </w:r>
            <w:r>
              <w:rPr>
                <w:lang w:bidi="ar"/>
              </w:rPr>
              <w:t>）《放射性同位素与射线装置安全和防护条例》（2005年9月14日国务院第449号令发布，2019年3月2日《国务院关于修改部分行政法规的决定》（国务院令第709号）对其进行了修改）；</w:t>
            </w:r>
          </w:p>
          <w:p w14:paraId="6AE3E158">
            <w:pPr>
              <w:ind w:firstLine="480"/>
              <w:rPr>
                <w:lang w:bidi="ar"/>
              </w:rPr>
            </w:pPr>
            <w:r>
              <w:rPr>
                <w:lang w:bidi="ar"/>
              </w:rPr>
              <w:t>（</w:t>
            </w:r>
            <w:r>
              <w:rPr>
                <w:rFonts w:hint="eastAsia"/>
                <w:lang w:val="en-US" w:eastAsia="zh-CN" w:bidi="ar"/>
              </w:rPr>
              <w:t>5</w:t>
            </w:r>
            <w:r>
              <w:rPr>
                <w:lang w:bidi="ar"/>
              </w:rPr>
              <w:t>）《放射性废物安全管理条例》（国务院令第612号）；</w:t>
            </w:r>
          </w:p>
          <w:p w14:paraId="4348E5FA">
            <w:pPr>
              <w:ind w:firstLine="480"/>
              <w:rPr>
                <w:lang w:bidi="ar"/>
              </w:rPr>
            </w:pPr>
            <w:r>
              <w:rPr>
                <w:lang w:bidi="ar"/>
              </w:rPr>
              <w:t>（</w:t>
            </w:r>
            <w:r>
              <w:rPr>
                <w:rFonts w:hint="eastAsia"/>
                <w:lang w:val="en-US" w:eastAsia="zh-CN" w:bidi="ar"/>
              </w:rPr>
              <w:t>6</w:t>
            </w:r>
            <w:r>
              <w:rPr>
                <w:lang w:bidi="ar"/>
              </w:rPr>
              <w:t>）《四川省辐射污染防治条例》（四川省十二届人大常委会第24次会议通过，2016年6月1日实施）；</w:t>
            </w:r>
          </w:p>
          <w:p w14:paraId="5EAB8F25">
            <w:pPr>
              <w:ind w:firstLine="480"/>
              <w:rPr>
                <w:lang w:bidi="ar"/>
              </w:rPr>
            </w:pPr>
            <w:r>
              <w:rPr>
                <w:lang w:bidi="ar"/>
              </w:rPr>
              <w:t>（</w:t>
            </w:r>
            <w:r>
              <w:rPr>
                <w:rFonts w:hint="eastAsia"/>
                <w:lang w:val="en-US" w:eastAsia="zh-CN" w:bidi="ar"/>
              </w:rPr>
              <w:t>7</w:t>
            </w:r>
            <w:r>
              <w:rPr>
                <w:lang w:bidi="ar"/>
              </w:rPr>
              <w:t>）《放射性同位素与射线装置安全和防护管理办法》（环境保护部第18号令）；</w:t>
            </w:r>
          </w:p>
          <w:p w14:paraId="769F6AC9">
            <w:pPr>
              <w:ind w:firstLine="480"/>
              <w:rPr>
                <w:lang w:bidi="ar"/>
              </w:rPr>
            </w:pPr>
            <w:r>
              <w:rPr>
                <w:lang w:bidi="ar"/>
              </w:rPr>
              <w:t>（</w:t>
            </w:r>
            <w:r>
              <w:rPr>
                <w:rFonts w:hint="eastAsia"/>
                <w:lang w:val="en-US" w:eastAsia="zh-CN" w:bidi="ar"/>
              </w:rPr>
              <w:t>8</w:t>
            </w:r>
            <w:r>
              <w:rPr>
                <w:lang w:bidi="ar"/>
              </w:rPr>
              <w:t>）《关于发布&lt;射线装置分类&gt;的公告》（环境保护部/国家卫生和计划生育委员会，公告2017年第66号）；</w:t>
            </w:r>
          </w:p>
          <w:p w14:paraId="5CD093E2">
            <w:pPr>
              <w:ind w:firstLine="480"/>
              <w:rPr>
                <w:lang w:bidi="ar"/>
              </w:rPr>
            </w:pPr>
            <w:r>
              <w:rPr>
                <w:lang w:bidi="ar"/>
              </w:rPr>
              <w:t>（</w:t>
            </w:r>
            <w:r>
              <w:rPr>
                <w:rFonts w:hint="eastAsia"/>
                <w:lang w:val="en-US" w:eastAsia="zh-CN" w:bidi="ar"/>
              </w:rPr>
              <w:t>9</w:t>
            </w:r>
            <w:r>
              <w:rPr>
                <w:lang w:bidi="ar"/>
              </w:rPr>
              <w:t>）《关于发布&lt;放射性废物分类&gt;的公告》（环境保护部工业和信息化部国家国防科技工业局公告2017年第65号）；</w:t>
            </w:r>
          </w:p>
          <w:p w14:paraId="48C63079">
            <w:pPr>
              <w:ind w:firstLine="480"/>
              <w:rPr>
                <w:lang w:bidi="ar"/>
              </w:rPr>
            </w:pPr>
            <w:r>
              <w:rPr>
                <w:lang w:bidi="ar"/>
              </w:rPr>
              <w:t>（1</w:t>
            </w:r>
            <w:r>
              <w:rPr>
                <w:rFonts w:hint="eastAsia"/>
                <w:lang w:val="en-US" w:eastAsia="zh-CN" w:bidi="ar"/>
              </w:rPr>
              <w:t>0</w:t>
            </w:r>
            <w:r>
              <w:rPr>
                <w:lang w:bidi="ar"/>
              </w:rPr>
              <w:t>）《放射性同位素与射线装置安全许可管理办法》（2006年1月18日国家环境保护总局令第31号公布，2017年12月12日《环境保护部关于修改部分规章的决定》（部令第47号）对其进行了修改，2019年8月22日《生态环境部关于废止、修改部分规章的决定》（生态环境部令第7号）对其进行了修改，2021年1月4日经生态环境部令 第20号修改）；</w:t>
            </w:r>
          </w:p>
          <w:p w14:paraId="763E76F5">
            <w:pPr>
              <w:ind w:firstLine="480"/>
              <w:rPr>
                <w:lang w:bidi="ar"/>
              </w:rPr>
            </w:pPr>
            <w:r>
              <w:rPr>
                <w:lang w:bidi="ar"/>
              </w:rPr>
              <w:t>（1</w:t>
            </w:r>
            <w:r>
              <w:rPr>
                <w:rFonts w:hint="eastAsia"/>
                <w:lang w:val="en-US" w:eastAsia="zh-CN" w:bidi="ar"/>
              </w:rPr>
              <w:t>1</w:t>
            </w:r>
            <w:r>
              <w:rPr>
                <w:lang w:bidi="ar"/>
              </w:rPr>
              <w:t>）《建设项目环境影响评价分类管理目录》（2021版）（中华人民共和国生态环境部第16号令）；</w:t>
            </w:r>
          </w:p>
          <w:p w14:paraId="55668F83">
            <w:pPr>
              <w:ind w:firstLine="480"/>
              <w:rPr>
                <w:lang w:bidi="ar"/>
              </w:rPr>
            </w:pPr>
            <w:r>
              <w:rPr>
                <w:lang w:bidi="ar"/>
              </w:rPr>
              <w:t>（1</w:t>
            </w:r>
            <w:r>
              <w:rPr>
                <w:rFonts w:hint="eastAsia"/>
                <w:lang w:val="en-US" w:eastAsia="zh-CN" w:bidi="ar"/>
              </w:rPr>
              <w:t>2</w:t>
            </w:r>
            <w:r>
              <w:rPr>
                <w:lang w:bidi="ar"/>
              </w:rPr>
              <w:t>）《关于明确核技术利用辐射安全监管有关事项的通知》（环办辐射函[2016]430号文）；</w:t>
            </w:r>
          </w:p>
          <w:p w14:paraId="5A9C6DD4">
            <w:pPr>
              <w:ind w:firstLine="480"/>
              <w:rPr>
                <w:lang w:bidi="ar"/>
              </w:rPr>
            </w:pPr>
            <w:r>
              <w:rPr>
                <w:lang w:bidi="ar"/>
              </w:rPr>
              <w:t>（1</w:t>
            </w:r>
            <w:r>
              <w:rPr>
                <w:rFonts w:hint="eastAsia"/>
                <w:lang w:val="en-US" w:eastAsia="zh-CN" w:bidi="ar"/>
              </w:rPr>
              <w:t>3</w:t>
            </w:r>
            <w:r>
              <w:rPr>
                <w:lang w:bidi="ar"/>
              </w:rPr>
              <w:t>）《关于核技术利用辐射安全与防护培训和考核有关事项的公告》（生态环境部公告2019年第57号，2020年1月1日施行）；</w:t>
            </w:r>
          </w:p>
          <w:p w14:paraId="3E2E44AB">
            <w:pPr>
              <w:ind w:firstLine="480"/>
              <w:rPr>
                <w:lang w:bidi="ar"/>
              </w:rPr>
            </w:pPr>
            <w:r>
              <w:rPr>
                <w:lang w:bidi="ar"/>
              </w:rPr>
              <w:t>（1</w:t>
            </w:r>
            <w:r>
              <w:rPr>
                <w:rFonts w:hint="eastAsia"/>
                <w:lang w:val="en-US" w:eastAsia="zh-CN" w:bidi="ar"/>
              </w:rPr>
              <w:t>4</w:t>
            </w:r>
            <w:r>
              <w:rPr>
                <w:lang w:bidi="ar"/>
              </w:rPr>
              <w:t>）《关于进一步优化辐射安全考核的公告》（生态环境部公告2021年第9号）；</w:t>
            </w:r>
          </w:p>
          <w:p w14:paraId="100D281E">
            <w:pPr>
              <w:ind w:firstLine="480"/>
              <w:rPr>
                <w:lang w:bidi="ar"/>
              </w:rPr>
            </w:pPr>
            <w:r>
              <w:rPr>
                <w:lang w:bidi="ar"/>
              </w:rPr>
              <w:t>（1</w:t>
            </w:r>
            <w:r>
              <w:rPr>
                <w:rFonts w:hint="eastAsia"/>
                <w:lang w:val="en-US" w:eastAsia="zh-CN" w:bidi="ar"/>
              </w:rPr>
              <w:t>5</w:t>
            </w:r>
            <w:r>
              <w:rPr>
                <w:lang w:bidi="ar"/>
              </w:rPr>
              <w:t>）《产业结构调整指导目录（2024年本）》（中华人民共和国国家发展和改革委员会令第7号）；</w:t>
            </w:r>
          </w:p>
          <w:p w14:paraId="63C8D220">
            <w:pPr>
              <w:ind w:firstLine="480"/>
              <w:rPr>
                <w:lang w:bidi="ar"/>
              </w:rPr>
            </w:pPr>
            <w:r>
              <w:rPr>
                <w:lang w:bidi="ar"/>
              </w:rPr>
              <w:t>（1</w:t>
            </w:r>
            <w:r>
              <w:rPr>
                <w:rFonts w:hint="eastAsia"/>
                <w:lang w:val="en-US" w:eastAsia="zh-CN" w:bidi="ar"/>
              </w:rPr>
              <w:t>6</w:t>
            </w:r>
            <w:r>
              <w:rPr>
                <w:lang w:bidi="ar"/>
              </w:rPr>
              <w:t>）《四川省生态环境厅关于进一步做好核技术利用单位辐射安全与防护考核的通知》（2021年3月29日）；</w:t>
            </w:r>
          </w:p>
          <w:p w14:paraId="1DDAC721">
            <w:pPr>
              <w:ind w:firstLine="480"/>
              <w:rPr>
                <w:lang w:bidi="ar"/>
              </w:rPr>
            </w:pPr>
            <w:r>
              <w:rPr>
                <w:lang w:bidi="ar"/>
              </w:rPr>
              <w:t>（1</w:t>
            </w:r>
            <w:r>
              <w:rPr>
                <w:rFonts w:hint="eastAsia"/>
                <w:lang w:val="en-US" w:eastAsia="zh-CN" w:bidi="ar"/>
              </w:rPr>
              <w:t>7</w:t>
            </w:r>
            <w:r>
              <w:rPr>
                <w:lang w:bidi="ar"/>
              </w:rPr>
              <w:t>）</w:t>
            </w:r>
            <w:r>
              <w:t>《核技术利用监督检查技术程序》（2020年发布版）</w:t>
            </w:r>
            <w:r>
              <w:rPr>
                <w:lang w:bidi="ar"/>
              </w:rPr>
              <w:t>；</w:t>
            </w:r>
          </w:p>
          <w:p w14:paraId="2A31FD8D">
            <w:pPr>
              <w:ind w:firstLine="480"/>
              <w:rPr>
                <w:lang w:bidi="ar"/>
              </w:rPr>
            </w:pPr>
            <w:r>
              <w:rPr>
                <w:lang w:bidi="ar"/>
              </w:rPr>
              <w:t>（1</w:t>
            </w:r>
            <w:r>
              <w:rPr>
                <w:rFonts w:hint="eastAsia"/>
                <w:lang w:val="en-US" w:eastAsia="zh-CN" w:bidi="ar"/>
              </w:rPr>
              <w:t>8</w:t>
            </w:r>
            <w:r>
              <w:rPr>
                <w:lang w:bidi="ar"/>
              </w:rPr>
              <w:t>）</w:t>
            </w:r>
            <w:r>
              <w:rPr>
                <w:rFonts w:hint="default" w:ascii="Times New Roman" w:hAnsi="Times New Roman" w:eastAsia="宋体" w:cs="Times New Roman"/>
                <w:color w:val="auto"/>
                <w:sz w:val="24"/>
                <w:highlight w:val="none"/>
                <w:lang w:val="en-US" w:eastAsia="zh-CN"/>
              </w:rPr>
              <w:t>《关于印发&lt;</w:t>
            </w:r>
            <w:r>
              <w:rPr>
                <w:rFonts w:hint="eastAsia" w:ascii="Times New Roman" w:hAnsi="Times New Roman" w:eastAsia="宋体" w:cs="Times New Roman"/>
                <w:color w:val="auto"/>
                <w:sz w:val="24"/>
                <w:highlight w:val="none"/>
                <w:lang w:val="en-US" w:eastAsia="zh-CN"/>
              </w:rPr>
              <w:t>四川省核技术利用单位辐射安全工作指引（2025年版）</w:t>
            </w:r>
            <w:r>
              <w:rPr>
                <w:rFonts w:hint="default" w:ascii="Times New Roman" w:hAnsi="Times New Roman" w:eastAsia="宋体" w:cs="Times New Roman"/>
                <w:color w:val="auto"/>
                <w:sz w:val="24"/>
                <w:highlight w:val="none"/>
                <w:lang w:val="en-US" w:eastAsia="zh-CN"/>
              </w:rPr>
              <w:t>&gt;的通知》（</w:t>
            </w:r>
            <w:r>
              <w:rPr>
                <w:rFonts w:hint="eastAsia" w:ascii="Times New Roman" w:hAnsi="Times New Roman" w:eastAsia="宋体" w:cs="Times New Roman"/>
                <w:color w:val="auto"/>
                <w:sz w:val="24"/>
                <w:highlight w:val="none"/>
                <w:lang w:val="en-US" w:eastAsia="zh-CN"/>
              </w:rPr>
              <w:t>川环函〔2025〕616号</w:t>
            </w:r>
            <w:r>
              <w:rPr>
                <w:rFonts w:hint="default" w:ascii="Times New Roman" w:hAnsi="Times New Roman" w:eastAsia="宋体" w:cs="Times New Roman"/>
                <w:color w:val="auto"/>
                <w:sz w:val="24"/>
                <w:highlight w:val="none"/>
                <w:lang w:val="en-US" w:eastAsia="zh-CN"/>
              </w:rPr>
              <w:t>）</w:t>
            </w:r>
          </w:p>
          <w:p w14:paraId="5AD8E196">
            <w:pPr>
              <w:ind w:firstLine="480"/>
              <w:rPr>
                <w:lang w:bidi="ar"/>
              </w:rPr>
            </w:pPr>
            <w:r>
              <w:rPr>
                <w:rFonts w:hint="eastAsia"/>
                <w:lang w:eastAsia="zh-CN" w:bidi="ar"/>
              </w:rPr>
              <w:t>（</w:t>
            </w:r>
            <w:r>
              <w:rPr>
                <w:rFonts w:hint="eastAsia"/>
                <w:lang w:val="en-US" w:eastAsia="zh-CN" w:bidi="ar"/>
              </w:rPr>
              <w:t>19</w:t>
            </w:r>
            <w:r>
              <w:rPr>
                <w:rFonts w:hint="eastAsia"/>
                <w:lang w:eastAsia="zh-CN" w:bidi="ar"/>
              </w:rPr>
              <w:t>）</w:t>
            </w:r>
            <w:r>
              <w:rPr>
                <w:lang w:bidi="ar"/>
              </w:rPr>
              <w:t>《四川省生态环境厅（四川省核安全管理局）辐射事故应急预案（2024年版）》。</w:t>
            </w:r>
          </w:p>
        </w:tc>
      </w:tr>
      <w:tr w14:paraId="0324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5" w:hRule="atLeast"/>
          <w:jc w:val="center"/>
        </w:trPr>
        <w:tc>
          <w:tcPr>
            <w:tcW w:w="425" w:type="pct"/>
            <w:vAlign w:val="center"/>
          </w:tcPr>
          <w:p w14:paraId="0B5BC70C">
            <w:pPr>
              <w:jc w:val="center"/>
              <w:rPr>
                <w:bCs/>
              </w:rPr>
            </w:pPr>
            <w:r>
              <w:t>技术标准</w:t>
            </w:r>
          </w:p>
        </w:tc>
        <w:tc>
          <w:tcPr>
            <w:tcW w:w="4574" w:type="pct"/>
            <w:vAlign w:val="center"/>
          </w:tcPr>
          <w:p w14:paraId="5AEFD938">
            <w:pPr>
              <w:widowControl/>
              <w:ind w:firstLine="480"/>
              <w:jc w:val="left"/>
            </w:pPr>
            <w:r>
              <w:t>（1）《电离辐射防护与辐射源安全基本标准》（GB18871-2002）；、</w:t>
            </w:r>
          </w:p>
          <w:p w14:paraId="3E6D2C95">
            <w:pPr>
              <w:widowControl/>
              <w:ind w:firstLine="480"/>
              <w:jc w:val="left"/>
            </w:pPr>
            <w:r>
              <w:t>（2）</w:t>
            </w:r>
            <w:r>
              <w:rPr>
                <w:bCs/>
              </w:rPr>
              <w:t>《放射性废物管理规定》（GB14500-2002）；</w:t>
            </w:r>
          </w:p>
          <w:p w14:paraId="7D5437E7">
            <w:pPr>
              <w:widowControl/>
              <w:ind w:firstLine="480"/>
              <w:jc w:val="left"/>
            </w:pPr>
            <w:r>
              <w:t>（3）《医疗机构水污染物排放标准》（GB 18466-2005）；</w:t>
            </w:r>
          </w:p>
          <w:p w14:paraId="0F877B15">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pPr>
            <w:r>
              <w:t>（4）</w:t>
            </w:r>
            <w:r>
              <w:rPr>
                <w:rFonts w:hint="eastAsia"/>
                <w:bCs/>
              </w:rPr>
              <w:t>《清洁服务节水指南》GB/T31714-2015</w:t>
            </w:r>
          </w:p>
          <w:p w14:paraId="22F188B7">
            <w:pPr>
              <w:widowControl/>
              <w:ind w:firstLine="480"/>
              <w:jc w:val="left"/>
            </w:pPr>
            <w:r>
              <w:t>（</w:t>
            </w:r>
            <w:r>
              <w:rPr>
                <w:rFonts w:hint="eastAsia"/>
                <w:lang w:val="en-US" w:eastAsia="zh-CN"/>
              </w:rPr>
              <w:t>5</w:t>
            </w:r>
            <w:r>
              <w:t>）《操作非密封源的辐射防护规定》（GB11930-2010）；</w:t>
            </w:r>
          </w:p>
          <w:p w14:paraId="27168842">
            <w:pPr>
              <w:widowControl/>
              <w:ind w:firstLine="480"/>
              <w:jc w:val="left"/>
            </w:pPr>
            <w:r>
              <w:t>（</w:t>
            </w:r>
            <w:r>
              <w:rPr>
                <w:rFonts w:hint="eastAsia"/>
                <w:lang w:val="en-US" w:eastAsia="zh-CN"/>
              </w:rPr>
              <w:t>6</w:t>
            </w:r>
            <w:r>
              <w:t>）《辐射环境保护管理导则 核技术利用建设项目 环境影响评价文件的内容和格式》（HJ10.1-2016）；</w:t>
            </w:r>
          </w:p>
          <w:p w14:paraId="26761329">
            <w:pPr>
              <w:widowControl/>
              <w:ind w:firstLine="480"/>
              <w:jc w:val="left"/>
            </w:pPr>
            <w:r>
              <w:t>（</w:t>
            </w:r>
            <w:r>
              <w:rPr>
                <w:rFonts w:hint="eastAsia"/>
                <w:lang w:val="en-US" w:eastAsia="zh-CN"/>
              </w:rPr>
              <w:t>7</w:t>
            </w:r>
            <w:r>
              <w:t>）《建设项目环境影响评价技术导则  总纲》（HJ 2.1-2016）；</w:t>
            </w:r>
          </w:p>
          <w:p w14:paraId="1AC9D4CD">
            <w:pPr>
              <w:widowControl/>
              <w:ind w:firstLine="480"/>
              <w:jc w:val="left"/>
            </w:pPr>
            <w:r>
              <w:t>（</w:t>
            </w:r>
            <w:r>
              <w:rPr>
                <w:rFonts w:hint="eastAsia"/>
                <w:lang w:val="en-US" w:eastAsia="zh-CN"/>
              </w:rPr>
              <w:t>8</w:t>
            </w:r>
            <w:r>
              <w:t>）</w:t>
            </w:r>
            <w:r>
              <w:rPr>
                <w:bCs/>
              </w:rPr>
              <w:t>《职业性外照射急性放射病诊断》（GBZ104-2017）；</w:t>
            </w:r>
          </w:p>
          <w:p w14:paraId="4BF58C32">
            <w:pPr>
              <w:widowControl/>
              <w:ind w:firstLine="480"/>
              <w:jc w:val="left"/>
              <w:rPr>
                <w:bCs/>
              </w:rPr>
            </w:pPr>
            <w:r>
              <w:rPr>
                <w:bCs/>
              </w:rPr>
              <w:t>（</w:t>
            </w:r>
            <w:r>
              <w:rPr>
                <w:rFonts w:hint="eastAsia"/>
                <w:bCs/>
                <w:lang w:val="en-US" w:eastAsia="zh-CN"/>
              </w:rPr>
              <w:t>9</w:t>
            </w:r>
            <w:r>
              <w:rPr>
                <w:bCs/>
              </w:rPr>
              <w:t>）《公众成员的放射性核素年摄入量限值》（WST613-2018）；</w:t>
            </w:r>
          </w:p>
          <w:p w14:paraId="26103E32">
            <w:pPr>
              <w:widowControl/>
              <w:ind w:firstLine="480"/>
              <w:jc w:val="left"/>
            </w:pPr>
            <w:r>
              <w:t>（</w:t>
            </w:r>
            <w:r>
              <w:rPr>
                <w:rFonts w:hint="eastAsia"/>
                <w:lang w:val="en-US" w:eastAsia="zh-CN"/>
              </w:rPr>
              <w:t>10</w:t>
            </w:r>
            <w:r>
              <w:t>）《职业性外照射个人监测规范》（GBZ128-2019）；</w:t>
            </w:r>
          </w:p>
          <w:p w14:paraId="582ECA72">
            <w:pPr>
              <w:widowControl/>
              <w:ind w:firstLine="480"/>
              <w:jc w:val="left"/>
              <w:rPr>
                <w:bCs/>
              </w:rPr>
            </w:pPr>
            <w:r>
              <w:rPr>
                <w:bCs/>
              </w:rPr>
              <w:t>（1</w:t>
            </w:r>
            <w:r>
              <w:rPr>
                <w:rFonts w:hint="eastAsia"/>
                <w:bCs/>
                <w:lang w:val="en-US" w:eastAsia="zh-CN"/>
              </w:rPr>
              <w:t>1</w:t>
            </w:r>
            <w:r>
              <w:rPr>
                <w:bCs/>
              </w:rPr>
              <w:t>）《核技术利用放射性废物最小化》（HAD401/11-2020）；</w:t>
            </w:r>
          </w:p>
          <w:p w14:paraId="16195FCB">
            <w:pPr>
              <w:widowControl/>
              <w:ind w:firstLine="480"/>
              <w:jc w:val="left"/>
            </w:pPr>
            <w:r>
              <w:t>（1</w:t>
            </w:r>
            <w:r>
              <w:rPr>
                <w:rFonts w:hint="eastAsia"/>
                <w:lang w:val="en-US" w:eastAsia="zh-CN"/>
              </w:rPr>
              <w:t>2</w:t>
            </w:r>
            <w:r>
              <w:t>）《放射诊断放射防护要求》（GBZ130-2020）；</w:t>
            </w:r>
          </w:p>
          <w:p w14:paraId="667CA332">
            <w:pPr>
              <w:widowControl/>
              <w:ind w:firstLine="480"/>
              <w:jc w:val="left"/>
              <w:rPr>
                <w:bCs/>
              </w:rPr>
            </w:pPr>
            <w:r>
              <w:t>（1</w:t>
            </w:r>
            <w:r>
              <w:rPr>
                <w:rFonts w:hint="eastAsia"/>
                <w:lang w:val="en-US" w:eastAsia="zh-CN"/>
              </w:rPr>
              <w:t>3</w:t>
            </w:r>
            <w:r>
              <w:t>）《核医学放射防护要求》（GBZ120-2020）</w:t>
            </w:r>
            <w:r>
              <w:rPr>
                <w:bCs/>
              </w:rPr>
              <w:t>；</w:t>
            </w:r>
          </w:p>
          <w:p w14:paraId="568D94B2">
            <w:pPr>
              <w:ind w:firstLine="480"/>
            </w:pPr>
            <w:r>
              <w:t>（1</w:t>
            </w:r>
            <w:r>
              <w:rPr>
                <w:rFonts w:hint="eastAsia"/>
                <w:lang w:val="en-US" w:eastAsia="zh-CN"/>
              </w:rPr>
              <w:t>4</w:t>
            </w:r>
            <w:r>
              <w:t>）《环境γ辐射剂量率测量技术规范》（HJ1157-2021）</w:t>
            </w:r>
            <w:r>
              <w:rPr>
                <w:bCs/>
              </w:rPr>
              <w:t>；</w:t>
            </w:r>
          </w:p>
          <w:p w14:paraId="108E6136">
            <w:pPr>
              <w:ind w:firstLine="480"/>
              <w:jc w:val="left"/>
            </w:pPr>
            <w:r>
              <w:t>（1</w:t>
            </w:r>
            <w:r>
              <w:rPr>
                <w:rFonts w:hint="eastAsia"/>
                <w:lang w:val="en-US" w:eastAsia="zh-CN"/>
              </w:rPr>
              <w:t>5</w:t>
            </w:r>
            <w:r>
              <w:t>）《辐射环境监测技术规范》（HJ61-2021）；</w:t>
            </w:r>
          </w:p>
          <w:p w14:paraId="4134015A">
            <w:pPr>
              <w:ind w:firstLine="480"/>
            </w:pPr>
            <w:r>
              <w:t>（1</w:t>
            </w:r>
            <w:r>
              <w:rPr>
                <w:rFonts w:hint="eastAsia"/>
                <w:lang w:val="en-US" w:eastAsia="zh-CN"/>
              </w:rPr>
              <w:t>6</w:t>
            </w:r>
            <w:r>
              <w:t>）《核医学辐射防护与安全要求》（HJ1188-2021）。</w:t>
            </w:r>
          </w:p>
        </w:tc>
      </w:tr>
      <w:tr w14:paraId="07C8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425" w:type="pct"/>
            <w:vAlign w:val="center"/>
          </w:tcPr>
          <w:p w14:paraId="2ECF658F">
            <w:pPr>
              <w:jc w:val="center"/>
            </w:pPr>
            <w:r>
              <w:t>其他</w:t>
            </w:r>
          </w:p>
        </w:tc>
        <w:tc>
          <w:tcPr>
            <w:tcW w:w="4574" w:type="pct"/>
          </w:tcPr>
          <w:p w14:paraId="6577F1D2">
            <w:pPr>
              <w:ind w:firstLine="480"/>
            </w:pPr>
            <w:r>
              <w:t>（1）生态环境部（国家核安全局）《核技术利用监督检查技术程序》（2020年发布版）；</w:t>
            </w:r>
          </w:p>
          <w:p w14:paraId="4584F216">
            <w:pPr>
              <w:ind w:firstLine="480"/>
            </w:pPr>
            <w:r>
              <w:t>（2）《辐射防护手册》（第一分册、第三分册），李德平、潘自强主编，原子能出版社；</w:t>
            </w:r>
          </w:p>
          <w:p w14:paraId="184805F2">
            <w:pPr>
              <w:ind w:firstLine="480"/>
            </w:pPr>
            <w:r>
              <w:t>（3）《辐射防护导论》，方杰主编，原子能出版社；</w:t>
            </w:r>
          </w:p>
          <w:p w14:paraId="1E18C120">
            <w:pPr>
              <w:ind w:firstLine="480"/>
            </w:pPr>
            <w:r>
              <w:t>（4）《放射卫生学》，章仲侯主编，原子能出版社；</w:t>
            </w:r>
          </w:p>
          <w:p w14:paraId="36B5A28C">
            <w:pPr>
              <w:ind w:firstLine="480"/>
            </w:pPr>
            <w:r>
              <w:t>（5）《实用辐射安全手册》，从慧玲主编，原子能出版社；</w:t>
            </w:r>
          </w:p>
          <w:p w14:paraId="712997FE">
            <w:pPr>
              <w:ind w:firstLine="480"/>
            </w:pPr>
            <w:r>
              <w:t>（6）《关于明确核技术利用辐射安全监管有关事项的通知》（环办辐射函[2016]430号）；</w:t>
            </w:r>
          </w:p>
          <w:p w14:paraId="57FF93AE">
            <w:pPr>
              <w:ind w:firstLine="480"/>
              <w:rPr>
                <w:rFonts w:hint="default" w:eastAsia="宋体"/>
                <w:lang w:val="en-US" w:eastAsia="zh-CN"/>
              </w:rPr>
            </w:pPr>
            <w:r>
              <w:rPr>
                <w:rFonts w:hint="eastAsia"/>
                <w:lang w:eastAsia="zh-CN"/>
              </w:rPr>
              <w:t>（</w:t>
            </w:r>
            <w:r>
              <w:rPr>
                <w:rFonts w:hint="eastAsia"/>
                <w:lang w:val="en-US" w:eastAsia="zh-CN"/>
              </w:rPr>
              <w:t>7</w:t>
            </w:r>
            <w:r>
              <w:rPr>
                <w:rFonts w:hint="eastAsia"/>
                <w:lang w:eastAsia="zh-CN"/>
              </w:rPr>
              <w:t>）</w:t>
            </w:r>
            <w:r>
              <w:t>《202</w:t>
            </w:r>
            <w:r>
              <w:rPr>
                <w:rFonts w:hint="eastAsia"/>
                <w:lang w:val="en-US" w:eastAsia="zh-CN"/>
              </w:rPr>
              <w:t>5</w:t>
            </w:r>
            <w:r>
              <w:rPr>
                <w:rFonts w:hint="eastAsia"/>
              </w:rPr>
              <w:t>成都生态环境质量公报</w:t>
            </w:r>
            <w:r>
              <w:t>》</w:t>
            </w:r>
            <w:r>
              <w:rPr>
                <w:rFonts w:hint="eastAsia"/>
                <w:lang w:eastAsia="zh-CN"/>
              </w:rPr>
              <w:t>，</w:t>
            </w:r>
            <w:r>
              <w:rPr>
                <w:rFonts w:hint="eastAsia"/>
                <w:lang w:val="en-US" w:eastAsia="zh-CN"/>
              </w:rPr>
              <w:t>成都市生态环境局；</w:t>
            </w:r>
          </w:p>
          <w:p w14:paraId="46BE899F">
            <w:pPr>
              <w:ind w:firstLine="480"/>
            </w:pPr>
            <w:r>
              <w:rPr>
                <w:rFonts w:hint="eastAsia"/>
                <w:lang w:eastAsia="zh-CN"/>
              </w:rPr>
              <w:t>（</w:t>
            </w:r>
            <w:r>
              <w:rPr>
                <w:rFonts w:hint="eastAsia"/>
                <w:lang w:val="en-US" w:eastAsia="zh-CN"/>
              </w:rPr>
              <w:t>8</w:t>
            </w:r>
            <w:r>
              <w:rPr>
                <w:rFonts w:hint="eastAsia"/>
                <w:lang w:eastAsia="zh-CN"/>
              </w:rPr>
              <w:t>）</w:t>
            </w:r>
            <w:r>
              <w:t>《RADIONUCLIDE AND RADIATION PROTECTION DATA HANDBOOK 2002》（Published by Nuclear Technology Publishing）；</w:t>
            </w:r>
          </w:p>
          <w:p w14:paraId="16B26F88">
            <w:pPr>
              <w:ind w:firstLine="480"/>
            </w:pPr>
            <w:r>
              <w:t>（</w:t>
            </w:r>
            <w:r>
              <w:rPr>
                <w:rFonts w:hint="eastAsia"/>
                <w:lang w:val="en-US" w:eastAsia="zh-CN"/>
              </w:rPr>
              <w:t>9</w:t>
            </w:r>
            <w:r>
              <w:t>）《Health Physics and Radiological Health（FOURTH EDITION）》；</w:t>
            </w:r>
          </w:p>
          <w:p w14:paraId="566D74EB">
            <w:pPr>
              <w:ind w:firstLine="480"/>
            </w:pPr>
            <w:r>
              <w:t>（</w:t>
            </w:r>
            <w:r>
              <w:rPr>
                <w:rFonts w:hint="eastAsia"/>
                <w:lang w:val="en-US" w:eastAsia="zh-CN"/>
              </w:rPr>
              <w:t>10</w:t>
            </w:r>
            <w:r>
              <w:t>）《EXPOSURERATE CONSTANTS AND LEADSHELDING VALUES FOROVER 1100 RADIONUCLIDES》；</w:t>
            </w:r>
          </w:p>
          <w:p w14:paraId="402B4445">
            <w:pPr>
              <w:ind w:firstLine="480"/>
            </w:pPr>
            <w:r>
              <w:t>（1</w:t>
            </w:r>
            <w:r>
              <w:rPr>
                <w:rFonts w:hint="eastAsia"/>
                <w:lang w:val="en-US" w:eastAsia="zh-CN"/>
              </w:rPr>
              <w:t>1</w:t>
            </w:r>
            <w:r>
              <w:t>）《Federal Guidance Report No. 15: External Exposure to Radionuclides in Air, Water and Soil》；</w:t>
            </w:r>
          </w:p>
          <w:p w14:paraId="53046E69">
            <w:pPr>
              <w:ind w:firstLine="480"/>
            </w:pPr>
            <w:r>
              <w:t>（1</w:t>
            </w:r>
            <w:r>
              <w:rPr>
                <w:rFonts w:hint="eastAsia"/>
                <w:lang w:val="en-US" w:eastAsia="zh-CN"/>
              </w:rPr>
              <w:t>2</w:t>
            </w:r>
            <w:r>
              <w:t>）项目委托书及建设单位提供的其他资料。</w:t>
            </w:r>
          </w:p>
          <w:p w14:paraId="6C0C9306">
            <w:pPr>
              <w:ind w:firstLine="480"/>
            </w:pPr>
          </w:p>
          <w:p w14:paraId="18C3CEE8">
            <w:pPr>
              <w:pStyle w:val="55"/>
            </w:pPr>
          </w:p>
          <w:p w14:paraId="2AE5637D">
            <w:pPr>
              <w:ind w:firstLine="480"/>
            </w:pPr>
          </w:p>
          <w:p w14:paraId="3D2677A5"/>
        </w:tc>
      </w:tr>
    </w:tbl>
    <w:p w14:paraId="3CC02B31">
      <w:pPr>
        <w:keepNext/>
        <w:keepLines/>
        <w:pageBreakBefore/>
        <w:spacing w:line="240" w:lineRule="auto"/>
        <w:outlineLvl w:val="0"/>
        <w:rPr>
          <w:rFonts w:eastAsia="黑体"/>
          <w:bCs/>
        </w:rPr>
      </w:pPr>
      <w:bookmarkStart w:id="20" w:name="_Toc15991530"/>
      <w:bookmarkStart w:id="21" w:name="_Toc194317395"/>
      <w:r>
        <w:rPr>
          <w:b/>
          <w:bCs/>
          <w:sz w:val="28"/>
          <w:szCs w:val="28"/>
        </w:rPr>
        <w:t>表7：保护目标与评价标准</w:t>
      </w:r>
      <w:bookmarkEnd w:id="20"/>
      <w:bookmarkEnd w:id="21"/>
    </w:p>
    <w:tbl>
      <w:tblPr>
        <w:tblStyle w:val="57"/>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9"/>
      </w:tblGrid>
      <w:tr w14:paraId="16B0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18" w:hRule="atLeast"/>
          <w:jc w:val="center"/>
        </w:trPr>
        <w:tc>
          <w:tcPr>
            <w:tcW w:w="5000" w:type="pct"/>
          </w:tcPr>
          <w:p w14:paraId="3345D117">
            <w:pPr>
              <w:rPr>
                <w:rFonts w:eastAsia="黑体"/>
                <w:bCs/>
              </w:rPr>
            </w:pPr>
            <w:r>
              <w:rPr>
                <w:rFonts w:eastAsia="黑体"/>
                <w:bCs/>
              </w:rPr>
              <w:t>评价范围</w:t>
            </w:r>
          </w:p>
          <w:p w14:paraId="1873347A">
            <w:pPr>
              <w:ind w:firstLine="480"/>
            </w:pPr>
            <w:r>
              <w:t>根据《辐射环境保护管理导则 核技术利用建设项目 环境影响评价文件的内容和格式》（HJ10.1-2016）的规定，对于乙级非密封放射性物质工作场所、放射源和射线装置，</w:t>
            </w:r>
            <w:r>
              <w:rPr>
                <w:bCs/>
              </w:rPr>
              <w:t>评价范围确定为</w:t>
            </w:r>
            <w:r>
              <w:t>所在场所</w:t>
            </w:r>
            <w:r>
              <w:rPr>
                <w:bCs/>
              </w:rPr>
              <w:t>实体屏蔽物边界外50m范围。</w:t>
            </w:r>
            <w:r>
              <w:t>本项目评价范围见附图2。</w:t>
            </w:r>
          </w:p>
        </w:tc>
      </w:tr>
      <w:tr w14:paraId="18A1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1C805006">
            <w:pPr>
              <w:rPr>
                <w:rFonts w:eastAsia="黑体"/>
              </w:rPr>
            </w:pPr>
            <w:r>
              <w:rPr>
                <w:rFonts w:eastAsia="黑体"/>
              </w:rPr>
              <w:t>保护目标</w:t>
            </w:r>
          </w:p>
          <w:p w14:paraId="018AACCE">
            <w:pPr>
              <w:ind w:firstLine="480"/>
            </w:pPr>
            <w:r>
              <w:t>本项目50m评价范围内主要为本项目辐射工作人员，以及医院内的其他医护人员、病患、陪同人员</w:t>
            </w:r>
            <w:r>
              <w:rPr>
                <w:highlight w:val="none"/>
              </w:rPr>
              <w:t>等</w:t>
            </w:r>
            <w:r>
              <w:t>公众。由于电离辐射水平随着距离的增加而衰减，因此本项目重点关注距离辐射工作场所较近</w:t>
            </w:r>
            <w:r>
              <w:rPr>
                <w:rFonts w:hint="eastAsia"/>
                <w:lang w:eastAsia="zh-CN"/>
              </w:rPr>
              <w:t>、具</w:t>
            </w:r>
            <w:r>
              <w:t>有代表性的环境保护目标进行分析，具体见表7-1。</w:t>
            </w:r>
          </w:p>
          <w:p w14:paraId="40141E46">
            <w:pPr>
              <w:spacing w:before="120" w:beforeLines="50" w:line="240" w:lineRule="auto"/>
              <w:jc w:val="center"/>
              <w:rPr>
                <w:rFonts w:eastAsia="黑体"/>
                <w:bCs/>
                <w:sz w:val="21"/>
                <w:szCs w:val="21"/>
              </w:rPr>
            </w:pPr>
            <w:r>
              <w:rPr>
                <w:rFonts w:eastAsia="黑体"/>
                <w:bCs/>
                <w:sz w:val="21"/>
                <w:szCs w:val="21"/>
              </w:rPr>
              <w:t>表7-1 本项目环境保护目标一览表</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55"/>
              <w:gridCol w:w="509"/>
              <w:gridCol w:w="1113"/>
              <w:gridCol w:w="1421"/>
              <w:gridCol w:w="3294"/>
              <w:gridCol w:w="1615"/>
            </w:tblGrid>
            <w:tr w14:paraId="03C187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1" w:type="pct"/>
                  <w:vAlign w:val="center"/>
                </w:tcPr>
                <w:p w14:paraId="5EDA2930">
                  <w:pPr>
                    <w:spacing w:line="360" w:lineRule="exact"/>
                    <w:jc w:val="center"/>
                    <w:rPr>
                      <w:bCs/>
                      <w:sz w:val="21"/>
                      <w:szCs w:val="21"/>
                    </w:rPr>
                  </w:pPr>
                  <w:r>
                    <w:rPr>
                      <w:bCs/>
                      <w:sz w:val="21"/>
                      <w:szCs w:val="21"/>
                    </w:rPr>
                    <w:t>场所</w:t>
                  </w:r>
                </w:p>
              </w:tc>
              <w:tc>
                <w:tcPr>
                  <w:tcW w:w="546" w:type="pct"/>
                  <w:gridSpan w:val="2"/>
                  <w:vAlign w:val="center"/>
                </w:tcPr>
                <w:p w14:paraId="726AFFDC">
                  <w:pPr>
                    <w:spacing w:line="360" w:lineRule="exact"/>
                    <w:jc w:val="center"/>
                    <w:rPr>
                      <w:bCs/>
                      <w:spacing w:val="-6"/>
                      <w:sz w:val="21"/>
                      <w:szCs w:val="21"/>
                    </w:rPr>
                  </w:pPr>
                  <w:r>
                    <w:rPr>
                      <w:bCs/>
                      <w:caps/>
                      <w:sz w:val="21"/>
                      <w:szCs w:val="21"/>
                    </w:rPr>
                    <w:t>保护名单</w:t>
                  </w:r>
                </w:p>
              </w:tc>
              <w:tc>
                <w:tcPr>
                  <w:tcW w:w="630" w:type="pct"/>
                  <w:vAlign w:val="center"/>
                </w:tcPr>
                <w:p w14:paraId="0DE68A92">
                  <w:pPr>
                    <w:spacing w:line="360" w:lineRule="exact"/>
                    <w:jc w:val="center"/>
                    <w:rPr>
                      <w:bCs/>
                      <w:sz w:val="21"/>
                      <w:szCs w:val="21"/>
                    </w:rPr>
                  </w:pPr>
                  <w:r>
                    <w:rPr>
                      <w:bCs/>
                      <w:spacing w:val="-6"/>
                      <w:sz w:val="21"/>
                      <w:szCs w:val="21"/>
                    </w:rPr>
                    <w:t>人数（人）</w:t>
                  </w:r>
                </w:p>
              </w:tc>
              <w:tc>
                <w:tcPr>
                  <w:tcW w:w="804" w:type="pct"/>
                  <w:vAlign w:val="center"/>
                </w:tcPr>
                <w:p w14:paraId="605EA907">
                  <w:pPr>
                    <w:spacing w:line="360" w:lineRule="exact"/>
                    <w:jc w:val="center"/>
                    <w:rPr>
                      <w:bCs/>
                      <w:sz w:val="21"/>
                      <w:szCs w:val="21"/>
                    </w:rPr>
                  </w:pPr>
                  <w:r>
                    <w:rPr>
                      <w:bCs/>
                      <w:sz w:val="21"/>
                      <w:szCs w:val="21"/>
                    </w:rPr>
                    <w:t>方位</w:t>
                  </w:r>
                </w:p>
              </w:tc>
              <w:tc>
                <w:tcPr>
                  <w:tcW w:w="1864" w:type="pct"/>
                  <w:vAlign w:val="center"/>
                </w:tcPr>
                <w:p w14:paraId="2A874EE8">
                  <w:pPr>
                    <w:spacing w:line="360" w:lineRule="exact"/>
                    <w:jc w:val="center"/>
                    <w:rPr>
                      <w:bCs/>
                      <w:sz w:val="21"/>
                      <w:szCs w:val="21"/>
                    </w:rPr>
                  </w:pPr>
                  <w:r>
                    <w:rPr>
                      <w:bCs/>
                      <w:caps/>
                      <w:sz w:val="21"/>
                      <w:szCs w:val="21"/>
                    </w:rPr>
                    <w:t>位置</w:t>
                  </w:r>
                </w:p>
              </w:tc>
              <w:tc>
                <w:tcPr>
                  <w:tcW w:w="914" w:type="pct"/>
                  <w:vAlign w:val="center"/>
                </w:tcPr>
                <w:p w14:paraId="23EADA32">
                  <w:pPr>
                    <w:spacing w:line="360" w:lineRule="exact"/>
                    <w:jc w:val="center"/>
                    <w:rPr>
                      <w:bCs/>
                      <w:sz w:val="21"/>
                      <w:szCs w:val="21"/>
                    </w:rPr>
                  </w:pPr>
                  <w:r>
                    <w:rPr>
                      <w:bCs/>
                      <w:spacing w:val="-6"/>
                      <w:sz w:val="21"/>
                      <w:szCs w:val="21"/>
                    </w:rPr>
                    <w:t>距离</w:t>
                  </w:r>
                  <w:r>
                    <w:rPr>
                      <w:rFonts w:hint="eastAsia"/>
                      <w:bCs/>
                      <w:spacing w:val="-6"/>
                      <w:sz w:val="21"/>
                      <w:szCs w:val="21"/>
                      <w:lang w:val="en-US" w:eastAsia="zh-CN"/>
                    </w:rPr>
                    <w:t>本项目所在位置</w:t>
                  </w:r>
                  <w:r>
                    <w:rPr>
                      <w:bCs/>
                      <w:spacing w:val="-6"/>
                      <w:sz w:val="21"/>
                      <w:szCs w:val="21"/>
                    </w:rPr>
                    <w:t>基础边界直线距离</w:t>
                  </w:r>
                  <w:r>
                    <w:rPr>
                      <w:bCs/>
                      <w:spacing w:val="-6"/>
                      <w:sz w:val="21"/>
                      <w:szCs w:val="21"/>
                      <w:vertAlign w:val="superscript"/>
                    </w:rPr>
                    <w:t>*</w:t>
                  </w:r>
                  <w:r>
                    <w:rPr>
                      <w:sz w:val="21"/>
                      <w:szCs w:val="21"/>
                      <w:lang w:bidi="ar"/>
                    </w:rPr>
                    <w:t>（m）</w:t>
                  </w:r>
                </w:p>
              </w:tc>
            </w:tr>
            <w:tr w14:paraId="76BA19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1" w:type="pct"/>
                  <w:vMerge w:val="restart"/>
                  <w:vAlign w:val="center"/>
                </w:tcPr>
                <w:p w14:paraId="327EFE0C">
                  <w:pPr>
                    <w:spacing w:line="360" w:lineRule="exact"/>
                    <w:jc w:val="center"/>
                    <w:rPr>
                      <w:rFonts w:hint="eastAsia" w:eastAsia="宋体"/>
                      <w:bCs/>
                      <w:sz w:val="21"/>
                      <w:szCs w:val="21"/>
                      <w:lang w:eastAsia="zh-CN"/>
                    </w:rPr>
                  </w:pPr>
                  <w:r>
                    <w:rPr>
                      <w:rFonts w:hint="eastAsia"/>
                      <w:bCs/>
                      <w:sz w:val="21"/>
                      <w:szCs w:val="21"/>
                      <w:lang w:eastAsia="zh-CN"/>
                    </w:rPr>
                    <w:t>门诊医技楼</w:t>
                  </w:r>
                </w:p>
              </w:tc>
              <w:tc>
                <w:tcPr>
                  <w:tcW w:w="546" w:type="pct"/>
                  <w:gridSpan w:val="2"/>
                  <w:vAlign w:val="center"/>
                </w:tcPr>
                <w:p w14:paraId="4CE4D20C">
                  <w:pPr>
                    <w:spacing w:line="360" w:lineRule="exact"/>
                    <w:jc w:val="center"/>
                    <w:rPr>
                      <w:bCs/>
                      <w:sz w:val="21"/>
                      <w:szCs w:val="21"/>
                    </w:rPr>
                  </w:pPr>
                  <w:r>
                    <w:rPr>
                      <w:bCs/>
                      <w:sz w:val="21"/>
                      <w:szCs w:val="21"/>
                    </w:rPr>
                    <w:t>工作人员</w:t>
                  </w:r>
                </w:p>
              </w:tc>
              <w:tc>
                <w:tcPr>
                  <w:tcW w:w="630" w:type="pct"/>
                  <w:vAlign w:val="center"/>
                </w:tcPr>
                <w:p w14:paraId="015AFF57">
                  <w:pPr>
                    <w:spacing w:line="360" w:lineRule="exact"/>
                    <w:jc w:val="center"/>
                    <w:rPr>
                      <w:bCs/>
                      <w:sz w:val="21"/>
                      <w:szCs w:val="21"/>
                    </w:rPr>
                  </w:pPr>
                  <w:r>
                    <w:rPr>
                      <w:rFonts w:hint="eastAsia"/>
                      <w:bCs/>
                      <w:sz w:val="21"/>
                      <w:szCs w:val="21"/>
                      <w:lang w:val="en-US" w:eastAsia="zh-CN"/>
                    </w:rPr>
                    <w:t>50</w:t>
                  </w:r>
                  <w:r>
                    <w:rPr>
                      <w:bCs/>
                      <w:sz w:val="21"/>
                      <w:szCs w:val="21"/>
                    </w:rPr>
                    <w:t>人</w:t>
                  </w:r>
                </w:p>
              </w:tc>
              <w:tc>
                <w:tcPr>
                  <w:tcW w:w="804" w:type="pct"/>
                  <w:vAlign w:val="center"/>
                </w:tcPr>
                <w:p w14:paraId="1B024C14">
                  <w:pPr>
                    <w:spacing w:line="360" w:lineRule="exact"/>
                    <w:jc w:val="center"/>
                    <w:rPr>
                      <w:bCs/>
                      <w:sz w:val="21"/>
                      <w:szCs w:val="21"/>
                    </w:rPr>
                  </w:pPr>
                  <w:r>
                    <w:rPr>
                      <w:rFonts w:hint="eastAsia"/>
                      <w:bCs/>
                      <w:sz w:val="21"/>
                      <w:szCs w:val="21"/>
                      <w:lang w:eastAsia="zh-CN"/>
                    </w:rPr>
                    <w:t>门诊医技楼</w:t>
                  </w:r>
                  <w:r>
                    <w:rPr>
                      <w:bCs/>
                      <w:sz w:val="21"/>
                      <w:szCs w:val="21"/>
                    </w:rPr>
                    <w:t>内</w:t>
                  </w:r>
                </w:p>
              </w:tc>
              <w:tc>
                <w:tcPr>
                  <w:tcW w:w="1864" w:type="pct"/>
                  <w:vAlign w:val="center"/>
                </w:tcPr>
                <w:p w14:paraId="422D59D5">
                  <w:pPr>
                    <w:spacing w:line="360" w:lineRule="exact"/>
                    <w:jc w:val="center"/>
                    <w:rPr>
                      <w:bCs/>
                      <w:sz w:val="21"/>
                      <w:szCs w:val="21"/>
                    </w:rPr>
                  </w:pPr>
                  <w:r>
                    <w:rPr>
                      <w:rFonts w:hint="eastAsia"/>
                      <w:bCs/>
                      <w:sz w:val="21"/>
                      <w:szCs w:val="21"/>
                      <w:lang w:eastAsia="zh-CN"/>
                    </w:rPr>
                    <w:t>门诊医技楼</w:t>
                  </w:r>
                  <w:r>
                    <w:rPr>
                      <w:bCs/>
                      <w:sz w:val="21"/>
                      <w:szCs w:val="21"/>
                    </w:rPr>
                    <w:t>内各层工作场所</w:t>
                  </w:r>
                </w:p>
              </w:tc>
              <w:tc>
                <w:tcPr>
                  <w:tcW w:w="914" w:type="pct"/>
                  <w:vAlign w:val="center"/>
                </w:tcPr>
                <w:p w14:paraId="60DC190E">
                  <w:pPr>
                    <w:spacing w:line="360" w:lineRule="exact"/>
                    <w:jc w:val="center"/>
                    <w:rPr>
                      <w:bCs/>
                      <w:sz w:val="21"/>
                      <w:szCs w:val="21"/>
                    </w:rPr>
                  </w:pPr>
                  <w:r>
                    <w:rPr>
                      <w:bCs/>
                      <w:sz w:val="21"/>
                      <w:szCs w:val="21"/>
                    </w:rPr>
                    <w:t>/（内部）</w:t>
                  </w:r>
                </w:p>
              </w:tc>
            </w:tr>
            <w:tr w14:paraId="6EA7CD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1" w:type="pct"/>
                  <w:vMerge w:val="continue"/>
                  <w:vAlign w:val="center"/>
                </w:tcPr>
                <w:p w14:paraId="5C83A19A">
                  <w:pPr>
                    <w:spacing w:line="360" w:lineRule="exact"/>
                    <w:jc w:val="center"/>
                    <w:rPr>
                      <w:bCs/>
                      <w:sz w:val="21"/>
                      <w:szCs w:val="21"/>
                    </w:rPr>
                  </w:pPr>
                </w:p>
              </w:tc>
              <w:tc>
                <w:tcPr>
                  <w:tcW w:w="258" w:type="pct"/>
                  <w:vMerge w:val="restart"/>
                  <w:vAlign w:val="center"/>
                </w:tcPr>
                <w:p w14:paraId="40DB6EAE">
                  <w:pPr>
                    <w:spacing w:line="360" w:lineRule="exact"/>
                    <w:jc w:val="center"/>
                    <w:rPr>
                      <w:bCs/>
                      <w:sz w:val="21"/>
                      <w:szCs w:val="21"/>
                    </w:rPr>
                  </w:pPr>
                  <w:r>
                    <w:rPr>
                      <w:bCs/>
                      <w:sz w:val="21"/>
                      <w:szCs w:val="21"/>
                    </w:rPr>
                    <w:t>周围公众</w:t>
                  </w:r>
                </w:p>
              </w:tc>
              <w:tc>
                <w:tcPr>
                  <w:tcW w:w="288" w:type="pct"/>
                  <w:vMerge w:val="restart"/>
                  <w:vAlign w:val="center"/>
                </w:tcPr>
                <w:p w14:paraId="3D31EBF8">
                  <w:pPr>
                    <w:spacing w:line="360" w:lineRule="exact"/>
                    <w:jc w:val="center"/>
                    <w:rPr>
                      <w:bCs/>
                      <w:sz w:val="21"/>
                      <w:szCs w:val="21"/>
                    </w:rPr>
                  </w:pPr>
                  <w:r>
                    <w:rPr>
                      <w:bCs/>
                      <w:sz w:val="21"/>
                      <w:szCs w:val="21"/>
                    </w:rPr>
                    <w:t>院内</w:t>
                  </w:r>
                </w:p>
              </w:tc>
              <w:tc>
                <w:tcPr>
                  <w:tcW w:w="630" w:type="pct"/>
                  <w:vAlign w:val="center"/>
                </w:tcPr>
                <w:p w14:paraId="3F364C01">
                  <w:pPr>
                    <w:spacing w:line="360" w:lineRule="exact"/>
                    <w:jc w:val="center"/>
                    <w:rPr>
                      <w:bCs/>
                      <w:sz w:val="21"/>
                      <w:szCs w:val="21"/>
                    </w:rPr>
                  </w:pPr>
                  <w:r>
                    <w:rPr>
                      <w:bCs/>
                      <w:sz w:val="21"/>
                      <w:szCs w:val="21"/>
                    </w:rPr>
                    <w:t>约</w:t>
                  </w:r>
                  <w:r>
                    <w:rPr>
                      <w:rFonts w:hint="eastAsia"/>
                      <w:bCs/>
                      <w:sz w:val="21"/>
                      <w:szCs w:val="21"/>
                      <w:lang w:val="en-US" w:eastAsia="zh-CN"/>
                    </w:rPr>
                    <w:t>2</w:t>
                  </w:r>
                  <w:r>
                    <w:rPr>
                      <w:bCs/>
                      <w:sz w:val="21"/>
                      <w:szCs w:val="21"/>
                    </w:rPr>
                    <w:t>00人</w:t>
                  </w:r>
                </w:p>
              </w:tc>
              <w:tc>
                <w:tcPr>
                  <w:tcW w:w="804" w:type="pct"/>
                  <w:vAlign w:val="center"/>
                </w:tcPr>
                <w:p w14:paraId="210EA412">
                  <w:pPr>
                    <w:spacing w:line="360" w:lineRule="exact"/>
                    <w:jc w:val="center"/>
                    <w:rPr>
                      <w:bCs/>
                      <w:sz w:val="21"/>
                      <w:szCs w:val="21"/>
                    </w:rPr>
                  </w:pPr>
                  <w:r>
                    <w:rPr>
                      <w:rFonts w:hint="eastAsia"/>
                      <w:bCs/>
                      <w:sz w:val="21"/>
                      <w:szCs w:val="21"/>
                      <w:lang w:eastAsia="zh-CN"/>
                    </w:rPr>
                    <w:t>门诊医技楼</w:t>
                  </w:r>
                  <w:r>
                    <w:rPr>
                      <w:bCs/>
                      <w:sz w:val="21"/>
                      <w:szCs w:val="21"/>
                    </w:rPr>
                    <w:t>内</w:t>
                  </w:r>
                </w:p>
              </w:tc>
              <w:tc>
                <w:tcPr>
                  <w:tcW w:w="1864" w:type="pct"/>
                  <w:vAlign w:val="center"/>
                </w:tcPr>
                <w:p w14:paraId="49B91AFC">
                  <w:pPr>
                    <w:spacing w:line="360" w:lineRule="exact"/>
                    <w:jc w:val="center"/>
                    <w:rPr>
                      <w:rFonts w:hint="eastAsia" w:eastAsia="宋体"/>
                      <w:bCs/>
                      <w:sz w:val="21"/>
                      <w:szCs w:val="21"/>
                      <w:lang w:val="en-US" w:eastAsia="zh-CN"/>
                    </w:rPr>
                  </w:pPr>
                  <w:r>
                    <w:rPr>
                      <w:rFonts w:hint="eastAsia"/>
                      <w:sz w:val="21"/>
                      <w:szCs w:val="21"/>
                      <w:lang w:val="en-US" w:eastAsia="zh-CN"/>
                    </w:rPr>
                    <w:t>负一层核医学科及四层手术部、内镜中心涉放区域周边诊疗场所、办公区域和</w:t>
                  </w:r>
                  <w:r>
                    <w:rPr>
                      <w:sz w:val="21"/>
                      <w:szCs w:val="21"/>
                    </w:rPr>
                    <w:t>辅助用房</w:t>
                  </w:r>
                  <w:r>
                    <w:rPr>
                      <w:rFonts w:hint="eastAsia"/>
                      <w:sz w:val="21"/>
                      <w:szCs w:val="21"/>
                      <w:lang w:val="en-US" w:eastAsia="zh-CN"/>
                    </w:rPr>
                    <w:t>等</w:t>
                  </w:r>
                </w:p>
              </w:tc>
              <w:tc>
                <w:tcPr>
                  <w:tcW w:w="914" w:type="pct"/>
                  <w:vAlign w:val="center"/>
                </w:tcPr>
                <w:p w14:paraId="5D4D0438">
                  <w:pPr>
                    <w:spacing w:line="360" w:lineRule="exact"/>
                    <w:jc w:val="center"/>
                    <w:rPr>
                      <w:bCs/>
                      <w:sz w:val="21"/>
                      <w:szCs w:val="21"/>
                    </w:rPr>
                  </w:pPr>
                  <w:r>
                    <w:rPr>
                      <w:bCs/>
                      <w:sz w:val="21"/>
                      <w:szCs w:val="21"/>
                    </w:rPr>
                    <w:t>/（内部）</w:t>
                  </w:r>
                </w:p>
              </w:tc>
            </w:tr>
            <w:tr w14:paraId="5D749D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1" w:type="pct"/>
                  <w:vMerge w:val="continue"/>
                  <w:vAlign w:val="center"/>
                </w:tcPr>
                <w:p w14:paraId="369316E5">
                  <w:pPr>
                    <w:spacing w:line="360" w:lineRule="exact"/>
                    <w:jc w:val="center"/>
                    <w:rPr>
                      <w:bCs/>
                      <w:sz w:val="21"/>
                      <w:szCs w:val="21"/>
                    </w:rPr>
                  </w:pPr>
                </w:p>
              </w:tc>
              <w:tc>
                <w:tcPr>
                  <w:tcW w:w="258" w:type="pct"/>
                  <w:vMerge w:val="continue"/>
                  <w:vAlign w:val="center"/>
                </w:tcPr>
                <w:p w14:paraId="43E23252">
                  <w:pPr>
                    <w:spacing w:line="360" w:lineRule="exact"/>
                    <w:jc w:val="center"/>
                    <w:rPr>
                      <w:bCs/>
                      <w:sz w:val="21"/>
                      <w:szCs w:val="21"/>
                    </w:rPr>
                  </w:pPr>
                </w:p>
              </w:tc>
              <w:tc>
                <w:tcPr>
                  <w:tcW w:w="288" w:type="pct"/>
                  <w:vMerge w:val="continue"/>
                  <w:vAlign w:val="center"/>
                </w:tcPr>
                <w:p w14:paraId="57B1598A">
                  <w:pPr>
                    <w:spacing w:line="360" w:lineRule="exact"/>
                    <w:jc w:val="center"/>
                    <w:rPr>
                      <w:bCs/>
                      <w:sz w:val="21"/>
                      <w:szCs w:val="21"/>
                    </w:rPr>
                  </w:pPr>
                </w:p>
              </w:tc>
              <w:tc>
                <w:tcPr>
                  <w:tcW w:w="630" w:type="pct"/>
                  <w:vAlign w:val="center"/>
                </w:tcPr>
                <w:p w14:paraId="49C4F699">
                  <w:pPr>
                    <w:spacing w:line="360" w:lineRule="exact"/>
                    <w:jc w:val="center"/>
                    <w:rPr>
                      <w:bCs/>
                      <w:sz w:val="21"/>
                      <w:szCs w:val="21"/>
                    </w:rPr>
                  </w:pPr>
                  <w:r>
                    <w:rPr>
                      <w:bCs/>
                      <w:sz w:val="21"/>
                      <w:szCs w:val="21"/>
                    </w:rPr>
                    <w:t>约</w:t>
                  </w:r>
                  <w:r>
                    <w:rPr>
                      <w:rFonts w:hint="eastAsia"/>
                      <w:bCs/>
                      <w:sz w:val="21"/>
                      <w:szCs w:val="21"/>
                      <w:lang w:val="en-US" w:eastAsia="zh-CN"/>
                    </w:rPr>
                    <w:t>1</w:t>
                  </w:r>
                  <w:r>
                    <w:rPr>
                      <w:bCs/>
                      <w:sz w:val="21"/>
                      <w:szCs w:val="21"/>
                    </w:rPr>
                    <w:t>00人</w:t>
                  </w:r>
                </w:p>
              </w:tc>
              <w:tc>
                <w:tcPr>
                  <w:tcW w:w="804" w:type="pct"/>
                  <w:vAlign w:val="center"/>
                </w:tcPr>
                <w:p w14:paraId="243521E7">
                  <w:pPr>
                    <w:spacing w:line="360" w:lineRule="exact"/>
                    <w:jc w:val="center"/>
                    <w:rPr>
                      <w:rFonts w:hint="eastAsia" w:eastAsia="宋体"/>
                      <w:bCs/>
                      <w:sz w:val="21"/>
                      <w:szCs w:val="21"/>
                      <w:lang w:eastAsia="zh-CN"/>
                    </w:rPr>
                  </w:pPr>
                  <w:r>
                    <w:rPr>
                      <w:rFonts w:hint="eastAsia"/>
                      <w:bCs/>
                      <w:sz w:val="21"/>
                      <w:szCs w:val="21"/>
                      <w:lang w:val="en-US" w:eastAsia="zh-CN"/>
                    </w:rPr>
                    <w:t>四周</w:t>
                  </w:r>
                </w:p>
              </w:tc>
              <w:tc>
                <w:tcPr>
                  <w:tcW w:w="1864" w:type="pct"/>
                  <w:vAlign w:val="center"/>
                </w:tcPr>
                <w:p w14:paraId="256257FD">
                  <w:pPr>
                    <w:spacing w:line="360" w:lineRule="exact"/>
                    <w:jc w:val="center"/>
                    <w:rPr>
                      <w:rFonts w:hint="default" w:eastAsia="宋体"/>
                      <w:sz w:val="21"/>
                      <w:szCs w:val="21"/>
                      <w:lang w:val="en-US" w:eastAsia="zh-CN"/>
                    </w:rPr>
                  </w:pPr>
                  <w:r>
                    <w:rPr>
                      <w:rFonts w:hint="eastAsia"/>
                      <w:spacing w:val="-6"/>
                      <w:sz w:val="21"/>
                      <w:szCs w:val="21"/>
                      <w:lang w:val="en-US" w:eastAsia="zh-CN"/>
                    </w:rPr>
                    <w:t>院内道路及绿化带</w:t>
                  </w:r>
                </w:p>
              </w:tc>
              <w:tc>
                <w:tcPr>
                  <w:tcW w:w="914" w:type="pct"/>
                  <w:vAlign w:val="center"/>
                </w:tcPr>
                <w:p w14:paraId="48D639CF">
                  <w:pPr>
                    <w:spacing w:line="360" w:lineRule="exact"/>
                    <w:jc w:val="center"/>
                    <w:rPr>
                      <w:rFonts w:hint="default" w:eastAsia="宋体"/>
                      <w:bCs/>
                      <w:sz w:val="21"/>
                      <w:szCs w:val="21"/>
                      <w:lang w:val="en-US" w:eastAsia="zh-CN"/>
                    </w:rPr>
                  </w:pPr>
                  <w:r>
                    <w:rPr>
                      <w:bCs/>
                      <w:sz w:val="21"/>
                      <w:szCs w:val="21"/>
                    </w:rPr>
                    <w:t>紧邻~</w:t>
                  </w:r>
                  <w:r>
                    <w:rPr>
                      <w:rFonts w:hint="eastAsia"/>
                      <w:bCs/>
                      <w:sz w:val="21"/>
                      <w:szCs w:val="21"/>
                      <w:lang w:val="en-US" w:eastAsia="zh-CN"/>
                    </w:rPr>
                    <w:t>50</w:t>
                  </w:r>
                </w:p>
              </w:tc>
            </w:tr>
          </w:tbl>
          <w:p w14:paraId="2257AD59">
            <w:pPr>
              <w:spacing w:line="240" w:lineRule="auto"/>
            </w:pPr>
            <w:r>
              <w:rPr>
                <w:rFonts w:eastAsia="黑体"/>
                <w:sz w:val="21"/>
                <w:szCs w:val="21"/>
              </w:rPr>
              <w:t>*注：本项目涉及</w:t>
            </w:r>
            <w:r>
              <w:rPr>
                <w:rFonts w:hint="eastAsia" w:eastAsia="黑体"/>
                <w:sz w:val="21"/>
                <w:szCs w:val="21"/>
                <w:lang w:eastAsia="zh-CN"/>
              </w:rPr>
              <w:t>门诊医技楼</w:t>
            </w:r>
            <w:r>
              <w:rPr>
                <w:rFonts w:hint="eastAsia" w:eastAsia="黑体"/>
                <w:sz w:val="21"/>
                <w:szCs w:val="21"/>
                <w:lang w:val="en-US" w:eastAsia="zh-CN"/>
              </w:rPr>
              <w:t>负一层与四</w:t>
            </w:r>
            <w:r>
              <w:rPr>
                <w:rFonts w:eastAsia="黑体"/>
                <w:sz w:val="21"/>
                <w:szCs w:val="21"/>
              </w:rPr>
              <w:t>层，因各层</w:t>
            </w:r>
            <w:r>
              <w:rPr>
                <w:rFonts w:eastAsia="黑体"/>
                <w:bCs/>
                <w:spacing w:val="-6"/>
                <w:sz w:val="21"/>
                <w:szCs w:val="21"/>
              </w:rPr>
              <w:t>基础边界距离</w:t>
            </w:r>
            <w:r>
              <w:rPr>
                <w:rFonts w:eastAsia="黑体"/>
                <w:bCs/>
                <w:sz w:val="21"/>
                <w:szCs w:val="21"/>
              </w:rPr>
              <w:t>环境保护目标不同，保守取各层中的最近距离，且</w:t>
            </w:r>
            <w:r>
              <w:rPr>
                <w:rFonts w:eastAsia="黑体"/>
                <w:sz w:val="21"/>
                <w:szCs w:val="21"/>
              </w:rPr>
              <w:t>保守按水平距离。</w:t>
            </w:r>
          </w:p>
        </w:tc>
      </w:tr>
      <w:tr w14:paraId="18A5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17333D9B">
            <w:pPr>
              <w:rPr>
                <w:rFonts w:eastAsia="黑体"/>
              </w:rPr>
            </w:pPr>
            <w:bookmarkStart w:id="22" w:name="_Toc15991531"/>
            <w:r>
              <w:rPr>
                <w:rFonts w:eastAsia="黑体"/>
              </w:rPr>
              <w:t>评价标准</w:t>
            </w:r>
            <w:bookmarkEnd w:id="22"/>
          </w:p>
          <w:p w14:paraId="23CF161D">
            <w:pPr>
              <w:rPr>
                <w:rFonts w:eastAsia="黑体"/>
              </w:rPr>
            </w:pPr>
            <w:bookmarkStart w:id="23" w:name="_Toc15991532"/>
            <w:bookmarkStart w:id="24" w:name="_Toc488069498"/>
            <w:bookmarkStart w:id="25" w:name="_Toc488070109"/>
            <w:r>
              <w:rPr>
                <w:rFonts w:eastAsia="黑体"/>
              </w:rPr>
              <w:t>一、环境质量标准</w:t>
            </w:r>
          </w:p>
          <w:p w14:paraId="5A900FDB">
            <w:pPr>
              <w:widowControl/>
              <w:ind w:firstLine="480"/>
            </w:pPr>
            <w:r>
              <w:t>（1）环境空气：执行《环境空气质量标准》（GB3095-2012）中二级标准。</w:t>
            </w:r>
          </w:p>
          <w:p w14:paraId="63BD1CAC">
            <w:pPr>
              <w:widowControl/>
              <w:ind w:firstLine="480"/>
            </w:pPr>
            <w:r>
              <w:t>（2）地表水：执行《地表水环境质量标准》（GB3838-2002）中Ⅲ类标准。</w:t>
            </w:r>
          </w:p>
          <w:p w14:paraId="6901E3B3">
            <w:pPr>
              <w:widowControl/>
              <w:ind w:firstLine="480"/>
            </w:pPr>
            <w:r>
              <w:t>（3）声环境：执行《声环境质量标准》（GB3096-2008）中2类标准。</w:t>
            </w:r>
          </w:p>
          <w:p w14:paraId="0889357A">
            <w:pPr>
              <w:rPr>
                <w:rFonts w:eastAsia="黑体"/>
              </w:rPr>
            </w:pPr>
            <w:r>
              <w:rPr>
                <w:rFonts w:eastAsia="黑体"/>
              </w:rPr>
              <w:t>二、污染物排放标准</w:t>
            </w:r>
          </w:p>
          <w:p w14:paraId="12D54EEF">
            <w:pPr>
              <w:widowControl/>
              <w:ind w:firstLine="480"/>
            </w:pPr>
            <w:r>
              <w:t>（1）废气：执行《大气污染物综合排放标准》（GB16297-1996）二级标准。</w:t>
            </w:r>
          </w:p>
          <w:p w14:paraId="1C41D07D">
            <w:pPr>
              <w:widowControl/>
              <w:ind w:firstLine="480"/>
            </w:pPr>
            <w:r>
              <w:t>（2）废水：执行《医疗机构水污染物排放标准》（GB18466-2005）表2限值。其中放射性废水经衰变池衰变后满足《核医学辐射防护与安全要求》（HJ1188-2021）中总α不大于1Bq/L、总β不大于10Bq/L、碘-131的放射性活度浓度不大于10Bq/L的要求。</w:t>
            </w:r>
          </w:p>
          <w:p w14:paraId="23E7FE97">
            <w:pPr>
              <w:widowControl/>
              <w:ind w:firstLine="480"/>
            </w:pPr>
            <w:r>
              <w:t>（3）噪声：施工期执行《建筑施工场界环境噪声排放标准》（GB12523-2011）相关标准；营运期执行《工业企业厂界环境噪声排放标准》（GB12348-2008）中的2类标准。</w:t>
            </w:r>
          </w:p>
          <w:p w14:paraId="161E9CA8">
            <w:pPr>
              <w:rPr>
                <w:rFonts w:eastAsia="黑体"/>
              </w:rPr>
            </w:pPr>
            <w:r>
              <w:rPr>
                <w:rFonts w:eastAsia="黑体"/>
              </w:rPr>
              <w:t>三、辐射环境评价标准</w:t>
            </w:r>
          </w:p>
          <w:p w14:paraId="2F6C9C8B">
            <w:pPr>
              <w:ind w:firstLine="482"/>
              <w:rPr>
                <w:b/>
              </w:rPr>
            </w:pPr>
            <w:r>
              <w:rPr>
                <w:b/>
              </w:rPr>
              <w:t>1、个人剂量约束值</w:t>
            </w:r>
          </w:p>
          <w:p w14:paraId="74BE4D38">
            <w:pPr>
              <w:ind w:firstLine="480"/>
              <w:rPr>
                <w:b/>
              </w:rPr>
            </w:pPr>
            <w:r>
              <w:rPr>
                <w:rFonts w:eastAsia="黑体"/>
              </w:rPr>
              <w:t>（1）</w:t>
            </w:r>
            <w:r>
              <w:t>《电离辐射防护与辐射源安全基本标准》（GB18871-2002）</w:t>
            </w:r>
          </w:p>
          <w:p w14:paraId="43A55D8C">
            <w:pPr>
              <w:widowControl/>
              <w:ind w:firstLine="480"/>
            </w:pPr>
            <w:r>
              <w:t>根据第B1.1.1条的规定，应对任何工作人员的职业照射水平进行控制，使之不超过由审管部门决定的连续5年的年平均有效剂量（但不可作任何追溯平均）20mSv。</w:t>
            </w:r>
          </w:p>
          <w:p w14:paraId="3A02959B">
            <w:pPr>
              <w:ind w:firstLine="480"/>
              <w:rPr>
                <w:bCs/>
              </w:rPr>
            </w:pPr>
            <w:r>
              <w:t>根据第B1.2.1条的规定，实践使公众中有关关键人群组的成员所受到的平均剂量估计值不应超过年有效剂量1mSv。</w:t>
            </w:r>
          </w:p>
          <w:p w14:paraId="10323BAB">
            <w:pPr>
              <w:ind w:firstLine="480"/>
              <w:rPr>
                <w:bCs/>
              </w:rPr>
            </w:pPr>
            <w:r>
              <w:rPr>
                <w:bCs/>
              </w:rPr>
              <w:t>（2）</w:t>
            </w:r>
            <w:r>
              <w:t>《核医学辐射防护与安全要求》（HJ1188-2021）</w:t>
            </w:r>
          </w:p>
          <w:p w14:paraId="7227D939">
            <w:pPr>
              <w:widowControl/>
              <w:ind w:firstLine="480"/>
            </w:pPr>
            <w:r>
              <w:t>一般情况下，职业照射的剂量约束值不超过5mSv/a；公众照射的剂量约束值不超过0.1mSv/a。</w:t>
            </w:r>
          </w:p>
          <w:p w14:paraId="7DC55232">
            <w:pPr>
              <w:widowControl/>
              <w:ind w:firstLine="480"/>
            </w:pPr>
            <w:r>
              <w:rPr>
                <w:bCs/>
              </w:rPr>
              <w:t>综上，</w:t>
            </w:r>
            <w:r>
              <w:t>结合实际情况，考虑建设单位已有辐射源项的条件下，确定本项目核医学科职业人员和公众的剂量约束限值如下：</w:t>
            </w:r>
          </w:p>
          <w:p w14:paraId="15EF36FC">
            <w:pPr>
              <w:widowControl/>
              <w:ind w:firstLine="480"/>
            </w:pPr>
            <w:r>
              <w:t>◇职业照射个人总受照剂量约束限值取5mSv/a；</w:t>
            </w:r>
          </w:p>
          <w:p w14:paraId="151D2DE7">
            <w:pPr>
              <w:ind w:firstLine="480"/>
              <w:rPr>
                <w:bCs/>
              </w:rPr>
            </w:pPr>
            <w:r>
              <w:t>◇公众照射个人总受照剂量约束限值取0.1mSv/a。</w:t>
            </w:r>
          </w:p>
          <w:p w14:paraId="1B76ADEB">
            <w:pPr>
              <w:ind w:firstLine="482"/>
              <w:rPr>
                <w:b/>
              </w:rPr>
            </w:pPr>
            <w:r>
              <w:rPr>
                <w:b/>
              </w:rPr>
              <w:t>2、放射性表面污染控制水平</w:t>
            </w:r>
          </w:p>
          <w:p w14:paraId="32FAD049">
            <w:pPr>
              <w:widowControl/>
              <w:ind w:firstLine="480"/>
            </w:pPr>
            <w:r>
              <w:t>根据《电离辐射防护与辐射源安全基本标准》（GB18871-2002）表B11工作场所的放射性表面污染的控制水平见表7-2。</w:t>
            </w:r>
          </w:p>
          <w:p w14:paraId="796B987F">
            <w:pPr>
              <w:spacing w:before="120" w:beforeLines="50" w:line="240" w:lineRule="auto"/>
              <w:jc w:val="center"/>
              <w:rPr>
                <w:rFonts w:eastAsia="黑体"/>
                <w:sz w:val="21"/>
                <w:szCs w:val="21"/>
              </w:rPr>
            </w:pPr>
            <w:r>
              <w:rPr>
                <w:rFonts w:eastAsia="黑体"/>
                <w:sz w:val="21"/>
                <w:szCs w:val="21"/>
              </w:rPr>
              <w:t>表7-2 工作场所的放射性表面污染控制水平</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1455"/>
              <w:gridCol w:w="3416"/>
              <w:gridCol w:w="1248"/>
              <w:gridCol w:w="1198"/>
              <w:gridCol w:w="1516"/>
            </w:tblGrid>
            <w:tr w14:paraId="32E2C0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2757" w:type="pct"/>
                  <w:gridSpan w:val="2"/>
                  <w:vMerge w:val="restart"/>
                  <w:vAlign w:val="center"/>
                </w:tcPr>
                <w:p w14:paraId="2FC6291D">
                  <w:pPr>
                    <w:spacing w:line="240" w:lineRule="auto"/>
                    <w:jc w:val="center"/>
                    <w:rPr>
                      <w:bCs/>
                      <w:caps/>
                      <w:sz w:val="21"/>
                      <w:szCs w:val="21"/>
                    </w:rPr>
                  </w:pPr>
                  <w:r>
                    <w:rPr>
                      <w:bCs/>
                      <w:sz w:val="21"/>
                      <w:szCs w:val="21"/>
                    </w:rPr>
                    <w:t>表面类型</w:t>
                  </w:r>
                </w:p>
              </w:tc>
              <w:tc>
                <w:tcPr>
                  <w:tcW w:w="1384" w:type="pct"/>
                  <w:gridSpan w:val="2"/>
                  <w:vAlign w:val="center"/>
                </w:tcPr>
                <w:p w14:paraId="60240371">
                  <w:pPr>
                    <w:spacing w:line="240" w:lineRule="auto"/>
                    <w:jc w:val="center"/>
                    <w:rPr>
                      <w:bCs/>
                      <w:caps/>
                      <w:sz w:val="21"/>
                      <w:szCs w:val="21"/>
                    </w:rPr>
                  </w:pPr>
                  <w:r>
                    <w:rPr>
                      <w:bCs/>
                      <w:sz w:val="21"/>
                      <w:szCs w:val="21"/>
                    </w:rPr>
                    <w:t>α</w:t>
                  </w:r>
                  <w:r>
                    <w:rPr>
                      <w:bCs/>
                      <w:caps/>
                      <w:sz w:val="21"/>
                      <w:szCs w:val="21"/>
                    </w:rPr>
                    <w:t>放射性物质（</w:t>
                  </w:r>
                  <w:r>
                    <w:rPr>
                      <w:rFonts w:eastAsia="黑体"/>
                      <w:bCs/>
                      <w:sz w:val="21"/>
                      <w:szCs w:val="21"/>
                    </w:rPr>
                    <w:t>Bq/cm</w:t>
                  </w:r>
                  <w:r>
                    <w:rPr>
                      <w:rFonts w:eastAsia="黑体"/>
                      <w:bCs/>
                      <w:sz w:val="21"/>
                      <w:szCs w:val="21"/>
                      <w:vertAlign w:val="superscript"/>
                    </w:rPr>
                    <w:t>2</w:t>
                  </w:r>
                  <w:r>
                    <w:rPr>
                      <w:bCs/>
                      <w:caps/>
                      <w:sz w:val="21"/>
                      <w:szCs w:val="21"/>
                    </w:rPr>
                    <w:t>）</w:t>
                  </w:r>
                </w:p>
              </w:tc>
              <w:tc>
                <w:tcPr>
                  <w:tcW w:w="858" w:type="pct"/>
                  <w:vMerge w:val="restart"/>
                  <w:vAlign w:val="center"/>
                </w:tcPr>
                <w:p w14:paraId="60A4F1F2">
                  <w:pPr>
                    <w:spacing w:line="240" w:lineRule="auto"/>
                    <w:jc w:val="center"/>
                    <w:rPr>
                      <w:bCs/>
                      <w:caps/>
                      <w:sz w:val="21"/>
                      <w:szCs w:val="21"/>
                    </w:rPr>
                  </w:pPr>
                  <w:r>
                    <w:rPr>
                      <w:bCs/>
                      <w:sz w:val="21"/>
                      <w:szCs w:val="21"/>
                    </w:rPr>
                    <w:t>β</w:t>
                  </w:r>
                  <w:r>
                    <w:rPr>
                      <w:bCs/>
                      <w:caps/>
                      <w:sz w:val="21"/>
                      <w:szCs w:val="21"/>
                    </w:rPr>
                    <w:t>放射性物质（</w:t>
                  </w:r>
                  <w:r>
                    <w:rPr>
                      <w:rFonts w:eastAsia="黑体"/>
                      <w:bCs/>
                      <w:sz w:val="21"/>
                      <w:szCs w:val="21"/>
                    </w:rPr>
                    <w:t>Bq/cm</w:t>
                  </w:r>
                  <w:r>
                    <w:rPr>
                      <w:rFonts w:eastAsia="黑体"/>
                      <w:bCs/>
                      <w:sz w:val="21"/>
                      <w:szCs w:val="21"/>
                      <w:vertAlign w:val="superscript"/>
                    </w:rPr>
                    <w:t>2</w:t>
                  </w:r>
                  <w:r>
                    <w:rPr>
                      <w:bCs/>
                      <w:caps/>
                      <w:sz w:val="21"/>
                      <w:szCs w:val="21"/>
                    </w:rPr>
                    <w:t>）</w:t>
                  </w:r>
                </w:p>
              </w:tc>
            </w:tr>
            <w:tr w14:paraId="71D30A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13" w:hRule="atLeast"/>
                <w:jc w:val="center"/>
              </w:trPr>
              <w:tc>
                <w:tcPr>
                  <w:tcW w:w="2757" w:type="pct"/>
                  <w:gridSpan w:val="2"/>
                  <w:vMerge w:val="continue"/>
                  <w:vAlign w:val="center"/>
                </w:tcPr>
                <w:p w14:paraId="3FF95A8A">
                  <w:pPr>
                    <w:spacing w:line="240" w:lineRule="auto"/>
                    <w:jc w:val="center"/>
                    <w:rPr>
                      <w:bCs/>
                      <w:sz w:val="21"/>
                      <w:szCs w:val="21"/>
                    </w:rPr>
                  </w:pPr>
                </w:p>
              </w:tc>
              <w:tc>
                <w:tcPr>
                  <w:tcW w:w="706" w:type="pct"/>
                  <w:vAlign w:val="center"/>
                </w:tcPr>
                <w:p w14:paraId="5C133BEB">
                  <w:pPr>
                    <w:spacing w:line="240" w:lineRule="auto"/>
                    <w:jc w:val="center"/>
                    <w:rPr>
                      <w:bCs/>
                      <w:sz w:val="21"/>
                      <w:szCs w:val="21"/>
                    </w:rPr>
                  </w:pPr>
                  <w:r>
                    <w:rPr>
                      <w:bCs/>
                      <w:sz w:val="21"/>
                      <w:szCs w:val="21"/>
                    </w:rPr>
                    <w:t>极毒性</w:t>
                  </w:r>
                </w:p>
              </w:tc>
              <w:tc>
                <w:tcPr>
                  <w:tcW w:w="677" w:type="pct"/>
                  <w:vAlign w:val="center"/>
                </w:tcPr>
                <w:p w14:paraId="68EE93C4">
                  <w:pPr>
                    <w:spacing w:line="240" w:lineRule="auto"/>
                    <w:jc w:val="center"/>
                    <w:rPr>
                      <w:bCs/>
                      <w:sz w:val="21"/>
                      <w:szCs w:val="21"/>
                    </w:rPr>
                  </w:pPr>
                  <w:r>
                    <w:rPr>
                      <w:bCs/>
                      <w:sz w:val="21"/>
                      <w:szCs w:val="21"/>
                    </w:rPr>
                    <w:t>其他</w:t>
                  </w:r>
                </w:p>
              </w:tc>
              <w:tc>
                <w:tcPr>
                  <w:tcW w:w="858" w:type="pct"/>
                  <w:vMerge w:val="continue"/>
                  <w:vAlign w:val="center"/>
                </w:tcPr>
                <w:p w14:paraId="23A7A789">
                  <w:pPr>
                    <w:spacing w:line="240" w:lineRule="auto"/>
                    <w:jc w:val="center"/>
                    <w:rPr>
                      <w:bCs/>
                      <w:sz w:val="21"/>
                      <w:szCs w:val="21"/>
                    </w:rPr>
                  </w:pPr>
                </w:p>
              </w:tc>
            </w:tr>
            <w:tr w14:paraId="225416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824" w:type="pct"/>
                  <w:vMerge w:val="restart"/>
                  <w:vAlign w:val="center"/>
                </w:tcPr>
                <w:p w14:paraId="484FB194">
                  <w:pPr>
                    <w:spacing w:line="240" w:lineRule="auto"/>
                    <w:jc w:val="center"/>
                    <w:rPr>
                      <w:bCs/>
                      <w:sz w:val="21"/>
                      <w:szCs w:val="21"/>
                    </w:rPr>
                  </w:pPr>
                  <w:r>
                    <w:rPr>
                      <w:bCs/>
                      <w:sz w:val="21"/>
                      <w:szCs w:val="21"/>
                    </w:rPr>
                    <w:t>工作台、设备、墙壁、地面</w:t>
                  </w:r>
                </w:p>
              </w:tc>
              <w:tc>
                <w:tcPr>
                  <w:tcW w:w="1933" w:type="pct"/>
                  <w:vAlign w:val="center"/>
                </w:tcPr>
                <w:p w14:paraId="345C482B">
                  <w:pPr>
                    <w:spacing w:line="240" w:lineRule="auto"/>
                    <w:jc w:val="center"/>
                    <w:rPr>
                      <w:bCs/>
                      <w:sz w:val="21"/>
                      <w:szCs w:val="21"/>
                    </w:rPr>
                  </w:pPr>
                  <w:r>
                    <w:rPr>
                      <w:bCs/>
                      <w:sz w:val="21"/>
                      <w:szCs w:val="21"/>
                    </w:rPr>
                    <w:t>控制区（该区内的高污染子区除外）</w:t>
                  </w:r>
                </w:p>
              </w:tc>
              <w:tc>
                <w:tcPr>
                  <w:tcW w:w="706" w:type="pct"/>
                  <w:vAlign w:val="center"/>
                </w:tcPr>
                <w:p w14:paraId="53496573">
                  <w:pPr>
                    <w:spacing w:line="240" w:lineRule="auto"/>
                    <w:jc w:val="center"/>
                    <w:rPr>
                      <w:bCs/>
                      <w:sz w:val="21"/>
                      <w:szCs w:val="21"/>
                    </w:rPr>
                  </w:pPr>
                  <w:r>
                    <w:rPr>
                      <w:bCs/>
                      <w:sz w:val="21"/>
                      <w:szCs w:val="21"/>
                    </w:rPr>
                    <w:t>4</w:t>
                  </w:r>
                </w:p>
              </w:tc>
              <w:tc>
                <w:tcPr>
                  <w:tcW w:w="677" w:type="pct"/>
                  <w:vAlign w:val="center"/>
                </w:tcPr>
                <w:p w14:paraId="41C5BFB9">
                  <w:pPr>
                    <w:spacing w:line="240" w:lineRule="auto"/>
                    <w:jc w:val="center"/>
                    <w:rPr>
                      <w:bCs/>
                      <w:sz w:val="21"/>
                      <w:szCs w:val="21"/>
                    </w:rPr>
                  </w:pPr>
                  <w:r>
                    <w:rPr>
                      <w:bCs/>
                      <w:sz w:val="21"/>
                      <w:szCs w:val="21"/>
                    </w:rPr>
                    <w:t>40</w:t>
                  </w:r>
                </w:p>
              </w:tc>
              <w:tc>
                <w:tcPr>
                  <w:tcW w:w="858" w:type="pct"/>
                  <w:vAlign w:val="center"/>
                </w:tcPr>
                <w:p w14:paraId="5A58F8F8">
                  <w:pPr>
                    <w:spacing w:line="240" w:lineRule="auto"/>
                    <w:jc w:val="center"/>
                    <w:rPr>
                      <w:bCs/>
                      <w:sz w:val="21"/>
                      <w:szCs w:val="21"/>
                    </w:rPr>
                  </w:pPr>
                  <w:r>
                    <w:rPr>
                      <w:bCs/>
                      <w:sz w:val="21"/>
                      <w:szCs w:val="21"/>
                    </w:rPr>
                    <w:t>40</w:t>
                  </w:r>
                </w:p>
              </w:tc>
            </w:tr>
            <w:tr w14:paraId="751A3C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824" w:type="pct"/>
                  <w:vMerge w:val="continue"/>
                  <w:vAlign w:val="center"/>
                </w:tcPr>
                <w:p w14:paraId="0F02BA09">
                  <w:pPr>
                    <w:spacing w:line="240" w:lineRule="auto"/>
                    <w:jc w:val="center"/>
                    <w:rPr>
                      <w:bCs/>
                      <w:sz w:val="21"/>
                      <w:szCs w:val="21"/>
                    </w:rPr>
                  </w:pPr>
                </w:p>
              </w:tc>
              <w:tc>
                <w:tcPr>
                  <w:tcW w:w="1933" w:type="pct"/>
                  <w:vAlign w:val="center"/>
                </w:tcPr>
                <w:p w14:paraId="76A7A1BD">
                  <w:pPr>
                    <w:spacing w:line="240" w:lineRule="auto"/>
                    <w:jc w:val="center"/>
                    <w:rPr>
                      <w:bCs/>
                      <w:sz w:val="21"/>
                      <w:szCs w:val="21"/>
                    </w:rPr>
                  </w:pPr>
                  <w:r>
                    <w:rPr>
                      <w:bCs/>
                      <w:sz w:val="21"/>
                      <w:szCs w:val="21"/>
                    </w:rPr>
                    <w:t>监督区</w:t>
                  </w:r>
                </w:p>
              </w:tc>
              <w:tc>
                <w:tcPr>
                  <w:tcW w:w="706" w:type="pct"/>
                  <w:vAlign w:val="center"/>
                </w:tcPr>
                <w:p w14:paraId="17F4D1E3">
                  <w:pPr>
                    <w:spacing w:line="240" w:lineRule="auto"/>
                    <w:jc w:val="center"/>
                    <w:rPr>
                      <w:bCs/>
                      <w:sz w:val="21"/>
                      <w:szCs w:val="21"/>
                    </w:rPr>
                  </w:pPr>
                  <w:r>
                    <w:rPr>
                      <w:bCs/>
                      <w:sz w:val="21"/>
                      <w:szCs w:val="21"/>
                    </w:rPr>
                    <w:t>0.4</w:t>
                  </w:r>
                </w:p>
              </w:tc>
              <w:tc>
                <w:tcPr>
                  <w:tcW w:w="677" w:type="pct"/>
                  <w:vAlign w:val="center"/>
                </w:tcPr>
                <w:p w14:paraId="2624BF9E">
                  <w:pPr>
                    <w:spacing w:line="240" w:lineRule="auto"/>
                    <w:jc w:val="center"/>
                    <w:rPr>
                      <w:bCs/>
                      <w:sz w:val="21"/>
                      <w:szCs w:val="21"/>
                    </w:rPr>
                  </w:pPr>
                  <w:r>
                    <w:rPr>
                      <w:bCs/>
                      <w:sz w:val="21"/>
                      <w:szCs w:val="21"/>
                    </w:rPr>
                    <w:t>4</w:t>
                  </w:r>
                </w:p>
              </w:tc>
              <w:tc>
                <w:tcPr>
                  <w:tcW w:w="858" w:type="pct"/>
                  <w:vAlign w:val="center"/>
                </w:tcPr>
                <w:p w14:paraId="6AD7D52E">
                  <w:pPr>
                    <w:spacing w:line="240" w:lineRule="auto"/>
                    <w:jc w:val="center"/>
                    <w:rPr>
                      <w:bCs/>
                      <w:sz w:val="21"/>
                      <w:szCs w:val="21"/>
                    </w:rPr>
                  </w:pPr>
                  <w:r>
                    <w:rPr>
                      <w:bCs/>
                      <w:sz w:val="21"/>
                      <w:szCs w:val="21"/>
                    </w:rPr>
                    <w:t>4</w:t>
                  </w:r>
                </w:p>
              </w:tc>
            </w:tr>
            <w:tr w14:paraId="0D4462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362" w:hRule="atLeast"/>
                <w:jc w:val="center"/>
              </w:trPr>
              <w:tc>
                <w:tcPr>
                  <w:tcW w:w="824" w:type="pct"/>
                  <w:vMerge w:val="restart"/>
                  <w:vAlign w:val="center"/>
                </w:tcPr>
                <w:p w14:paraId="0A834492">
                  <w:pPr>
                    <w:spacing w:line="240" w:lineRule="auto"/>
                    <w:jc w:val="center"/>
                    <w:rPr>
                      <w:bCs/>
                      <w:sz w:val="21"/>
                      <w:szCs w:val="21"/>
                    </w:rPr>
                  </w:pPr>
                  <w:r>
                    <w:rPr>
                      <w:bCs/>
                      <w:sz w:val="21"/>
                      <w:szCs w:val="21"/>
                    </w:rPr>
                    <w:t>工作服、手套、工作鞋</w:t>
                  </w:r>
                </w:p>
              </w:tc>
              <w:tc>
                <w:tcPr>
                  <w:tcW w:w="1933" w:type="pct"/>
                  <w:vAlign w:val="center"/>
                </w:tcPr>
                <w:p w14:paraId="68EA4DC2">
                  <w:pPr>
                    <w:spacing w:line="240" w:lineRule="auto"/>
                    <w:jc w:val="center"/>
                    <w:rPr>
                      <w:bCs/>
                      <w:sz w:val="21"/>
                      <w:szCs w:val="21"/>
                    </w:rPr>
                  </w:pPr>
                  <w:r>
                    <w:rPr>
                      <w:bCs/>
                      <w:sz w:val="21"/>
                      <w:szCs w:val="21"/>
                    </w:rPr>
                    <w:t>控制区</w:t>
                  </w:r>
                </w:p>
              </w:tc>
              <w:tc>
                <w:tcPr>
                  <w:tcW w:w="706" w:type="pct"/>
                  <w:vMerge w:val="restart"/>
                  <w:vAlign w:val="center"/>
                </w:tcPr>
                <w:p w14:paraId="7FB5F892">
                  <w:pPr>
                    <w:spacing w:line="240" w:lineRule="auto"/>
                    <w:jc w:val="center"/>
                    <w:rPr>
                      <w:bCs/>
                      <w:sz w:val="21"/>
                      <w:szCs w:val="21"/>
                    </w:rPr>
                  </w:pPr>
                  <w:r>
                    <w:rPr>
                      <w:bCs/>
                      <w:sz w:val="21"/>
                      <w:szCs w:val="21"/>
                    </w:rPr>
                    <w:t>0.4</w:t>
                  </w:r>
                </w:p>
              </w:tc>
              <w:tc>
                <w:tcPr>
                  <w:tcW w:w="677" w:type="pct"/>
                  <w:vMerge w:val="restart"/>
                  <w:vAlign w:val="center"/>
                </w:tcPr>
                <w:p w14:paraId="030DE4DD">
                  <w:pPr>
                    <w:spacing w:line="240" w:lineRule="auto"/>
                    <w:jc w:val="center"/>
                    <w:rPr>
                      <w:bCs/>
                      <w:sz w:val="21"/>
                      <w:szCs w:val="21"/>
                    </w:rPr>
                  </w:pPr>
                  <w:r>
                    <w:rPr>
                      <w:bCs/>
                      <w:sz w:val="21"/>
                      <w:szCs w:val="21"/>
                    </w:rPr>
                    <w:t>0.4</w:t>
                  </w:r>
                </w:p>
              </w:tc>
              <w:tc>
                <w:tcPr>
                  <w:tcW w:w="858" w:type="pct"/>
                  <w:vMerge w:val="restart"/>
                  <w:vAlign w:val="center"/>
                </w:tcPr>
                <w:p w14:paraId="4711B472">
                  <w:pPr>
                    <w:spacing w:line="240" w:lineRule="auto"/>
                    <w:jc w:val="center"/>
                    <w:rPr>
                      <w:bCs/>
                      <w:sz w:val="21"/>
                      <w:szCs w:val="21"/>
                    </w:rPr>
                  </w:pPr>
                  <w:r>
                    <w:rPr>
                      <w:bCs/>
                      <w:sz w:val="21"/>
                      <w:szCs w:val="21"/>
                    </w:rPr>
                    <w:t>4</w:t>
                  </w:r>
                </w:p>
              </w:tc>
            </w:tr>
            <w:tr w14:paraId="07AF74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824" w:type="pct"/>
                  <w:vMerge w:val="continue"/>
                  <w:vAlign w:val="center"/>
                </w:tcPr>
                <w:p w14:paraId="1376D38E">
                  <w:pPr>
                    <w:spacing w:line="240" w:lineRule="auto"/>
                    <w:jc w:val="center"/>
                    <w:rPr>
                      <w:bCs/>
                      <w:sz w:val="21"/>
                      <w:szCs w:val="21"/>
                    </w:rPr>
                  </w:pPr>
                </w:p>
              </w:tc>
              <w:tc>
                <w:tcPr>
                  <w:tcW w:w="1933" w:type="pct"/>
                  <w:vAlign w:val="center"/>
                </w:tcPr>
                <w:p w14:paraId="509EB072">
                  <w:pPr>
                    <w:spacing w:line="240" w:lineRule="auto"/>
                    <w:jc w:val="center"/>
                    <w:rPr>
                      <w:bCs/>
                      <w:sz w:val="21"/>
                      <w:szCs w:val="21"/>
                    </w:rPr>
                  </w:pPr>
                  <w:r>
                    <w:rPr>
                      <w:bCs/>
                      <w:sz w:val="21"/>
                      <w:szCs w:val="21"/>
                    </w:rPr>
                    <w:t>监督区</w:t>
                  </w:r>
                </w:p>
              </w:tc>
              <w:tc>
                <w:tcPr>
                  <w:tcW w:w="706" w:type="pct"/>
                  <w:vMerge w:val="continue"/>
                  <w:vAlign w:val="center"/>
                </w:tcPr>
                <w:p w14:paraId="72E3F8A7">
                  <w:pPr>
                    <w:spacing w:line="240" w:lineRule="auto"/>
                    <w:jc w:val="center"/>
                    <w:rPr>
                      <w:bCs/>
                      <w:sz w:val="21"/>
                      <w:szCs w:val="21"/>
                    </w:rPr>
                  </w:pPr>
                </w:p>
              </w:tc>
              <w:tc>
                <w:tcPr>
                  <w:tcW w:w="677" w:type="pct"/>
                  <w:vMerge w:val="continue"/>
                  <w:vAlign w:val="center"/>
                </w:tcPr>
                <w:p w14:paraId="2EC70672">
                  <w:pPr>
                    <w:spacing w:line="240" w:lineRule="auto"/>
                    <w:jc w:val="center"/>
                    <w:rPr>
                      <w:bCs/>
                      <w:sz w:val="21"/>
                      <w:szCs w:val="21"/>
                    </w:rPr>
                  </w:pPr>
                </w:p>
              </w:tc>
              <w:tc>
                <w:tcPr>
                  <w:tcW w:w="858" w:type="pct"/>
                  <w:vMerge w:val="continue"/>
                  <w:vAlign w:val="center"/>
                </w:tcPr>
                <w:p w14:paraId="244F0CEC">
                  <w:pPr>
                    <w:spacing w:line="240" w:lineRule="auto"/>
                    <w:jc w:val="center"/>
                    <w:rPr>
                      <w:bCs/>
                      <w:sz w:val="21"/>
                      <w:szCs w:val="21"/>
                    </w:rPr>
                  </w:pPr>
                </w:p>
              </w:tc>
            </w:tr>
            <w:tr w14:paraId="0AF7E5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2757" w:type="pct"/>
                  <w:gridSpan w:val="2"/>
                  <w:vAlign w:val="center"/>
                </w:tcPr>
                <w:p w14:paraId="711455BE">
                  <w:pPr>
                    <w:spacing w:line="240" w:lineRule="auto"/>
                    <w:jc w:val="center"/>
                    <w:rPr>
                      <w:bCs/>
                      <w:sz w:val="21"/>
                      <w:szCs w:val="21"/>
                    </w:rPr>
                  </w:pPr>
                  <w:r>
                    <w:rPr>
                      <w:bCs/>
                      <w:sz w:val="21"/>
                      <w:szCs w:val="21"/>
                    </w:rPr>
                    <w:t>手、皮肤、内衣、工作袜</w:t>
                  </w:r>
                </w:p>
              </w:tc>
              <w:tc>
                <w:tcPr>
                  <w:tcW w:w="706" w:type="pct"/>
                  <w:vAlign w:val="center"/>
                </w:tcPr>
                <w:p w14:paraId="342A49AB">
                  <w:pPr>
                    <w:spacing w:line="240" w:lineRule="auto"/>
                    <w:jc w:val="center"/>
                    <w:rPr>
                      <w:bCs/>
                      <w:sz w:val="21"/>
                      <w:szCs w:val="21"/>
                    </w:rPr>
                  </w:pPr>
                  <w:r>
                    <w:rPr>
                      <w:bCs/>
                      <w:sz w:val="21"/>
                      <w:szCs w:val="21"/>
                    </w:rPr>
                    <w:t>0.04</w:t>
                  </w:r>
                </w:p>
              </w:tc>
              <w:tc>
                <w:tcPr>
                  <w:tcW w:w="677" w:type="pct"/>
                  <w:vAlign w:val="center"/>
                </w:tcPr>
                <w:p w14:paraId="5558F179">
                  <w:pPr>
                    <w:spacing w:line="240" w:lineRule="auto"/>
                    <w:jc w:val="center"/>
                    <w:rPr>
                      <w:bCs/>
                      <w:sz w:val="21"/>
                      <w:szCs w:val="21"/>
                    </w:rPr>
                  </w:pPr>
                  <w:r>
                    <w:rPr>
                      <w:bCs/>
                      <w:sz w:val="21"/>
                      <w:szCs w:val="21"/>
                    </w:rPr>
                    <w:t>0.04</w:t>
                  </w:r>
                </w:p>
              </w:tc>
              <w:tc>
                <w:tcPr>
                  <w:tcW w:w="858" w:type="pct"/>
                  <w:vAlign w:val="center"/>
                </w:tcPr>
                <w:p w14:paraId="50348C51">
                  <w:pPr>
                    <w:spacing w:line="240" w:lineRule="auto"/>
                    <w:jc w:val="center"/>
                    <w:rPr>
                      <w:bCs/>
                      <w:sz w:val="21"/>
                      <w:szCs w:val="21"/>
                    </w:rPr>
                  </w:pPr>
                  <w:r>
                    <w:rPr>
                      <w:bCs/>
                      <w:sz w:val="21"/>
                      <w:szCs w:val="21"/>
                    </w:rPr>
                    <w:t>0.4</w:t>
                  </w:r>
                </w:p>
              </w:tc>
            </w:tr>
          </w:tbl>
          <w:p w14:paraId="633401E8">
            <w:pPr>
              <w:ind w:firstLine="482"/>
              <w:rPr>
                <w:b/>
              </w:rPr>
            </w:pPr>
            <w:r>
              <w:rPr>
                <w:b/>
              </w:rPr>
              <w:t>3、控制剂量率水平</w:t>
            </w:r>
          </w:p>
          <w:p w14:paraId="5D3A011D">
            <w:pPr>
              <w:widowControl/>
              <w:ind w:firstLine="480"/>
              <w:rPr>
                <w:bCs/>
              </w:rPr>
            </w:pPr>
            <w:r>
              <w:rPr>
                <w:bCs/>
              </w:rPr>
              <w:t>（1）根据《放射诊断放射防护要求》（GBZ130-2020）</w:t>
            </w:r>
            <w:r>
              <w:t>第6.3.1条：具有透视功能的X</w:t>
            </w:r>
            <w:r>
              <w:rPr>
                <w:bCs/>
              </w:rPr>
              <w:t>射线设备在透视条件下检测时，周围剂量当量率不大于2.5μSv/h；测量时，X射线设备连续出束时间应大于仪器响应时间。CT机机房外的周围剂量当量率应不大于2.5μSv/h。</w:t>
            </w:r>
            <w:r>
              <w:rPr>
                <w:rFonts w:hint="default" w:ascii="Times New Roman" w:hAnsi="Times New Roman" w:cs="Times New Roman"/>
                <w:bCs/>
                <w:highlight w:val="none"/>
              </w:rPr>
              <w:t>具有短时、高剂量率曝光的摄影程序（如DR、CR、屏片摄影）机房外的周围剂量当量率应不大于25μSv/h，当超过时应进行机房外人员的年有效剂量评估，应不大于0.25mSv</w:t>
            </w:r>
            <w:r>
              <w:rPr>
                <w:rFonts w:hint="eastAsia" w:ascii="Times New Roman" w:hAnsi="Times New Roman" w:cs="Times New Roman"/>
                <w:bCs/>
                <w:highlight w:val="none"/>
                <w:lang w:eastAsia="zh-CN"/>
              </w:rPr>
              <w:t>。</w:t>
            </w:r>
          </w:p>
          <w:p w14:paraId="15499B97">
            <w:pPr>
              <w:widowControl/>
              <w:ind w:firstLine="480"/>
              <w:rPr>
                <w:bCs/>
              </w:rPr>
            </w:pPr>
            <w:r>
              <w:rPr>
                <w:bCs/>
              </w:rPr>
              <w:t>（2）根据《核医学辐射防护与安全要求》（HJ1188-2021）：</w:t>
            </w:r>
          </w:p>
          <w:p w14:paraId="43E2B278">
            <w:pPr>
              <w:widowControl/>
              <w:ind w:firstLine="480"/>
            </w:pPr>
            <w:r>
              <w:rPr>
                <w:bCs/>
              </w:rPr>
              <w:t>①</w:t>
            </w:r>
            <w:r>
              <w:t>距核医学工作场所各控制区内房间防护门、观察窗和墙壁外表面30cm处的周围剂量当量率应小于2.5μSv/h，如屏蔽墙外的房间为人员偶尔居留的设备间等区域，其周围剂量当量率应小于10μSv/h。</w:t>
            </w:r>
          </w:p>
          <w:p w14:paraId="6AE56B6D">
            <w:pPr>
              <w:widowControl/>
              <w:ind w:firstLine="480"/>
            </w:pPr>
            <w:r>
              <w:t>②放射性药物合成和分装的箱体、通风柜、注射窗等设备应设有屏蔽结构，以保证设备外表面30cm处人员操作位的周围剂量当量率小于2.5μSv/h，放射性药物合成和分装箱体非正对人员操作位表面的周围剂量当量率小于25μSv/h。</w:t>
            </w:r>
          </w:p>
          <w:p w14:paraId="7E571986">
            <w:pPr>
              <w:ind w:firstLine="482"/>
              <w:rPr>
                <w:b/>
              </w:rPr>
            </w:pPr>
            <w:r>
              <w:rPr>
                <w:b/>
              </w:rPr>
              <w:t>4、放射性废水</w:t>
            </w:r>
          </w:p>
          <w:p w14:paraId="6E7B1D4B">
            <w:pPr>
              <w:widowControl/>
              <w:ind w:firstLine="480"/>
              <w:rPr>
                <w:bCs/>
              </w:rPr>
            </w:pPr>
            <w:r>
              <w:rPr>
                <w:bCs/>
              </w:rPr>
              <w:t>（1）《核医学辐射防护与安全要求》（HJ1188-2021）</w:t>
            </w:r>
          </w:p>
          <w:p w14:paraId="041FAA94">
            <w:pPr>
              <w:widowControl/>
              <w:ind w:firstLine="480"/>
              <w:rPr>
                <w:bCs/>
              </w:rPr>
            </w:pPr>
            <w:r>
              <w:rPr>
                <w:bCs/>
              </w:rPr>
              <w:t>对于槽式衰变池贮存方式：①所含核素半衰期小于24小时的放射性废液暂存时间超过30天后可直接解控排放；②所含核素半衰期大于24小时的放射性废液暂存时间超过10倍最长半衰期（含碘-131核素的暂存超过180天），按照GB18871中8.6.2规定方式进行排放。放射性废液总排放口总α不大于1Bq/L、总β不大于10Bq/L、碘-131的放射性活度浓度不大于10Bq/L。</w:t>
            </w:r>
          </w:p>
          <w:p w14:paraId="4DDFABA2">
            <w:pPr>
              <w:ind w:firstLine="480"/>
            </w:pPr>
            <w:r>
              <w:t>（2）《关于核医学标准相关条款咨询的复函》（辐射函[2023]20号）</w:t>
            </w:r>
          </w:p>
          <w:p w14:paraId="18C844B7">
            <w:pPr>
              <w:ind w:firstLine="480"/>
            </w:pPr>
            <w:r>
              <w:t>关于槽式衰变池中含碘-131放射性废水排放可按照下列任意一种方式进行排放：①根据《电离辐射防护与辐射源安全基本标准》第8.6.2条规定，经监管部门确认单次排入普通下水道的废水中碘-131活度不超过1ALImin（9E+5Bq），每月排放的废水中碘-131总活度不超过10ALImin（9E+6Bq）。②暂存180天后，衰变池废水可以直接排放。③暂存不满180天但监测结果表明碘-131活度浓度已降至不高于10Bq/L水平，也可直接排放。医院应做好相关排放记录。</w:t>
            </w:r>
          </w:p>
          <w:p w14:paraId="5600D24F">
            <w:pPr>
              <w:ind w:firstLine="482"/>
              <w:rPr>
                <w:b/>
              </w:rPr>
            </w:pPr>
            <w:r>
              <w:rPr>
                <w:b/>
              </w:rPr>
              <w:t>5、放射性废物</w:t>
            </w:r>
          </w:p>
          <w:p w14:paraId="7890F285">
            <w:pPr>
              <w:ind w:firstLine="480"/>
              <w:rPr>
                <w:bCs/>
              </w:rPr>
            </w:pPr>
            <w:r>
              <w:rPr>
                <w:bCs/>
              </w:rPr>
              <w:t>根据《核医学辐射防护与安全要求》（HJ1188-2021），</w:t>
            </w:r>
            <w:r>
              <w:t>固体放射性废物暂存时间满足下列要求的，经监测辐射剂量率满足所处环境本底水平，</w:t>
            </w:r>
            <w:r>
              <w:rPr>
                <w:bCs/>
              </w:rPr>
              <w:t>α</w:t>
            </w:r>
            <w:r>
              <w:t>表面污染小于0.08Bq/cm</w:t>
            </w:r>
            <w:r>
              <w:rPr>
                <w:vertAlign w:val="superscript"/>
              </w:rPr>
              <w:t>2</w:t>
            </w:r>
            <w:r>
              <w:t>、β表面污染小于0.8Bq/cm</w:t>
            </w:r>
            <w:r>
              <w:rPr>
                <w:vertAlign w:val="superscript"/>
              </w:rPr>
              <w:t>2</w:t>
            </w:r>
            <w:r>
              <w:t>的，可对废物清洁解控并作为医疗废物处理</w:t>
            </w:r>
            <w:r>
              <w:rPr>
                <w:bCs/>
              </w:rPr>
              <w:t>：</w:t>
            </w:r>
          </w:p>
          <w:p w14:paraId="6BB4BFA4">
            <w:pPr>
              <w:widowControl/>
              <w:ind w:firstLine="480"/>
              <w:rPr>
                <w:bCs/>
              </w:rPr>
            </w:pPr>
            <w:r>
              <w:rPr>
                <w:bCs/>
              </w:rPr>
              <w:t>①所含核素半衰期小于24小时的放射性固体废物暂存时间超过30天；</w:t>
            </w:r>
          </w:p>
          <w:p w14:paraId="1028E301">
            <w:pPr>
              <w:widowControl/>
              <w:ind w:firstLine="480"/>
              <w:rPr>
                <w:bCs/>
              </w:rPr>
            </w:pPr>
            <w:r>
              <w:rPr>
                <w:bCs/>
              </w:rPr>
              <w:t>②所含核素半衰期大于24小时的放射性固体废物暂存时间超过核素最长半衰期的10倍；</w:t>
            </w:r>
          </w:p>
          <w:p w14:paraId="0B994A8C">
            <w:pPr>
              <w:widowControl/>
              <w:ind w:firstLine="480"/>
              <w:rPr>
                <w:bCs/>
              </w:rPr>
            </w:pPr>
            <w:r>
              <w:rPr>
                <w:bCs/>
              </w:rPr>
              <w:t>③含碘-131核素的放射性固体废物暂存超过180天。</w:t>
            </w:r>
          </w:p>
          <w:p w14:paraId="12CDA4A5">
            <w:pPr>
              <w:widowControl/>
              <w:ind w:firstLine="480"/>
            </w:pPr>
            <w:r>
              <w:t>不能解控的放射性固体废物应该按照放射性废物处理的相关规定予以收集、整备，并送交有资质的单位处理。放射性废物包装体外的表面剂量率应不超过0.1mSv/h，表面污染水平对β和γ发射体以及低毒性α发射体应小于4Bq/cm</w:t>
            </w:r>
            <w:r>
              <w:rPr>
                <w:vertAlign w:val="superscript"/>
              </w:rPr>
              <w:t>2</w:t>
            </w:r>
            <w:r>
              <w:t>、其他α发射体应小于0.4Bq/cm</w:t>
            </w:r>
            <w:r>
              <w:rPr>
                <w:vertAlign w:val="superscript"/>
              </w:rPr>
              <w:t>2</w:t>
            </w:r>
            <w:r>
              <w:t>。</w:t>
            </w:r>
            <w:bookmarkEnd w:id="23"/>
            <w:bookmarkEnd w:id="24"/>
            <w:bookmarkEnd w:id="25"/>
          </w:p>
          <w:p w14:paraId="763201DD">
            <w:pPr>
              <w:keepNext/>
              <w:keepLines/>
              <w:widowControl/>
              <w:ind w:left="480"/>
              <w:outlineLvl w:val="0"/>
              <w:rPr>
                <w:b/>
              </w:rPr>
            </w:pPr>
            <w:bookmarkStart w:id="26" w:name="_Toc194317396"/>
            <w:r>
              <w:rPr>
                <w:b/>
              </w:rPr>
              <w:t>6、其他</w:t>
            </w:r>
            <w:bookmarkEnd w:id="26"/>
          </w:p>
          <w:p w14:paraId="777E76C4">
            <w:pPr>
              <w:ind w:firstLine="480"/>
            </w:pPr>
            <w:r>
              <w:rPr>
                <w:lang w:bidi="ar"/>
              </w:rPr>
              <w:t>（1）</w:t>
            </w:r>
            <w:r>
              <w:rPr>
                <w:bCs/>
                <w:lang w:bidi="ar"/>
              </w:rPr>
              <w:t>根据《核医学辐射防护与安全要求》（HJ1188-2021），</w:t>
            </w:r>
            <w:r>
              <w:rPr>
                <w:lang w:bidi="ar"/>
              </w:rPr>
              <w:t>接受碘-131治疗的患者，应在其体内的放射性活度降至400MBq或距离患者体表1m处的周围剂量当量率不大于</w:t>
            </w:r>
            <w:r>
              <w:rPr>
                <w:bCs/>
                <w:lang w:bidi="ar"/>
              </w:rPr>
              <w:t>25μSv/h方可出院。</w:t>
            </w:r>
          </w:p>
          <w:p w14:paraId="499F243B">
            <w:pPr>
              <w:widowControl/>
              <w:ind w:firstLine="480"/>
              <w:rPr>
                <w:bCs/>
              </w:rPr>
            </w:pPr>
            <w:r>
              <w:t>（2）</w:t>
            </w:r>
            <w:r>
              <w:rPr>
                <w:bCs/>
              </w:rPr>
              <w:t>根据《核医学放射防护要求》（GBZ120-2020）的要求，合成和操作放射性药物所用的通风橱应有专用的排风装置，风速应不小于0.5m/s。</w:t>
            </w:r>
          </w:p>
          <w:p w14:paraId="793DBBFA">
            <w:pPr>
              <w:jc w:val="left"/>
            </w:pPr>
          </w:p>
          <w:p w14:paraId="50617023">
            <w:pPr>
              <w:jc w:val="left"/>
            </w:pPr>
          </w:p>
          <w:p w14:paraId="67B6C7AA">
            <w:pPr>
              <w:pStyle w:val="55"/>
              <w:ind w:firstLine="0"/>
            </w:pPr>
          </w:p>
          <w:p w14:paraId="6A16B97E">
            <w:pPr>
              <w:pStyle w:val="55"/>
              <w:ind w:firstLine="0"/>
            </w:pPr>
          </w:p>
          <w:p w14:paraId="04D716D4">
            <w:pPr>
              <w:pStyle w:val="55"/>
              <w:ind w:firstLine="0"/>
            </w:pPr>
          </w:p>
          <w:p w14:paraId="4A9386C0">
            <w:pPr>
              <w:spacing w:after="120"/>
              <w:rPr>
                <w:sz w:val="21"/>
              </w:rPr>
            </w:pPr>
          </w:p>
        </w:tc>
      </w:tr>
    </w:tbl>
    <w:p w14:paraId="19C95E14">
      <w:pPr>
        <w:keepNext/>
        <w:keepLines/>
        <w:spacing w:line="240" w:lineRule="auto"/>
        <w:outlineLvl w:val="0"/>
        <w:rPr>
          <w:b/>
          <w:bCs/>
          <w:sz w:val="30"/>
          <w:szCs w:val="30"/>
        </w:rPr>
        <w:sectPr>
          <w:pgSz w:w="11907" w:h="16839"/>
          <w:pgMar w:top="1106" w:right="1440" w:bottom="1276" w:left="1440" w:header="851" w:footer="567" w:gutter="0"/>
          <w:pgBorders>
            <w:top w:val="none" w:sz="0" w:space="0"/>
            <w:left w:val="none" w:sz="0" w:space="0"/>
            <w:bottom w:val="none" w:sz="0" w:space="0"/>
            <w:right w:val="none" w:sz="0" w:space="0"/>
          </w:pgBorders>
          <w:cols w:space="720" w:num="1"/>
          <w:docGrid w:linePitch="360" w:charSpace="0"/>
        </w:sectPr>
      </w:pPr>
    </w:p>
    <w:p w14:paraId="5D2AF80F">
      <w:pPr>
        <w:keepNext/>
        <w:keepLines/>
        <w:pageBreakBefore/>
        <w:spacing w:line="240" w:lineRule="auto"/>
        <w:outlineLvl w:val="0"/>
        <w:rPr>
          <w:b/>
          <w:bCs/>
        </w:rPr>
      </w:pPr>
      <w:bookmarkStart w:id="27" w:name="_Toc15991535"/>
      <w:bookmarkStart w:id="28" w:name="_Hlk193916074"/>
      <w:bookmarkStart w:id="29" w:name="_Toc194317397"/>
      <w:r>
        <w:rPr>
          <w:b/>
          <w:bCs/>
          <w:sz w:val="28"/>
          <w:szCs w:val="28"/>
        </w:rPr>
        <w:t>表8：环境质量和辐射现状</w:t>
      </w:r>
      <w:bookmarkEnd w:id="27"/>
      <w:bookmarkEnd w:id="28"/>
      <w:bookmarkEnd w:id="29"/>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7"/>
      </w:tblGrid>
      <w:tr w14:paraId="3F54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6" w:hRule="atLeast"/>
        </w:trPr>
        <w:tc>
          <w:tcPr>
            <w:tcW w:w="5000" w:type="pct"/>
          </w:tcPr>
          <w:p w14:paraId="547B4CA3">
            <w:pPr>
              <w:rPr>
                <w:rFonts w:eastAsia="黑体"/>
                <w:b/>
                <w:bCs/>
              </w:rPr>
            </w:pPr>
            <w:bookmarkStart w:id="30" w:name="_Toc449102831"/>
            <w:bookmarkStart w:id="31" w:name="_Toc15991536"/>
            <w:bookmarkStart w:id="32" w:name="_Hlk193916081"/>
            <w:r>
              <w:rPr>
                <w:rFonts w:eastAsia="黑体"/>
                <w:b/>
                <w:bCs/>
              </w:rPr>
              <w:t>环境质量和辐射现状</w:t>
            </w:r>
            <w:bookmarkEnd w:id="30"/>
            <w:bookmarkEnd w:id="31"/>
          </w:p>
          <w:p w14:paraId="1937E65A">
            <w:pPr>
              <w:rPr>
                <w:rFonts w:eastAsia="黑体"/>
              </w:rPr>
            </w:pPr>
            <w:r>
              <w:rPr>
                <w:rFonts w:eastAsia="黑体"/>
              </w:rPr>
              <w:t>一、</w:t>
            </w:r>
            <w:r>
              <w:rPr>
                <w:rFonts w:eastAsia="黑体"/>
                <w:highlight w:val="none"/>
              </w:rPr>
              <w:t>场所现状</w:t>
            </w:r>
          </w:p>
          <w:p w14:paraId="108CDC12">
            <w:pPr>
              <w:ind w:firstLine="480"/>
            </w:pPr>
            <w:r>
              <w:t>本项目位于</w:t>
            </w:r>
            <w:r>
              <w:rPr>
                <w:rFonts w:hint="eastAsia"/>
              </w:rPr>
              <w:t>四川天府新区万安街道高饭店村、开元村（天津路东段）</w:t>
            </w:r>
            <w:r>
              <w:rPr>
                <w:rFonts w:hint="eastAsia"/>
                <w:bCs/>
                <w:spacing w:val="-6"/>
                <w:lang w:eastAsia="zh-CN"/>
              </w:rPr>
              <w:t>四川天府新区人民医院</w:t>
            </w:r>
            <w:r>
              <w:rPr>
                <w:bCs/>
                <w:highlight w:val="none"/>
              </w:rPr>
              <w:t>内</w:t>
            </w:r>
            <w:r>
              <w:rPr>
                <w:rFonts w:hint="eastAsia"/>
                <w:bCs/>
                <w:highlight w:val="none"/>
                <w:lang w:val="en-US" w:eastAsia="zh-CN"/>
              </w:rPr>
              <w:t>中部</w:t>
            </w:r>
            <w:r>
              <w:t>（项目地理位置见附图1），</w:t>
            </w:r>
            <w:r>
              <w:rPr>
                <w:bCs/>
              </w:rPr>
              <w:t>根据现场踏勘，项目所在地目前为</w:t>
            </w:r>
            <w:r>
              <w:rPr>
                <w:rFonts w:hint="eastAsia"/>
                <w:lang w:val="en-US" w:eastAsia="zh-CN"/>
              </w:rPr>
              <w:t>在</w:t>
            </w:r>
            <w:r>
              <w:rPr>
                <w:rFonts w:hint="eastAsia"/>
                <w:highlight w:val="none"/>
                <w:lang w:val="en-US" w:eastAsia="zh-CN"/>
              </w:rPr>
              <w:t>建施工状态</w:t>
            </w:r>
            <w:r>
              <w:rPr>
                <w:bCs/>
                <w:highlight w:val="none"/>
              </w:rPr>
              <w:t>，医院</w:t>
            </w:r>
            <w:r>
              <w:rPr>
                <w:highlight w:val="none"/>
              </w:rPr>
              <w:t>周</w:t>
            </w:r>
            <w:r>
              <w:t>围主要为道路、绿化等</w:t>
            </w:r>
            <w:r>
              <w:rPr>
                <w:bCs/>
              </w:rPr>
              <w:t>。</w:t>
            </w:r>
            <w:r>
              <w:t>本项目所在地及周围环境现状见图8-1。</w:t>
            </w:r>
          </w:p>
          <w:tbl>
            <w:tblPr>
              <w:tblStyle w:val="57"/>
              <w:tblW w:w="5000" w:type="pct"/>
              <w:tblInd w:w="0" w:type="dxa"/>
              <w:tblLayout w:type="autofit"/>
              <w:tblCellMar>
                <w:top w:w="0" w:type="dxa"/>
                <w:left w:w="108" w:type="dxa"/>
                <w:bottom w:w="0" w:type="dxa"/>
                <w:right w:w="108" w:type="dxa"/>
              </w:tblCellMar>
            </w:tblPr>
            <w:tblGrid>
              <w:gridCol w:w="4535"/>
              <w:gridCol w:w="4266"/>
            </w:tblGrid>
            <w:tr w14:paraId="0FB4535E">
              <w:tblPrEx>
                <w:tblCellMar>
                  <w:top w:w="0" w:type="dxa"/>
                  <w:left w:w="108" w:type="dxa"/>
                  <w:bottom w:w="0" w:type="dxa"/>
                  <w:right w:w="108" w:type="dxa"/>
                </w:tblCellMar>
              </w:tblPrEx>
              <w:tc>
                <w:tcPr>
                  <w:tcW w:w="2500" w:type="pct"/>
                  <w:vAlign w:val="center"/>
                </w:tcPr>
                <w:p w14:paraId="06E35C0F">
                  <w:pPr>
                    <w:spacing w:line="240" w:lineRule="auto"/>
                    <w:contextualSpacing/>
                    <w:jc w:val="center"/>
                    <w:rPr>
                      <w:rFonts w:hint="eastAsia" w:eastAsia="宋体"/>
                      <w:sz w:val="21"/>
                      <w:lang w:eastAsia="zh-CN"/>
                    </w:rPr>
                  </w:pPr>
                  <w:r>
                    <w:rPr>
                      <w:rFonts w:hint="eastAsia" w:eastAsia="宋体"/>
                      <w:sz w:val="21"/>
                      <w:lang w:eastAsia="zh-CN"/>
                    </w:rPr>
                    <w:drawing>
                      <wp:inline distT="0" distB="0" distL="114300" distR="114300">
                        <wp:extent cx="2626995" cy="1769110"/>
                        <wp:effectExtent l="0" t="0" r="0" b="0"/>
                        <wp:docPr id="50" name="图片 50" descr="微信图片_20260826145252_24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微信图片_20260826145252_24_52"/>
                                <pic:cNvPicPr>
                                  <a:picLocks noChangeAspect="1"/>
                                </pic:cNvPicPr>
                              </pic:nvPicPr>
                              <pic:blipFill>
                                <a:blip r:embed="rId10"/>
                                <a:srcRect l="2933" t="5303"/>
                                <a:stretch>
                                  <a:fillRect/>
                                </a:stretch>
                              </pic:blipFill>
                              <pic:spPr>
                                <a:xfrm>
                                  <a:off x="0" y="0"/>
                                  <a:ext cx="2626995" cy="1769110"/>
                                </a:xfrm>
                                <a:prstGeom prst="rect">
                                  <a:avLst/>
                                </a:prstGeom>
                              </pic:spPr>
                            </pic:pic>
                          </a:graphicData>
                        </a:graphic>
                      </wp:inline>
                    </w:drawing>
                  </w:r>
                </w:p>
              </w:tc>
              <w:tc>
                <w:tcPr>
                  <w:tcW w:w="2500" w:type="pct"/>
                  <w:vAlign w:val="center"/>
                </w:tcPr>
                <w:p w14:paraId="5B4F63CB">
                  <w:pPr>
                    <w:spacing w:line="240" w:lineRule="auto"/>
                    <w:contextualSpacing/>
                    <w:jc w:val="center"/>
                    <w:rPr>
                      <w:rFonts w:hint="eastAsia" w:eastAsia="宋体"/>
                      <w:sz w:val="21"/>
                      <w:lang w:eastAsia="zh-CN"/>
                    </w:rPr>
                  </w:pPr>
                  <w:r>
                    <w:rPr>
                      <w:rFonts w:hint="eastAsia" w:eastAsia="宋体"/>
                      <w:sz w:val="21"/>
                      <w:lang w:eastAsia="zh-CN"/>
                    </w:rPr>
                    <w:drawing>
                      <wp:inline distT="0" distB="0" distL="114300" distR="114300">
                        <wp:extent cx="2552700" cy="1635125"/>
                        <wp:effectExtent l="0" t="0" r="0" b="3175"/>
                        <wp:docPr id="51" name="图片 51" descr="2e639c98a4f701bf6d0bb196884eb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2e639c98a4f701bf6d0bb196884eb771"/>
                                <pic:cNvPicPr>
                                  <a:picLocks noChangeAspect="1"/>
                                </pic:cNvPicPr>
                              </pic:nvPicPr>
                              <pic:blipFill>
                                <a:blip r:embed="rId11"/>
                                <a:stretch>
                                  <a:fillRect/>
                                </a:stretch>
                              </pic:blipFill>
                              <pic:spPr>
                                <a:xfrm>
                                  <a:off x="0" y="0"/>
                                  <a:ext cx="2552700" cy="1635125"/>
                                </a:xfrm>
                                <a:prstGeom prst="rect">
                                  <a:avLst/>
                                </a:prstGeom>
                              </pic:spPr>
                            </pic:pic>
                          </a:graphicData>
                        </a:graphic>
                      </wp:inline>
                    </w:drawing>
                  </w:r>
                </w:p>
              </w:tc>
            </w:tr>
            <w:tr w14:paraId="5648D82B">
              <w:tc>
                <w:tcPr>
                  <w:tcW w:w="2500" w:type="pct"/>
                  <w:vAlign w:val="center"/>
                </w:tcPr>
                <w:p w14:paraId="13EEF0DA">
                  <w:pPr>
                    <w:spacing w:line="240" w:lineRule="auto"/>
                    <w:contextualSpacing/>
                    <w:jc w:val="center"/>
                    <w:rPr>
                      <w:rFonts w:hint="default" w:eastAsia="黑体"/>
                      <w:sz w:val="21"/>
                      <w:lang w:val="en-US" w:eastAsia="zh-CN"/>
                    </w:rPr>
                  </w:pPr>
                  <w:r>
                    <w:rPr>
                      <w:rFonts w:hint="eastAsia" w:eastAsia="黑体"/>
                      <w:sz w:val="21"/>
                      <w:szCs w:val="21"/>
                      <w:lang w:val="en-US" w:eastAsia="zh-CN"/>
                    </w:rPr>
                    <w:t>核医学科拟建地</w:t>
                  </w:r>
                </w:p>
              </w:tc>
              <w:tc>
                <w:tcPr>
                  <w:tcW w:w="2500" w:type="pct"/>
                  <w:vAlign w:val="center"/>
                </w:tcPr>
                <w:p w14:paraId="509A9B68">
                  <w:pPr>
                    <w:spacing w:line="240" w:lineRule="auto"/>
                    <w:contextualSpacing/>
                    <w:jc w:val="center"/>
                    <w:rPr>
                      <w:rFonts w:hint="default" w:eastAsia="黑体"/>
                      <w:sz w:val="21"/>
                      <w:lang w:val="en-US" w:eastAsia="zh-CN"/>
                    </w:rPr>
                  </w:pPr>
                  <w:r>
                    <w:rPr>
                      <w:rFonts w:hint="eastAsia" w:eastAsia="黑体"/>
                      <w:sz w:val="21"/>
                      <w:szCs w:val="21"/>
                      <w:lang w:val="en-US" w:eastAsia="zh-CN"/>
                    </w:rPr>
                    <w:t>门诊医技楼全貌及外环境</w:t>
                  </w:r>
                </w:p>
              </w:tc>
            </w:tr>
            <w:tr w14:paraId="503901D9">
              <w:tblPrEx>
                <w:tblCellMar>
                  <w:top w:w="0" w:type="dxa"/>
                  <w:left w:w="108" w:type="dxa"/>
                  <w:bottom w:w="0" w:type="dxa"/>
                  <w:right w:w="108" w:type="dxa"/>
                </w:tblCellMar>
              </w:tblPrEx>
              <w:tc>
                <w:tcPr>
                  <w:tcW w:w="2500" w:type="pct"/>
                  <w:vAlign w:val="center"/>
                </w:tcPr>
                <w:p w14:paraId="4399DF55">
                  <w:pPr>
                    <w:spacing w:line="240" w:lineRule="auto"/>
                    <w:contextualSpacing/>
                    <w:jc w:val="center"/>
                    <w:rPr>
                      <w:rFonts w:hint="eastAsia" w:eastAsia="宋体"/>
                      <w:sz w:val="21"/>
                      <w:lang w:eastAsia="zh-CN"/>
                    </w:rPr>
                  </w:pPr>
                  <w:r>
                    <w:rPr>
                      <w:rFonts w:hint="eastAsia" w:eastAsia="宋体"/>
                      <w:sz w:val="21"/>
                      <w:lang w:eastAsia="zh-CN"/>
                    </w:rPr>
                    <w:drawing>
                      <wp:inline distT="0" distB="0" distL="114300" distR="114300">
                        <wp:extent cx="2731135" cy="2048510"/>
                        <wp:effectExtent l="0" t="0" r="12065" b="8890"/>
                        <wp:docPr id="52" name="图片 52" descr="微信图片_20260826145241_10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微信图片_20260826145241_10_52"/>
                                <pic:cNvPicPr>
                                  <a:picLocks noChangeAspect="1"/>
                                </pic:cNvPicPr>
                              </pic:nvPicPr>
                              <pic:blipFill>
                                <a:blip r:embed="rId12"/>
                                <a:stretch>
                                  <a:fillRect/>
                                </a:stretch>
                              </pic:blipFill>
                              <pic:spPr>
                                <a:xfrm>
                                  <a:off x="0" y="0"/>
                                  <a:ext cx="2731135" cy="2048510"/>
                                </a:xfrm>
                                <a:prstGeom prst="rect">
                                  <a:avLst/>
                                </a:prstGeom>
                              </pic:spPr>
                            </pic:pic>
                          </a:graphicData>
                        </a:graphic>
                      </wp:inline>
                    </w:drawing>
                  </w:r>
                </w:p>
              </w:tc>
              <w:tc>
                <w:tcPr>
                  <w:tcW w:w="2500" w:type="pct"/>
                  <w:vAlign w:val="center"/>
                </w:tcPr>
                <w:p w14:paraId="0119A76F">
                  <w:pPr>
                    <w:spacing w:line="240" w:lineRule="auto"/>
                    <w:contextualSpacing/>
                    <w:jc w:val="center"/>
                    <w:rPr>
                      <w:rFonts w:hint="eastAsia" w:eastAsia="宋体"/>
                      <w:sz w:val="21"/>
                      <w:lang w:eastAsia="zh-CN"/>
                    </w:rPr>
                  </w:pPr>
                  <w:r>
                    <w:rPr>
                      <w:rFonts w:hint="eastAsia" w:eastAsia="宋体"/>
                      <w:sz w:val="21"/>
                      <w:lang w:eastAsia="zh-CN"/>
                    </w:rPr>
                    <w:drawing>
                      <wp:inline distT="0" distB="0" distL="114300" distR="114300">
                        <wp:extent cx="2560320" cy="1920240"/>
                        <wp:effectExtent l="0" t="0" r="11430" b="3810"/>
                        <wp:docPr id="53" name="图片 53" descr="微信图片_20260826145239_8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微信图片_20260826145239_8_52"/>
                                <pic:cNvPicPr>
                                  <a:picLocks noChangeAspect="1"/>
                                </pic:cNvPicPr>
                              </pic:nvPicPr>
                              <pic:blipFill>
                                <a:blip r:embed="rId13"/>
                                <a:stretch>
                                  <a:fillRect/>
                                </a:stretch>
                              </pic:blipFill>
                              <pic:spPr>
                                <a:xfrm>
                                  <a:off x="0" y="0"/>
                                  <a:ext cx="2560320" cy="1920240"/>
                                </a:xfrm>
                                <a:prstGeom prst="rect">
                                  <a:avLst/>
                                </a:prstGeom>
                              </pic:spPr>
                            </pic:pic>
                          </a:graphicData>
                        </a:graphic>
                      </wp:inline>
                    </w:drawing>
                  </w:r>
                </w:p>
              </w:tc>
            </w:tr>
            <w:tr w14:paraId="64C596A7">
              <w:tblPrEx>
                <w:tblCellMar>
                  <w:top w:w="0" w:type="dxa"/>
                  <w:left w:w="108" w:type="dxa"/>
                  <w:bottom w:w="0" w:type="dxa"/>
                  <w:right w:w="108" w:type="dxa"/>
                </w:tblCellMar>
              </w:tblPrEx>
              <w:tc>
                <w:tcPr>
                  <w:tcW w:w="2500" w:type="pct"/>
                  <w:vAlign w:val="center"/>
                </w:tcPr>
                <w:p w14:paraId="3608C856">
                  <w:pPr>
                    <w:spacing w:line="240" w:lineRule="auto"/>
                    <w:contextualSpacing/>
                    <w:jc w:val="center"/>
                    <w:rPr>
                      <w:rFonts w:hint="default" w:eastAsia="宋体"/>
                      <w:sz w:val="21"/>
                      <w:lang w:val="en-US" w:eastAsia="zh-CN"/>
                    </w:rPr>
                  </w:pPr>
                  <w:r>
                    <w:rPr>
                      <w:rFonts w:hint="eastAsia" w:eastAsia="黑体"/>
                      <w:sz w:val="21"/>
                      <w:szCs w:val="21"/>
                      <w:lang w:val="en-US" w:eastAsia="zh-CN"/>
                    </w:rPr>
                    <w:t>DSA机房拟建地</w:t>
                  </w:r>
                </w:p>
              </w:tc>
              <w:tc>
                <w:tcPr>
                  <w:tcW w:w="2500" w:type="pct"/>
                  <w:vAlign w:val="center"/>
                </w:tcPr>
                <w:p w14:paraId="09FA5CC5">
                  <w:pPr>
                    <w:spacing w:line="240" w:lineRule="auto"/>
                    <w:contextualSpacing/>
                    <w:jc w:val="center"/>
                    <w:rPr>
                      <w:rFonts w:hint="default" w:eastAsia="宋体"/>
                      <w:sz w:val="21"/>
                      <w:lang w:val="en-US" w:eastAsia="zh-CN"/>
                    </w:rPr>
                  </w:pPr>
                  <w:r>
                    <w:rPr>
                      <w:rFonts w:hint="eastAsia" w:eastAsia="黑体"/>
                      <w:sz w:val="21"/>
                      <w:szCs w:val="21"/>
                      <w:lang w:val="en-US" w:eastAsia="zh-CN"/>
                    </w:rPr>
                    <w:t>ERCP机房拟建地</w:t>
                  </w:r>
                </w:p>
              </w:tc>
            </w:tr>
            <w:tr w14:paraId="49CEE5E2">
              <w:tblPrEx>
                <w:tblCellMar>
                  <w:top w:w="0" w:type="dxa"/>
                  <w:left w:w="108" w:type="dxa"/>
                  <w:bottom w:w="0" w:type="dxa"/>
                  <w:right w:w="108" w:type="dxa"/>
                </w:tblCellMar>
              </w:tblPrEx>
              <w:tc>
                <w:tcPr>
                  <w:tcW w:w="2500" w:type="pct"/>
                  <w:vAlign w:val="center"/>
                </w:tcPr>
                <w:p w14:paraId="0B318181">
                  <w:pPr>
                    <w:spacing w:line="240" w:lineRule="auto"/>
                    <w:contextualSpacing/>
                    <w:jc w:val="center"/>
                    <w:rPr>
                      <w:rFonts w:hint="eastAsia" w:eastAsia="宋体"/>
                      <w:sz w:val="21"/>
                      <w:lang w:eastAsia="zh-CN"/>
                    </w:rPr>
                  </w:pPr>
                  <w:r>
                    <w:rPr>
                      <w:rFonts w:hint="eastAsia" w:eastAsia="宋体"/>
                      <w:sz w:val="21"/>
                      <w:lang w:eastAsia="zh-CN"/>
                    </w:rPr>
                    <w:drawing>
                      <wp:inline distT="0" distB="0" distL="114300" distR="114300">
                        <wp:extent cx="2734310" cy="1538605"/>
                        <wp:effectExtent l="0" t="0" r="8890" b="4445"/>
                        <wp:docPr id="30" name="图片 30" descr="0d5a41613a3c9d7f2ea609e460e6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0d5a41613a3c9d7f2ea609e460e61975"/>
                                <pic:cNvPicPr>
                                  <a:picLocks noChangeAspect="1"/>
                                </pic:cNvPicPr>
                              </pic:nvPicPr>
                              <pic:blipFill>
                                <a:blip r:embed="rId14"/>
                                <a:stretch>
                                  <a:fillRect/>
                                </a:stretch>
                              </pic:blipFill>
                              <pic:spPr>
                                <a:xfrm>
                                  <a:off x="0" y="0"/>
                                  <a:ext cx="2734310" cy="1538605"/>
                                </a:xfrm>
                                <a:prstGeom prst="rect">
                                  <a:avLst/>
                                </a:prstGeom>
                              </pic:spPr>
                            </pic:pic>
                          </a:graphicData>
                        </a:graphic>
                      </wp:inline>
                    </w:drawing>
                  </w:r>
                </w:p>
              </w:tc>
              <w:tc>
                <w:tcPr>
                  <w:tcW w:w="2500" w:type="pct"/>
                  <w:vAlign w:val="center"/>
                </w:tcPr>
                <w:p w14:paraId="0541D682">
                  <w:pPr>
                    <w:spacing w:line="240" w:lineRule="auto"/>
                    <w:contextualSpacing/>
                    <w:jc w:val="center"/>
                    <w:rPr>
                      <w:rFonts w:hint="eastAsia" w:eastAsia="宋体"/>
                      <w:sz w:val="21"/>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1061720</wp:posOffset>
                            </wp:positionH>
                            <wp:positionV relativeFrom="paragraph">
                              <wp:posOffset>802005</wp:posOffset>
                            </wp:positionV>
                            <wp:extent cx="1050925" cy="300990"/>
                            <wp:effectExtent l="0" t="0" r="0" b="0"/>
                            <wp:wrapNone/>
                            <wp:docPr id="8" name="文本框 1118204829"/>
                            <wp:cNvGraphicFramePr/>
                            <a:graphic xmlns:a="http://schemas.openxmlformats.org/drawingml/2006/main">
                              <a:graphicData uri="http://schemas.microsoft.com/office/word/2010/wordprocessingShape">
                                <wps:wsp>
                                  <wps:cNvSpPr txBox="1"/>
                                  <wps:spPr bwMode="auto">
                                    <a:xfrm>
                                      <a:off x="0" y="0"/>
                                      <a:ext cx="1050925" cy="300990"/>
                                    </a:xfrm>
                                    <a:prstGeom prst="rect">
                                      <a:avLst/>
                                    </a:prstGeom>
                                    <a:noFill/>
                                    <a:ln w="15875">
                                      <a:noFill/>
                                    </a:ln>
                                  </wps:spPr>
                                  <wps:txbx>
                                    <w:txbxContent>
                                      <w:p w14:paraId="17B0E260">
                                        <w:pPr>
                                          <w:rPr>
                                            <w:b/>
                                            <w:bCs/>
                                            <w:sz w:val="21"/>
                                            <w:szCs w:val="21"/>
                                            <w:highlight w:val="yellow"/>
                                          </w:rPr>
                                        </w:pPr>
                                        <w:r>
                                          <w:rPr>
                                            <w:rFonts w:hint="eastAsia"/>
                                            <w:b/>
                                            <w:bCs/>
                                            <w:sz w:val="21"/>
                                            <w:szCs w:val="21"/>
                                            <w:highlight w:val="yellow"/>
                                            <w:lang w:val="en-US" w:eastAsia="zh-CN"/>
                                          </w:rPr>
                                          <w:t>衰变池</w:t>
                                        </w:r>
                                        <w:r>
                                          <w:rPr>
                                            <w:rFonts w:hint="eastAsia"/>
                                            <w:b/>
                                            <w:bCs/>
                                            <w:sz w:val="21"/>
                                            <w:szCs w:val="21"/>
                                            <w:highlight w:val="yellow"/>
                                          </w:rPr>
                                          <w:t>拟建地</w:t>
                                        </w:r>
                                      </w:p>
                                    </w:txbxContent>
                                  </wps:txbx>
                                  <wps:bodyPr wrap="square" upright="1"/>
                                </wps:wsp>
                              </a:graphicData>
                            </a:graphic>
                          </wp:anchor>
                        </w:drawing>
                      </mc:Choice>
                      <mc:Fallback>
                        <w:pict>
                          <v:shape id="文本框 1118204829" o:spid="_x0000_s1026" o:spt="202" type="#_x0000_t202" style="position:absolute;left:0pt;margin-left:83.6pt;margin-top:63.15pt;height:23.7pt;width:82.75pt;z-index:251659264;mso-width-relative:page;mso-height-relative:page;" filled="f" stroked="f" coordsize="21600,21600" o:gfxdata="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FDVuXcAAAACwEAAA8AAAAAAAAAAQAg&#10;AAAAIgAAAGRycy9kb3ducmV2LnhtbFBLAQIUABQAAAAIAIdO4kA4lvAI0QEAAH0DAAAOAAAAAAAA&#10;AAEAIAAAACsBAABkcnMvZTJvRG9jLnhtbFBLBQYAAAAABgAGAFkBAABuBQAAAAA=&#10;">
                            <v:fill on="f" focussize="0,0"/>
                            <v:stroke on="f" weight="1.25pt"/>
                            <v:imagedata o:title=""/>
                            <o:lock v:ext="edit" aspectratio="f"/>
                            <v:textbox>
                              <w:txbxContent>
                                <w:p w14:paraId="17B0E260">
                                  <w:pPr>
                                    <w:rPr>
                                      <w:b/>
                                      <w:bCs/>
                                      <w:sz w:val="21"/>
                                      <w:szCs w:val="21"/>
                                      <w:highlight w:val="yellow"/>
                                    </w:rPr>
                                  </w:pPr>
                                  <w:r>
                                    <w:rPr>
                                      <w:rFonts w:hint="eastAsia"/>
                                      <w:b/>
                                      <w:bCs/>
                                      <w:sz w:val="21"/>
                                      <w:szCs w:val="21"/>
                                      <w:highlight w:val="yellow"/>
                                      <w:lang w:val="en-US" w:eastAsia="zh-CN"/>
                                    </w:rPr>
                                    <w:t>衰变池</w:t>
                                  </w:r>
                                  <w:r>
                                    <w:rPr>
                                      <w:rFonts w:hint="eastAsia"/>
                                      <w:b/>
                                      <w:bCs/>
                                      <w:sz w:val="21"/>
                                      <w:szCs w:val="21"/>
                                      <w:highlight w:val="yellow"/>
                                    </w:rPr>
                                    <w:t>拟建地</w:t>
                                  </w:r>
                                </w:p>
                              </w:txbxContent>
                            </v:textbox>
                          </v:shape>
                        </w:pict>
                      </mc:Fallback>
                    </mc:AlternateContent>
                  </w:r>
                  <w:r>
                    <w:rPr>
                      <w:rFonts w:hint="eastAsia" w:eastAsia="宋体"/>
                      <w:sz w:val="21"/>
                      <w:lang w:eastAsia="zh-CN"/>
                    </w:rPr>
                    <w:drawing>
                      <wp:inline distT="0" distB="0" distL="114300" distR="114300">
                        <wp:extent cx="2509520" cy="1730375"/>
                        <wp:effectExtent l="0" t="0" r="5080" b="3175"/>
                        <wp:docPr id="34" name="图片 34" descr="微信图片_20260826145254_26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微信图片_20260826145254_26_52"/>
                                <pic:cNvPicPr>
                                  <a:picLocks noChangeAspect="1"/>
                                </pic:cNvPicPr>
                              </pic:nvPicPr>
                              <pic:blipFill>
                                <a:blip r:embed="rId15"/>
                                <a:stretch>
                                  <a:fillRect/>
                                </a:stretch>
                              </pic:blipFill>
                              <pic:spPr>
                                <a:xfrm>
                                  <a:off x="0" y="0"/>
                                  <a:ext cx="2509520" cy="1730375"/>
                                </a:xfrm>
                                <a:prstGeom prst="rect">
                                  <a:avLst/>
                                </a:prstGeom>
                              </pic:spPr>
                            </pic:pic>
                          </a:graphicData>
                        </a:graphic>
                      </wp:inline>
                    </w:drawing>
                  </w:r>
                </w:p>
              </w:tc>
            </w:tr>
            <w:tr w14:paraId="4C5FF8AA">
              <w:tblPrEx>
                <w:tblCellMar>
                  <w:top w:w="0" w:type="dxa"/>
                  <w:left w:w="108" w:type="dxa"/>
                  <w:bottom w:w="0" w:type="dxa"/>
                  <w:right w:w="108" w:type="dxa"/>
                </w:tblCellMar>
              </w:tblPrEx>
              <w:tc>
                <w:tcPr>
                  <w:tcW w:w="2500" w:type="pct"/>
                  <w:vAlign w:val="center"/>
                </w:tcPr>
                <w:p w14:paraId="2155F2D5">
                  <w:pPr>
                    <w:spacing w:line="240" w:lineRule="auto"/>
                    <w:contextualSpacing/>
                    <w:jc w:val="center"/>
                    <w:rPr>
                      <w:rFonts w:hint="default" w:eastAsia="黑体"/>
                      <w:sz w:val="21"/>
                      <w:lang w:val="en-US" w:eastAsia="zh-CN"/>
                    </w:rPr>
                  </w:pPr>
                  <w:r>
                    <w:rPr>
                      <w:rFonts w:eastAsia="黑体"/>
                      <w:sz w:val="21"/>
                      <w:szCs w:val="21"/>
                    </w:rPr>
                    <w:t>西</w:t>
                  </w:r>
                  <w:r>
                    <w:rPr>
                      <w:rFonts w:hint="eastAsia" w:eastAsia="黑体"/>
                      <w:sz w:val="21"/>
                      <w:szCs w:val="21"/>
                      <w:lang w:val="en-US" w:eastAsia="zh-CN"/>
                    </w:rPr>
                    <w:t>南</w:t>
                  </w:r>
                  <w:r>
                    <w:rPr>
                      <w:rFonts w:eastAsia="黑体"/>
                      <w:sz w:val="21"/>
                      <w:szCs w:val="21"/>
                    </w:rPr>
                    <w:t>侧</w:t>
                  </w:r>
                  <w:r>
                    <w:rPr>
                      <w:rFonts w:hint="eastAsia" w:eastAsia="黑体"/>
                      <w:sz w:val="21"/>
                      <w:szCs w:val="21"/>
                      <w:lang w:val="en-US" w:eastAsia="zh-CN"/>
                    </w:rPr>
                    <w:t>高压氧舱与办公楼</w:t>
                  </w:r>
                </w:p>
              </w:tc>
              <w:tc>
                <w:tcPr>
                  <w:tcW w:w="2500" w:type="pct"/>
                  <w:vAlign w:val="center"/>
                </w:tcPr>
                <w:p w14:paraId="7951A626">
                  <w:pPr>
                    <w:spacing w:line="240" w:lineRule="auto"/>
                    <w:contextualSpacing/>
                    <w:jc w:val="center"/>
                    <w:rPr>
                      <w:rFonts w:hint="default" w:eastAsia="黑体"/>
                      <w:sz w:val="21"/>
                      <w:lang w:val="en-US" w:eastAsia="zh-CN"/>
                    </w:rPr>
                  </w:pPr>
                  <w:r>
                    <w:rPr>
                      <w:rFonts w:hint="eastAsia" w:eastAsia="黑体"/>
                      <w:sz w:val="21"/>
                      <w:szCs w:val="21"/>
                      <w:lang w:val="en-US" w:eastAsia="zh-CN"/>
                    </w:rPr>
                    <w:t>门诊医技楼西侧衰变池拟建地</w:t>
                  </w:r>
                </w:p>
              </w:tc>
            </w:tr>
          </w:tbl>
          <w:p w14:paraId="18D36B26">
            <w:pPr>
              <w:spacing w:after="120"/>
              <w:ind w:firstLine="210"/>
              <w:jc w:val="center"/>
              <w:rPr>
                <w:sz w:val="21"/>
              </w:rPr>
            </w:pPr>
            <w:r>
              <w:rPr>
                <w:rFonts w:eastAsia="黑体"/>
                <w:sz w:val="21"/>
                <w:szCs w:val="21"/>
              </w:rPr>
              <w:t>图8-1   项目拟建地及周围现状照片</w:t>
            </w:r>
          </w:p>
          <w:p w14:paraId="01C25F09">
            <w:pPr>
              <w:rPr>
                <w:rFonts w:eastAsia="黑体"/>
              </w:rPr>
            </w:pPr>
            <w:r>
              <w:rPr>
                <w:rFonts w:eastAsia="黑体"/>
              </w:rPr>
              <w:t>二、监测对象、监测因子和监测点位</w:t>
            </w:r>
          </w:p>
          <w:p w14:paraId="18C481A9">
            <w:pPr>
              <w:ind w:firstLine="480"/>
            </w:pPr>
            <w:r>
              <w:t>本项目为使用非密封放射性物质和乙级非密封放射性物质工作场所；使用Ⅱ类、Ⅲ类射线装置；使用Ⅴ类放射源。项目主要的污染因子为电离辐射，对环境空气、地表水及地下水影响较小，因此本次评价没有对区域环境空气质量、地表水和地下水环境质量进行监测评价，重点对评价区域开展了辐射环境现状监测评价。</w:t>
            </w:r>
          </w:p>
          <w:p w14:paraId="45AEFC60">
            <w:pPr>
              <w:ind w:firstLine="480"/>
              <w:rPr>
                <w:highlight w:val="none"/>
              </w:rPr>
            </w:pPr>
            <w:r>
              <w:t>本项目为</w:t>
            </w:r>
            <w:r>
              <w:rPr>
                <w:rFonts w:hint="eastAsia"/>
                <w:lang w:eastAsia="zh-CN"/>
              </w:rPr>
              <w:t>迁建新增核技术利用场所项目</w:t>
            </w:r>
            <w:r>
              <w:t>，</w:t>
            </w:r>
            <w:r>
              <w:rPr>
                <w:highlight w:val="none"/>
              </w:rPr>
              <w:t>拟建地现状为</w:t>
            </w:r>
            <w:r>
              <w:rPr>
                <w:rFonts w:hint="eastAsia"/>
                <w:highlight w:val="none"/>
                <w:lang w:val="en-US" w:eastAsia="zh-CN"/>
              </w:rPr>
              <w:t>在建施工现场</w:t>
            </w:r>
            <w:r>
              <w:rPr>
                <w:highlight w:val="none"/>
              </w:rPr>
              <w:t>，评价范围内没有其他电离辐射源，周围辐射环境趋于一致。本次在项目拟建地布设了</w:t>
            </w:r>
            <w:r>
              <w:rPr>
                <w:rFonts w:hint="eastAsia"/>
                <w:highlight w:val="none"/>
                <w:lang w:val="en-US" w:eastAsia="zh-CN"/>
              </w:rPr>
              <w:t>9</w:t>
            </w:r>
            <w:r>
              <w:rPr>
                <w:highlight w:val="none"/>
              </w:rPr>
              <w:t>个监测点位（1#</w:t>
            </w:r>
            <w:r>
              <w:rPr>
                <w:rFonts w:hint="eastAsia"/>
                <w:highlight w:val="none"/>
                <w:lang w:val="en-US" w:eastAsia="zh-CN"/>
              </w:rPr>
              <w:t>~4</w:t>
            </w:r>
            <w:r>
              <w:rPr>
                <w:highlight w:val="none"/>
              </w:rPr>
              <w:t>#</w:t>
            </w:r>
            <w:r>
              <w:rPr>
                <w:rFonts w:hint="eastAsia"/>
                <w:highlight w:val="none"/>
                <w:lang w:eastAsia="zh-CN"/>
              </w:rPr>
              <w:t>、</w:t>
            </w:r>
            <w:r>
              <w:rPr>
                <w:rFonts w:hint="eastAsia"/>
                <w:highlight w:val="none"/>
                <w:lang w:val="en-US" w:eastAsia="zh-CN"/>
              </w:rPr>
              <w:t>11#、18#、25#、31#、37#</w:t>
            </w:r>
            <w:r>
              <w:rPr>
                <w:highlight w:val="none"/>
              </w:rPr>
              <w:t>监测点），在院内环境保护目标处布设了</w:t>
            </w:r>
            <w:r>
              <w:rPr>
                <w:rFonts w:hint="eastAsia"/>
                <w:highlight w:val="none"/>
                <w:lang w:val="en-US" w:eastAsia="zh-CN"/>
              </w:rPr>
              <w:t>35</w:t>
            </w:r>
            <w:r>
              <w:rPr>
                <w:highlight w:val="none"/>
              </w:rPr>
              <w:t>个监测点位（</w:t>
            </w:r>
            <w:r>
              <w:rPr>
                <w:rFonts w:hint="eastAsia"/>
                <w:highlight w:val="none"/>
                <w:lang w:val="en-US" w:eastAsia="zh-CN"/>
              </w:rPr>
              <w:t>5</w:t>
            </w:r>
            <w:r>
              <w:rPr>
                <w:highlight w:val="none"/>
              </w:rPr>
              <w:t>#~</w:t>
            </w:r>
            <w:r>
              <w:rPr>
                <w:rFonts w:hint="eastAsia"/>
                <w:highlight w:val="none"/>
                <w:lang w:val="en-US" w:eastAsia="zh-CN"/>
              </w:rPr>
              <w:t>10</w:t>
            </w:r>
            <w:r>
              <w:rPr>
                <w:highlight w:val="none"/>
              </w:rPr>
              <w:t>#、</w:t>
            </w:r>
            <w:r>
              <w:rPr>
                <w:rFonts w:hint="eastAsia"/>
                <w:highlight w:val="none"/>
                <w:lang w:val="en-US" w:eastAsia="zh-CN"/>
              </w:rPr>
              <w:t>12#~</w:t>
            </w:r>
            <w:r>
              <w:rPr>
                <w:highlight w:val="none"/>
              </w:rPr>
              <w:t>1</w:t>
            </w:r>
            <w:r>
              <w:rPr>
                <w:rFonts w:hint="eastAsia"/>
                <w:highlight w:val="none"/>
                <w:lang w:val="en-US" w:eastAsia="zh-CN"/>
              </w:rPr>
              <w:t>7</w:t>
            </w:r>
            <w:r>
              <w:rPr>
                <w:highlight w:val="none"/>
              </w:rPr>
              <w:t>#</w:t>
            </w:r>
            <w:r>
              <w:rPr>
                <w:rFonts w:hint="eastAsia"/>
                <w:highlight w:val="none"/>
                <w:lang w:val="en-US" w:eastAsia="zh-CN"/>
              </w:rPr>
              <w:t>、19#~24#、26#~30#、32#~36#、38#~44#</w:t>
            </w:r>
            <w:r>
              <w:rPr>
                <w:highlight w:val="none"/>
              </w:rPr>
              <w:t>监测点），共</w:t>
            </w:r>
            <w:r>
              <w:rPr>
                <w:rFonts w:hint="eastAsia"/>
                <w:highlight w:val="none"/>
                <w:lang w:val="en-US" w:eastAsia="zh-CN"/>
              </w:rPr>
              <w:t>44</w:t>
            </w:r>
            <w:r>
              <w:rPr>
                <w:highlight w:val="none"/>
              </w:rPr>
              <w:t>个监测点位，监测因子为X-γ辐射剂量率、α表面污染活度、β表面污染活度，可反映拟建地及周围的辐射环境本底水平，监测点位布设合理。</w:t>
            </w:r>
          </w:p>
          <w:p w14:paraId="6514C065">
            <w:pPr>
              <w:spacing w:before="163" w:line="240" w:lineRule="auto"/>
              <w:jc w:val="center"/>
              <w:rPr>
                <w:rFonts w:eastAsia="黑体"/>
                <w:sz w:val="21"/>
                <w:szCs w:val="21"/>
              </w:rPr>
            </w:pPr>
            <w:r>
              <w:rPr>
                <w:rFonts w:eastAsia="黑体"/>
                <w:sz w:val="21"/>
                <w:szCs w:val="21"/>
              </w:rPr>
              <w:t>表8-1 监测布点方案一览表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4120"/>
              <w:gridCol w:w="1702"/>
              <w:gridCol w:w="1061"/>
              <w:gridCol w:w="1276"/>
            </w:tblGrid>
            <w:tr w14:paraId="1CF514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vAlign w:val="center"/>
                </w:tcPr>
                <w:p w14:paraId="2A42583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序号</w:t>
                  </w:r>
                </w:p>
              </w:tc>
              <w:tc>
                <w:tcPr>
                  <w:tcW w:w="2341" w:type="pct"/>
                  <w:vAlign w:val="center"/>
                </w:tcPr>
                <w:p w14:paraId="4B6B157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监测点位</w:t>
                  </w:r>
                </w:p>
              </w:tc>
              <w:tc>
                <w:tcPr>
                  <w:tcW w:w="967" w:type="pct"/>
                  <w:vAlign w:val="center"/>
                </w:tcPr>
                <w:p w14:paraId="6B3C2A0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监测因子</w:t>
                  </w:r>
                </w:p>
              </w:tc>
              <w:tc>
                <w:tcPr>
                  <w:tcW w:w="603" w:type="pct"/>
                  <w:vAlign w:val="center"/>
                </w:tcPr>
                <w:p w14:paraId="0939849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监测频次</w:t>
                  </w:r>
                </w:p>
              </w:tc>
              <w:tc>
                <w:tcPr>
                  <w:tcW w:w="725" w:type="pct"/>
                  <w:vAlign w:val="center"/>
                </w:tcPr>
                <w:p w14:paraId="26CB320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备注</w:t>
                  </w:r>
                </w:p>
              </w:tc>
            </w:tr>
            <w:tr w14:paraId="75ECD2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vAlign w:val="center"/>
                </w:tcPr>
                <w:p w14:paraId="6CB3093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bCs/>
                      <w:spacing w:val="-6"/>
                      <w:sz w:val="21"/>
                      <w:szCs w:val="21"/>
                    </w:rPr>
                  </w:pPr>
                  <w:r>
                    <w:rPr>
                      <w:bCs/>
                      <w:spacing w:val="-6"/>
                      <w:sz w:val="21"/>
                      <w:szCs w:val="21"/>
                    </w:rPr>
                    <w:t>1</w:t>
                  </w:r>
                </w:p>
              </w:tc>
              <w:tc>
                <w:tcPr>
                  <w:tcW w:w="2341" w:type="pct"/>
                  <w:vAlign w:val="center"/>
                </w:tcPr>
                <w:p w14:paraId="7E629E1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rFonts w:hint="eastAsia"/>
                      <w:spacing w:val="-6"/>
                      <w:sz w:val="21"/>
                      <w:szCs w:val="21"/>
                      <w:lang w:val="en-US" w:eastAsia="zh-CN" w:bidi="ar"/>
                    </w:rPr>
                    <w:t>本项目核医学科分装室1#</w:t>
                  </w:r>
                  <w:r>
                    <w:rPr>
                      <w:spacing w:val="-6"/>
                      <w:sz w:val="21"/>
                      <w:szCs w:val="21"/>
                      <w:lang w:bidi="ar"/>
                    </w:rPr>
                    <w:t>拟建地（现状为</w:t>
                  </w:r>
                  <w:r>
                    <w:rPr>
                      <w:rFonts w:hint="eastAsia"/>
                      <w:spacing w:val="-6"/>
                      <w:sz w:val="21"/>
                      <w:szCs w:val="21"/>
                      <w:lang w:val="en-US" w:eastAsia="zh-CN" w:bidi="ar"/>
                    </w:rPr>
                    <w:t>负一层施工现场</w:t>
                  </w:r>
                  <w:r>
                    <w:rPr>
                      <w:spacing w:val="-6"/>
                      <w:sz w:val="21"/>
                      <w:szCs w:val="21"/>
                      <w:lang w:bidi="ar"/>
                    </w:rPr>
                    <w:t>）</w:t>
                  </w:r>
                </w:p>
              </w:tc>
              <w:tc>
                <w:tcPr>
                  <w:tcW w:w="967" w:type="pct"/>
                  <w:vMerge w:val="restart"/>
                  <w:vAlign w:val="center"/>
                </w:tcPr>
                <w:p w14:paraId="0BC2661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X-γ辐射剂量率</w:t>
                  </w:r>
                </w:p>
                <w:p w14:paraId="2F785BC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α表面污染活度</w:t>
                  </w:r>
                </w:p>
                <w:p w14:paraId="7147273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β表面污染活度</w:t>
                  </w:r>
                </w:p>
              </w:tc>
              <w:tc>
                <w:tcPr>
                  <w:tcW w:w="603" w:type="pct"/>
                  <w:vMerge w:val="restart"/>
                  <w:vAlign w:val="center"/>
                </w:tcPr>
                <w:p w14:paraId="408992B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监测一次</w:t>
                  </w:r>
                </w:p>
              </w:tc>
              <w:tc>
                <w:tcPr>
                  <w:tcW w:w="725" w:type="pct"/>
                  <w:vMerge w:val="restart"/>
                  <w:vAlign w:val="center"/>
                </w:tcPr>
                <w:p w14:paraId="2B02516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项目拟建地</w:t>
                  </w:r>
                </w:p>
              </w:tc>
            </w:tr>
            <w:tr w14:paraId="78FB10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3088940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w:t>
                  </w:r>
                </w:p>
              </w:tc>
              <w:tc>
                <w:tcPr>
                  <w:tcW w:w="2341" w:type="pct"/>
                  <w:vAlign w:val="center"/>
                </w:tcPr>
                <w:p w14:paraId="469FAFC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本项目核医学科分装室2#</w:t>
                  </w:r>
                  <w:r>
                    <w:rPr>
                      <w:spacing w:val="-6"/>
                      <w:sz w:val="21"/>
                      <w:szCs w:val="21"/>
                      <w:lang w:bidi="ar"/>
                    </w:rPr>
                    <w:t>拟建地（现状为</w:t>
                  </w:r>
                  <w:r>
                    <w:rPr>
                      <w:rFonts w:hint="eastAsia"/>
                      <w:spacing w:val="-6"/>
                      <w:sz w:val="21"/>
                      <w:szCs w:val="21"/>
                      <w:lang w:val="en-US" w:eastAsia="zh-CN" w:bidi="ar"/>
                    </w:rPr>
                    <w:t>负一层施工现场</w:t>
                  </w:r>
                  <w:r>
                    <w:rPr>
                      <w:spacing w:val="-6"/>
                      <w:sz w:val="21"/>
                      <w:szCs w:val="21"/>
                      <w:lang w:bidi="ar"/>
                    </w:rPr>
                    <w:t>）</w:t>
                  </w:r>
                </w:p>
              </w:tc>
              <w:tc>
                <w:tcPr>
                  <w:tcW w:w="967" w:type="pct"/>
                  <w:vMerge w:val="continue"/>
                  <w:vAlign w:val="center"/>
                </w:tcPr>
                <w:p w14:paraId="67DFF5D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55EBBB4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30DEF01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6D1CB3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180D87A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3</w:t>
                  </w:r>
                </w:p>
              </w:tc>
              <w:tc>
                <w:tcPr>
                  <w:tcW w:w="2341" w:type="pct"/>
                  <w:vAlign w:val="center"/>
                </w:tcPr>
                <w:p w14:paraId="7113EAD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本项目核医学科PET/CT机房</w:t>
                  </w:r>
                  <w:r>
                    <w:rPr>
                      <w:spacing w:val="-6"/>
                      <w:sz w:val="21"/>
                      <w:szCs w:val="21"/>
                      <w:lang w:bidi="ar"/>
                    </w:rPr>
                    <w:t>拟建地（现状为</w:t>
                  </w:r>
                  <w:r>
                    <w:rPr>
                      <w:rFonts w:hint="eastAsia"/>
                      <w:spacing w:val="-6"/>
                      <w:sz w:val="21"/>
                      <w:szCs w:val="21"/>
                      <w:lang w:val="en-US" w:eastAsia="zh-CN" w:bidi="ar"/>
                    </w:rPr>
                    <w:t>负一层施工现场</w:t>
                  </w:r>
                  <w:r>
                    <w:rPr>
                      <w:spacing w:val="-6"/>
                      <w:sz w:val="21"/>
                      <w:szCs w:val="21"/>
                      <w:lang w:bidi="ar"/>
                    </w:rPr>
                    <w:t>）</w:t>
                  </w:r>
                </w:p>
              </w:tc>
              <w:tc>
                <w:tcPr>
                  <w:tcW w:w="967" w:type="pct"/>
                  <w:vMerge w:val="continue"/>
                  <w:vAlign w:val="center"/>
                </w:tcPr>
                <w:p w14:paraId="586FF5C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E79D01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457003D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5CDDBB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2623278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4</w:t>
                  </w:r>
                </w:p>
              </w:tc>
              <w:tc>
                <w:tcPr>
                  <w:tcW w:w="2341" w:type="pct"/>
                  <w:vAlign w:val="center"/>
                </w:tcPr>
                <w:p w14:paraId="7E8E27D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spacing w:val="-6"/>
                      <w:sz w:val="21"/>
                      <w:szCs w:val="21"/>
                      <w:lang w:val="en-US" w:eastAsia="zh-CN" w:bidi="ar"/>
                    </w:rPr>
                  </w:pPr>
                  <w:r>
                    <w:rPr>
                      <w:rFonts w:hint="eastAsia"/>
                      <w:spacing w:val="-6"/>
                      <w:sz w:val="21"/>
                      <w:szCs w:val="21"/>
                      <w:lang w:val="en-US" w:eastAsia="zh-CN" w:bidi="ar"/>
                    </w:rPr>
                    <w:t>本项目衰变池拟建地</w:t>
                  </w:r>
                  <w:r>
                    <w:rPr>
                      <w:spacing w:val="-6"/>
                      <w:sz w:val="21"/>
                      <w:szCs w:val="21"/>
                      <w:lang w:bidi="ar"/>
                    </w:rPr>
                    <w:t>（现状为</w:t>
                  </w:r>
                  <w:r>
                    <w:rPr>
                      <w:rFonts w:hint="eastAsia"/>
                      <w:spacing w:val="-6"/>
                      <w:sz w:val="21"/>
                      <w:szCs w:val="21"/>
                      <w:lang w:val="en-US" w:eastAsia="zh-CN" w:bidi="ar"/>
                    </w:rPr>
                    <w:t>空地</w:t>
                  </w:r>
                  <w:r>
                    <w:rPr>
                      <w:spacing w:val="-6"/>
                      <w:sz w:val="21"/>
                      <w:szCs w:val="21"/>
                      <w:lang w:bidi="ar"/>
                    </w:rPr>
                    <w:t>）</w:t>
                  </w:r>
                </w:p>
              </w:tc>
              <w:tc>
                <w:tcPr>
                  <w:tcW w:w="967" w:type="pct"/>
                  <w:vMerge w:val="continue"/>
                  <w:shd w:val="clear" w:color="auto" w:fill="auto"/>
                  <w:vAlign w:val="center"/>
                </w:tcPr>
                <w:p w14:paraId="73E4F46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4714389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vMerge w:val="continue"/>
                  <w:shd w:val="clear" w:color="auto" w:fill="auto"/>
                  <w:vAlign w:val="center"/>
                </w:tcPr>
                <w:p w14:paraId="4918D52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r>
            <w:tr w14:paraId="2DCA43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50ACE79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w:t>
                  </w:r>
                </w:p>
              </w:tc>
              <w:tc>
                <w:tcPr>
                  <w:tcW w:w="2341" w:type="pct"/>
                  <w:vAlign w:val="center"/>
                </w:tcPr>
                <w:p w14:paraId="0920422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spacing w:val="-6"/>
                      <w:sz w:val="21"/>
                      <w:szCs w:val="21"/>
                      <w:lang w:val="en-US" w:eastAsia="zh-CN" w:bidi="ar"/>
                    </w:rPr>
                  </w:pPr>
                  <w:r>
                    <w:rPr>
                      <w:rFonts w:hint="eastAsia"/>
                      <w:spacing w:val="-6"/>
                      <w:sz w:val="21"/>
                      <w:szCs w:val="21"/>
                      <w:lang w:val="en-US" w:eastAsia="zh-CN" w:bidi="ar"/>
                    </w:rPr>
                    <w:t>本项目核医学科拟建地东侧</w:t>
                  </w:r>
                  <w:r>
                    <w:rPr>
                      <w:spacing w:val="-6"/>
                      <w:sz w:val="21"/>
                      <w:szCs w:val="21"/>
                      <w:lang w:bidi="ar"/>
                    </w:rPr>
                    <w:t>（现状为</w:t>
                  </w:r>
                  <w:r>
                    <w:rPr>
                      <w:rFonts w:hint="eastAsia"/>
                      <w:spacing w:val="-6"/>
                      <w:sz w:val="21"/>
                      <w:szCs w:val="21"/>
                      <w:lang w:val="en-US" w:eastAsia="zh-CN" w:bidi="ar"/>
                    </w:rPr>
                    <w:t>负一层施工现场</w:t>
                  </w:r>
                  <w:r>
                    <w:rPr>
                      <w:spacing w:val="-6"/>
                      <w:sz w:val="21"/>
                      <w:szCs w:val="21"/>
                      <w:lang w:bidi="ar"/>
                    </w:rPr>
                    <w:t>）</w:t>
                  </w:r>
                </w:p>
              </w:tc>
              <w:tc>
                <w:tcPr>
                  <w:tcW w:w="967" w:type="pct"/>
                  <w:vMerge w:val="continue"/>
                  <w:vAlign w:val="center"/>
                </w:tcPr>
                <w:p w14:paraId="50FEAD1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411DF87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restart"/>
                  <w:vAlign w:val="center"/>
                </w:tcPr>
                <w:p w14:paraId="4771556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7693FF0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保护目标</w:t>
                  </w:r>
                </w:p>
              </w:tc>
            </w:tr>
            <w:tr w14:paraId="20FA2A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72BA2E7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6</w:t>
                  </w:r>
                </w:p>
              </w:tc>
              <w:tc>
                <w:tcPr>
                  <w:tcW w:w="2341" w:type="pct"/>
                  <w:vAlign w:val="center"/>
                </w:tcPr>
                <w:p w14:paraId="4CD5B13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本项目核医学科拟建地南侧</w:t>
                  </w:r>
                  <w:r>
                    <w:rPr>
                      <w:spacing w:val="-6"/>
                      <w:sz w:val="21"/>
                      <w:szCs w:val="21"/>
                      <w:lang w:bidi="ar"/>
                    </w:rPr>
                    <w:t>（现状为</w:t>
                  </w:r>
                  <w:r>
                    <w:rPr>
                      <w:rFonts w:hint="eastAsia"/>
                      <w:spacing w:val="-6"/>
                      <w:sz w:val="21"/>
                      <w:szCs w:val="21"/>
                      <w:lang w:val="en-US" w:eastAsia="zh-CN" w:bidi="ar"/>
                    </w:rPr>
                    <w:t>负一层施工现场</w:t>
                  </w:r>
                  <w:r>
                    <w:rPr>
                      <w:spacing w:val="-6"/>
                      <w:sz w:val="21"/>
                      <w:szCs w:val="21"/>
                      <w:lang w:bidi="ar"/>
                    </w:rPr>
                    <w:t>）</w:t>
                  </w:r>
                </w:p>
              </w:tc>
              <w:tc>
                <w:tcPr>
                  <w:tcW w:w="967" w:type="pct"/>
                  <w:vMerge w:val="continue"/>
                  <w:vAlign w:val="center"/>
                </w:tcPr>
                <w:p w14:paraId="1044763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78D463C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1223EF6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73AA14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4CDA8BC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7</w:t>
                  </w:r>
                </w:p>
              </w:tc>
              <w:tc>
                <w:tcPr>
                  <w:tcW w:w="2341" w:type="pct"/>
                  <w:vAlign w:val="center"/>
                </w:tcPr>
                <w:p w14:paraId="1C2F87D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本项目核医学科拟建地西侧</w:t>
                  </w:r>
                  <w:r>
                    <w:rPr>
                      <w:spacing w:val="-6"/>
                      <w:sz w:val="21"/>
                      <w:szCs w:val="21"/>
                      <w:lang w:bidi="ar"/>
                    </w:rPr>
                    <w:t>（现状为</w:t>
                  </w:r>
                  <w:r>
                    <w:rPr>
                      <w:rFonts w:hint="eastAsia"/>
                      <w:spacing w:val="-6"/>
                      <w:sz w:val="21"/>
                      <w:szCs w:val="21"/>
                      <w:lang w:val="en-US" w:eastAsia="zh-CN" w:bidi="ar"/>
                    </w:rPr>
                    <w:t>负一层施工现场</w:t>
                  </w:r>
                  <w:r>
                    <w:rPr>
                      <w:spacing w:val="-6"/>
                      <w:sz w:val="21"/>
                      <w:szCs w:val="21"/>
                      <w:lang w:bidi="ar"/>
                    </w:rPr>
                    <w:t>）</w:t>
                  </w:r>
                </w:p>
              </w:tc>
              <w:tc>
                <w:tcPr>
                  <w:tcW w:w="967" w:type="pct"/>
                  <w:vMerge w:val="continue"/>
                  <w:vAlign w:val="center"/>
                </w:tcPr>
                <w:p w14:paraId="7A71E20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9E7FA2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7754350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4A093E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7CB4A32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8</w:t>
                  </w:r>
                </w:p>
              </w:tc>
              <w:tc>
                <w:tcPr>
                  <w:tcW w:w="2341" w:type="pct"/>
                  <w:vAlign w:val="center"/>
                </w:tcPr>
                <w:p w14:paraId="1B9B02C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本项目核医学科拟建地北侧</w:t>
                  </w:r>
                  <w:r>
                    <w:rPr>
                      <w:spacing w:val="-6"/>
                      <w:sz w:val="21"/>
                      <w:szCs w:val="21"/>
                      <w:lang w:bidi="ar"/>
                    </w:rPr>
                    <w:t>（现状为</w:t>
                  </w:r>
                  <w:r>
                    <w:rPr>
                      <w:rFonts w:hint="eastAsia"/>
                      <w:spacing w:val="-6"/>
                      <w:sz w:val="21"/>
                      <w:szCs w:val="21"/>
                      <w:lang w:val="en-US" w:eastAsia="zh-CN" w:bidi="ar"/>
                    </w:rPr>
                    <w:t>负一层施工现场</w:t>
                  </w:r>
                  <w:r>
                    <w:rPr>
                      <w:spacing w:val="-6"/>
                      <w:sz w:val="21"/>
                      <w:szCs w:val="21"/>
                      <w:lang w:bidi="ar"/>
                    </w:rPr>
                    <w:t>）</w:t>
                  </w:r>
                </w:p>
              </w:tc>
              <w:tc>
                <w:tcPr>
                  <w:tcW w:w="967" w:type="pct"/>
                  <w:vMerge w:val="continue"/>
                  <w:vAlign w:val="center"/>
                </w:tcPr>
                <w:p w14:paraId="24C4324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5060AF8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5FD4DDE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7E4CCE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43F7AA1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9</w:t>
                  </w:r>
                </w:p>
              </w:tc>
              <w:tc>
                <w:tcPr>
                  <w:tcW w:w="2341" w:type="pct"/>
                  <w:vAlign w:val="center"/>
                </w:tcPr>
                <w:p w14:paraId="5919850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本项目核医学科拟建地上方</w:t>
                  </w:r>
                  <w:r>
                    <w:rPr>
                      <w:spacing w:val="-6"/>
                      <w:sz w:val="21"/>
                      <w:szCs w:val="21"/>
                      <w:lang w:bidi="ar"/>
                    </w:rPr>
                    <w:t>（现状为</w:t>
                  </w:r>
                  <w:r>
                    <w:rPr>
                      <w:rFonts w:hint="eastAsia"/>
                      <w:spacing w:val="-6"/>
                      <w:sz w:val="21"/>
                      <w:szCs w:val="21"/>
                      <w:lang w:val="en-US" w:eastAsia="zh-CN" w:bidi="ar"/>
                    </w:rPr>
                    <w:t>一层施工现场</w:t>
                  </w:r>
                  <w:r>
                    <w:rPr>
                      <w:spacing w:val="-6"/>
                      <w:sz w:val="21"/>
                      <w:szCs w:val="21"/>
                      <w:lang w:bidi="ar"/>
                    </w:rPr>
                    <w:t>）</w:t>
                  </w:r>
                </w:p>
              </w:tc>
              <w:tc>
                <w:tcPr>
                  <w:tcW w:w="967" w:type="pct"/>
                  <w:vMerge w:val="restart"/>
                  <w:vAlign w:val="center"/>
                </w:tcPr>
                <w:p w14:paraId="12BC79D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X-γ辐射剂量率</w:t>
                  </w:r>
                </w:p>
              </w:tc>
              <w:tc>
                <w:tcPr>
                  <w:tcW w:w="603" w:type="pct"/>
                  <w:vMerge w:val="restart"/>
                  <w:vAlign w:val="center"/>
                </w:tcPr>
                <w:p w14:paraId="54A07E3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监测一次</w:t>
                  </w:r>
                </w:p>
              </w:tc>
              <w:tc>
                <w:tcPr>
                  <w:tcW w:w="725" w:type="pct"/>
                  <w:vMerge w:val="continue"/>
                  <w:vAlign w:val="center"/>
                </w:tcPr>
                <w:p w14:paraId="4D2E0D7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3F2EE3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E0879B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10</w:t>
                  </w:r>
                </w:p>
              </w:tc>
              <w:tc>
                <w:tcPr>
                  <w:tcW w:w="2341" w:type="pct"/>
                  <w:vAlign w:val="center"/>
                </w:tcPr>
                <w:p w14:paraId="3A1721D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本项目核医学科拟建地下方</w:t>
                  </w:r>
                  <w:r>
                    <w:rPr>
                      <w:spacing w:val="-6"/>
                      <w:sz w:val="21"/>
                      <w:szCs w:val="21"/>
                      <w:lang w:bidi="ar"/>
                    </w:rPr>
                    <w:t>（现状为</w:t>
                  </w:r>
                  <w:r>
                    <w:rPr>
                      <w:rFonts w:hint="eastAsia"/>
                      <w:spacing w:val="-6"/>
                      <w:sz w:val="21"/>
                      <w:szCs w:val="21"/>
                      <w:lang w:val="en-US" w:eastAsia="zh-CN" w:bidi="ar"/>
                    </w:rPr>
                    <w:t>负二层施工现场</w:t>
                  </w:r>
                  <w:r>
                    <w:rPr>
                      <w:spacing w:val="-6"/>
                      <w:sz w:val="21"/>
                      <w:szCs w:val="21"/>
                      <w:lang w:bidi="ar"/>
                    </w:rPr>
                    <w:t>）</w:t>
                  </w:r>
                </w:p>
              </w:tc>
              <w:tc>
                <w:tcPr>
                  <w:tcW w:w="967" w:type="pct"/>
                  <w:vMerge w:val="continue"/>
                  <w:vAlign w:val="center"/>
                </w:tcPr>
                <w:p w14:paraId="4268F7C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3F654A6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27516E3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180EFB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575739D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11</w:t>
                  </w:r>
                </w:p>
              </w:tc>
              <w:tc>
                <w:tcPr>
                  <w:tcW w:w="2341" w:type="pct"/>
                  <w:vAlign w:val="center"/>
                </w:tcPr>
                <w:p w14:paraId="78AA3DE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rFonts w:hint="eastAsia"/>
                      <w:spacing w:val="-6"/>
                      <w:sz w:val="21"/>
                      <w:szCs w:val="21"/>
                      <w:lang w:val="en-US" w:eastAsia="zh-CN" w:bidi="ar"/>
                    </w:rPr>
                    <w:t>本项目手术部DSA+CT复合手术室</w:t>
                  </w:r>
                  <w:r>
                    <w:rPr>
                      <w:spacing w:val="-6"/>
                      <w:sz w:val="21"/>
                      <w:szCs w:val="21"/>
                      <w:lang w:bidi="ar"/>
                    </w:rPr>
                    <w:t>拟建地（现状为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13B8D28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469D07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Align w:val="center"/>
                </w:tcPr>
                <w:p w14:paraId="52CA3CC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项目拟建地</w:t>
                  </w:r>
                </w:p>
              </w:tc>
            </w:tr>
            <w:tr w14:paraId="302E2A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2891AF6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12</w:t>
                  </w:r>
                </w:p>
              </w:tc>
              <w:tc>
                <w:tcPr>
                  <w:tcW w:w="2341" w:type="pct"/>
                  <w:vAlign w:val="center"/>
                </w:tcPr>
                <w:p w14:paraId="1E22EFD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本项目手术部DSA+CT复合手术室</w:t>
                  </w:r>
                  <w:r>
                    <w:rPr>
                      <w:spacing w:val="-6"/>
                      <w:sz w:val="21"/>
                      <w:szCs w:val="21"/>
                      <w:lang w:bidi="ar"/>
                    </w:rPr>
                    <w:t>拟建地</w:t>
                  </w:r>
                  <w:r>
                    <w:rPr>
                      <w:rFonts w:hint="eastAsia"/>
                      <w:spacing w:val="-6"/>
                      <w:sz w:val="21"/>
                      <w:szCs w:val="21"/>
                      <w:lang w:val="en-US" w:eastAsia="zh-CN" w:bidi="ar"/>
                    </w:rPr>
                    <w:t>东侧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1B9084E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3337767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vMerge w:val="restart"/>
                  <w:vAlign w:val="center"/>
                </w:tcPr>
                <w:p w14:paraId="07934D7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0111083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保护目标</w:t>
                  </w:r>
                </w:p>
              </w:tc>
            </w:tr>
            <w:tr w14:paraId="33AA7D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5E7A503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13</w:t>
                  </w:r>
                </w:p>
              </w:tc>
              <w:tc>
                <w:tcPr>
                  <w:tcW w:w="2341" w:type="pct"/>
                  <w:vAlign w:val="center"/>
                </w:tcPr>
                <w:p w14:paraId="18A0707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本项目手术部DSA+CT复合手术室</w:t>
                  </w:r>
                  <w:r>
                    <w:rPr>
                      <w:spacing w:val="-6"/>
                      <w:sz w:val="21"/>
                      <w:szCs w:val="21"/>
                      <w:lang w:bidi="ar"/>
                    </w:rPr>
                    <w:t>拟建地</w:t>
                  </w:r>
                  <w:r>
                    <w:rPr>
                      <w:rFonts w:hint="eastAsia"/>
                      <w:spacing w:val="-6"/>
                      <w:sz w:val="21"/>
                      <w:szCs w:val="21"/>
                      <w:lang w:val="en-US" w:eastAsia="zh-CN" w:bidi="ar"/>
                    </w:rPr>
                    <w:t>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037AA12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2393CB7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4E2576B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3DB890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55498D9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14</w:t>
                  </w:r>
                </w:p>
              </w:tc>
              <w:tc>
                <w:tcPr>
                  <w:tcW w:w="2341" w:type="pct"/>
                  <w:vAlign w:val="center"/>
                </w:tcPr>
                <w:p w14:paraId="5930874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本项目手术部DSA+CT复合手术室</w:t>
                  </w:r>
                  <w:r>
                    <w:rPr>
                      <w:spacing w:val="-6"/>
                      <w:sz w:val="21"/>
                      <w:szCs w:val="21"/>
                      <w:lang w:bidi="ar"/>
                    </w:rPr>
                    <w:t>拟建地</w:t>
                  </w:r>
                  <w:r>
                    <w:rPr>
                      <w:rFonts w:hint="eastAsia"/>
                      <w:spacing w:val="-6"/>
                      <w:sz w:val="21"/>
                      <w:szCs w:val="21"/>
                      <w:lang w:val="en-US" w:eastAsia="zh-CN" w:bidi="ar"/>
                    </w:rPr>
                    <w:t>西侧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462328E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3AFECB9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686E3D3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5C715C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1C8E2E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p>
              </w:tc>
              <w:tc>
                <w:tcPr>
                  <w:tcW w:w="2341" w:type="pct"/>
                  <w:vAlign w:val="center"/>
                </w:tcPr>
                <w:p w14:paraId="49DEBEC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本项目手术部DSA+CT复合手术室</w:t>
                  </w:r>
                  <w:r>
                    <w:rPr>
                      <w:spacing w:val="-6"/>
                      <w:sz w:val="21"/>
                      <w:szCs w:val="21"/>
                      <w:lang w:bidi="ar"/>
                    </w:rPr>
                    <w:t>拟建地</w:t>
                  </w:r>
                  <w:r>
                    <w:rPr>
                      <w:rFonts w:hint="eastAsia"/>
                      <w:spacing w:val="-6"/>
                      <w:sz w:val="21"/>
                      <w:szCs w:val="21"/>
                      <w:lang w:val="en-US" w:eastAsia="zh-CN" w:bidi="ar"/>
                    </w:rPr>
                    <w:t>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5B3802B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40D287E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4C92605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23EDCD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4C299C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16</w:t>
                  </w:r>
                </w:p>
              </w:tc>
              <w:tc>
                <w:tcPr>
                  <w:tcW w:w="2341" w:type="pct"/>
                  <w:vAlign w:val="center"/>
                </w:tcPr>
                <w:p w14:paraId="7AA1D73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本项目手术部DSA+CT复合手术室</w:t>
                  </w:r>
                  <w:r>
                    <w:rPr>
                      <w:spacing w:val="-6"/>
                      <w:sz w:val="21"/>
                      <w:szCs w:val="21"/>
                      <w:lang w:bidi="ar"/>
                    </w:rPr>
                    <w:t>拟建地</w:t>
                  </w:r>
                  <w:r>
                    <w:rPr>
                      <w:rFonts w:hint="eastAsia"/>
                      <w:spacing w:val="-6"/>
                      <w:sz w:val="21"/>
                      <w:szCs w:val="21"/>
                      <w:lang w:val="en-US" w:eastAsia="zh-CN" w:bidi="ar"/>
                    </w:rPr>
                    <w:t>上方（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restart"/>
                  <w:shd w:val="clear" w:color="auto" w:fill="auto"/>
                  <w:vAlign w:val="center"/>
                </w:tcPr>
                <w:p w14:paraId="33985D8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X-γ辐射剂量率</w:t>
                  </w:r>
                </w:p>
              </w:tc>
              <w:tc>
                <w:tcPr>
                  <w:tcW w:w="603" w:type="pct"/>
                  <w:vMerge w:val="restart"/>
                  <w:shd w:val="clear" w:color="auto" w:fill="auto"/>
                  <w:vAlign w:val="center"/>
                </w:tcPr>
                <w:p w14:paraId="13552DE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监测一次</w:t>
                  </w:r>
                </w:p>
              </w:tc>
              <w:tc>
                <w:tcPr>
                  <w:tcW w:w="725" w:type="pct"/>
                  <w:vMerge w:val="restart"/>
                  <w:shd w:val="clear" w:color="auto" w:fill="auto"/>
                  <w:vAlign w:val="center"/>
                </w:tcPr>
                <w:p w14:paraId="3F4048E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02C60FC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保护目标</w:t>
                  </w:r>
                </w:p>
              </w:tc>
            </w:tr>
            <w:tr w14:paraId="139E4B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401C1A8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17</w:t>
                  </w:r>
                </w:p>
              </w:tc>
              <w:tc>
                <w:tcPr>
                  <w:tcW w:w="2341" w:type="pct"/>
                  <w:vAlign w:val="center"/>
                </w:tcPr>
                <w:p w14:paraId="4088185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spacing w:val="-6"/>
                      <w:sz w:val="21"/>
                      <w:szCs w:val="21"/>
                      <w:lang w:val="en-US" w:eastAsia="zh-CN" w:bidi="ar"/>
                    </w:rPr>
                  </w:pPr>
                  <w:r>
                    <w:rPr>
                      <w:rFonts w:hint="eastAsia"/>
                      <w:spacing w:val="-6"/>
                      <w:sz w:val="21"/>
                      <w:szCs w:val="21"/>
                      <w:lang w:val="en-US" w:eastAsia="zh-CN" w:bidi="ar"/>
                    </w:rPr>
                    <w:t>本项目手术部DSA+CT复合手术室</w:t>
                  </w:r>
                  <w:r>
                    <w:rPr>
                      <w:spacing w:val="-6"/>
                      <w:sz w:val="21"/>
                      <w:szCs w:val="21"/>
                      <w:lang w:bidi="ar"/>
                    </w:rPr>
                    <w:t>拟建地</w:t>
                  </w:r>
                  <w:r>
                    <w:rPr>
                      <w:rFonts w:hint="eastAsia"/>
                      <w:spacing w:val="-6"/>
                      <w:sz w:val="21"/>
                      <w:szCs w:val="21"/>
                      <w:lang w:val="en-US" w:eastAsia="zh-CN" w:bidi="ar"/>
                    </w:rPr>
                    <w:t>下方（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142311B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07CCF5C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396CEC7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206541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5F20D71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18</w:t>
                  </w:r>
                </w:p>
              </w:tc>
              <w:tc>
                <w:tcPr>
                  <w:tcW w:w="2341" w:type="pct"/>
                  <w:shd w:val="clear" w:color="auto" w:fill="auto"/>
                  <w:vAlign w:val="center"/>
                </w:tcPr>
                <w:p w14:paraId="2A195D4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SA"/>
                    </w:rPr>
                  </w:pPr>
                  <w:r>
                    <w:rPr>
                      <w:rFonts w:hint="eastAsia"/>
                      <w:spacing w:val="-6"/>
                      <w:sz w:val="21"/>
                      <w:szCs w:val="21"/>
                      <w:lang w:val="en-US" w:eastAsia="zh-CN" w:bidi="ar"/>
                    </w:rPr>
                    <w:t>本项目手术部DSA手术室（OR09）</w:t>
                  </w:r>
                  <w:r>
                    <w:rPr>
                      <w:spacing w:val="-6"/>
                      <w:sz w:val="21"/>
                      <w:szCs w:val="21"/>
                      <w:lang w:bidi="ar"/>
                    </w:rPr>
                    <w:t>拟建地（现状为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67962AA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1FFEB6C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shd w:val="clear" w:color="auto" w:fill="auto"/>
                  <w:vAlign w:val="center"/>
                </w:tcPr>
                <w:p w14:paraId="1CEB6E1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项目拟建地</w:t>
                  </w:r>
                </w:p>
              </w:tc>
            </w:tr>
            <w:tr w14:paraId="4EF76A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16BD966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19</w:t>
                  </w:r>
                </w:p>
              </w:tc>
              <w:tc>
                <w:tcPr>
                  <w:tcW w:w="2341" w:type="pct"/>
                  <w:shd w:val="clear" w:color="auto" w:fill="auto"/>
                  <w:vAlign w:val="center"/>
                </w:tcPr>
                <w:p w14:paraId="48F9716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本项目手术部DSA手术室（OR09）</w:t>
                  </w:r>
                  <w:r>
                    <w:rPr>
                      <w:spacing w:val="-6"/>
                      <w:sz w:val="21"/>
                      <w:szCs w:val="21"/>
                      <w:lang w:bidi="ar"/>
                    </w:rPr>
                    <w:t>拟建地</w:t>
                  </w:r>
                  <w:r>
                    <w:rPr>
                      <w:rFonts w:hint="eastAsia"/>
                      <w:spacing w:val="-6"/>
                      <w:sz w:val="21"/>
                      <w:szCs w:val="21"/>
                      <w:lang w:val="en-US" w:eastAsia="zh-CN" w:bidi="ar"/>
                    </w:rPr>
                    <w:t>东侧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0B2D6EE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600FEDF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vMerge w:val="restart"/>
                  <w:shd w:val="clear" w:color="auto" w:fill="auto"/>
                  <w:vAlign w:val="center"/>
                </w:tcPr>
                <w:p w14:paraId="7F4E28F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7B8E4A9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保护目标</w:t>
                  </w:r>
                </w:p>
              </w:tc>
            </w:tr>
            <w:tr w14:paraId="3F4BF5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B0A99F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20</w:t>
                  </w:r>
                </w:p>
              </w:tc>
              <w:tc>
                <w:tcPr>
                  <w:tcW w:w="2341" w:type="pct"/>
                  <w:shd w:val="clear" w:color="auto" w:fill="auto"/>
                  <w:vAlign w:val="center"/>
                </w:tcPr>
                <w:p w14:paraId="0454B4A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本项目手术部DSA手术室（OR09）</w:t>
                  </w:r>
                  <w:r>
                    <w:rPr>
                      <w:spacing w:val="-6"/>
                      <w:sz w:val="21"/>
                      <w:szCs w:val="21"/>
                      <w:lang w:bidi="ar"/>
                    </w:rPr>
                    <w:t>拟建地</w:t>
                  </w:r>
                  <w:r>
                    <w:rPr>
                      <w:rFonts w:hint="eastAsia"/>
                      <w:spacing w:val="-6"/>
                      <w:sz w:val="21"/>
                      <w:szCs w:val="21"/>
                      <w:lang w:val="en-US" w:eastAsia="zh-CN" w:bidi="ar"/>
                    </w:rPr>
                    <w:t>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683ACCD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A2B96E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22B4BE5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0CAE53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573D3E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21</w:t>
                  </w:r>
                </w:p>
              </w:tc>
              <w:tc>
                <w:tcPr>
                  <w:tcW w:w="2341" w:type="pct"/>
                  <w:shd w:val="clear" w:color="auto" w:fill="auto"/>
                  <w:vAlign w:val="center"/>
                </w:tcPr>
                <w:p w14:paraId="71DDEFF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本项目手术部DSA手术室（OR09）</w:t>
                  </w:r>
                  <w:r>
                    <w:rPr>
                      <w:spacing w:val="-6"/>
                      <w:sz w:val="21"/>
                      <w:szCs w:val="21"/>
                      <w:lang w:bidi="ar"/>
                    </w:rPr>
                    <w:t>拟建地</w:t>
                  </w:r>
                  <w:r>
                    <w:rPr>
                      <w:rFonts w:hint="eastAsia"/>
                      <w:spacing w:val="-6"/>
                      <w:sz w:val="21"/>
                      <w:szCs w:val="21"/>
                      <w:lang w:val="en-US" w:eastAsia="zh-CN" w:bidi="ar"/>
                    </w:rPr>
                    <w:t>西侧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5FF98E0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741464B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03F0B4B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319A9A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47B4B0B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22</w:t>
                  </w:r>
                </w:p>
              </w:tc>
              <w:tc>
                <w:tcPr>
                  <w:tcW w:w="2341" w:type="pct"/>
                  <w:shd w:val="clear" w:color="auto" w:fill="auto"/>
                  <w:vAlign w:val="center"/>
                </w:tcPr>
                <w:p w14:paraId="57FF544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本项目手术部DSA手术室（OR09）</w:t>
                  </w:r>
                  <w:r>
                    <w:rPr>
                      <w:spacing w:val="-6"/>
                      <w:sz w:val="21"/>
                      <w:szCs w:val="21"/>
                      <w:lang w:bidi="ar"/>
                    </w:rPr>
                    <w:t>拟建地</w:t>
                  </w:r>
                  <w:r>
                    <w:rPr>
                      <w:rFonts w:hint="eastAsia"/>
                      <w:spacing w:val="-6"/>
                      <w:sz w:val="21"/>
                      <w:szCs w:val="21"/>
                      <w:lang w:val="en-US" w:eastAsia="zh-CN" w:bidi="ar"/>
                    </w:rPr>
                    <w:t>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48C0974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7A766EF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77903A2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3E6E2F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1F9A285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23</w:t>
                  </w:r>
                </w:p>
              </w:tc>
              <w:tc>
                <w:tcPr>
                  <w:tcW w:w="2341" w:type="pct"/>
                  <w:shd w:val="clear" w:color="auto" w:fill="auto"/>
                  <w:vAlign w:val="center"/>
                </w:tcPr>
                <w:p w14:paraId="380D376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本项目手术部DSA手术室（OR09）</w:t>
                  </w:r>
                  <w:r>
                    <w:rPr>
                      <w:spacing w:val="-6"/>
                      <w:sz w:val="21"/>
                      <w:szCs w:val="21"/>
                      <w:lang w:bidi="ar"/>
                    </w:rPr>
                    <w:t>拟建地</w:t>
                  </w:r>
                  <w:r>
                    <w:rPr>
                      <w:rFonts w:hint="eastAsia"/>
                      <w:spacing w:val="-6"/>
                      <w:sz w:val="21"/>
                      <w:szCs w:val="21"/>
                      <w:lang w:val="en-US" w:eastAsia="zh-CN" w:bidi="ar"/>
                    </w:rPr>
                    <w:t>上方（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433CAD7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2596D2B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2F73A18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6E1DD2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7DCA703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24</w:t>
                  </w:r>
                </w:p>
              </w:tc>
              <w:tc>
                <w:tcPr>
                  <w:tcW w:w="2341" w:type="pct"/>
                  <w:shd w:val="clear" w:color="auto" w:fill="auto"/>
                  <w:vAlign w:val="center"/>
                </w:tcPr>
                <w:p w14:paraId="4ABB338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本项目手术部DSA手术室（OR09）</w:t>
                  </w:r>
                  <w:r>
                    <w:rPr>
                      <w:spacing w:val="-6"/>
                      <w:sz w:val="21"/>
                      <w:szCs w:val="21"/>
                      <w:lang w:bidi="ar"/>
                    </w:rPr>
                    <w:t>拟建地</w:t>
                  </w:r>
                  <w:r>
                    <w:rPr>
                      <w:rFonts w:hint="eastAsia"/>
                      <w:spacing w:val="-6"/>
                      <w:sz w:val="21"/>
                      <w:szCs w:val="21"/>
                      <w:lang w:val="en-US" w:eastAsia="zh-CN" w:bidi="ar"/>
                    </w:rPr>
                    <w:t>下方（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1082DC0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2553FCD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72F8378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6CEC9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07B3A10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bidi="ar"/>
                    </w:rPr>
                    <w:t>25</w:t>
                  </w:r>
                </w:p>
              </w:tc>
              <w:tc>
                <w:tcPr>
                  <w:tcW w:w="2341" w:type="pct"/>
                  <w:shd w:val="clear" w:color="auto" w:fill="auto"/>
                  <w:vAlign w:val="center"/>
                </w:tcPr>
                <w:p w14:paraId="3AADC39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SA"/>
                    </w:rPr>
                  </w:pPr>
                  <w:r>
                    <w:rPr>
                      <w:rFonts w:hint="eastAsia"/>
                      <w:spacing w:val="-6"/>
                      <w:sz w:val="21"/>
                      <w:szCs w:val="21"/>
                      <w:lang w:val="en-US" w:eastAsia="zh-CN" w:bidi="ar"/>
                    </w:rPr>
                    <w:t>本项目手术部DSA手术室（OR10）</w:t>
                  </w:r>
                  <w:r>
                    <w:rPr>
                      <w:spacing w:val="-6"/>
                      <w:sz w:val="21"/>
                      <w:szCs w:val="21"/>
                      <w:lang w:bidi="ar"/>
                    </w:rPr>
                    <w:t>拟建地（现状为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5E64788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1B7021A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shd w:val="clear" w:color="auto" w:fill="auto"/>
                  <w:vAlign w:val="center"/>
                </w:tcPr>
                <w:p w14:paraId="2D57ED4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项目拟建地</w:t>
                  </w:r>
                </w:p>
              </w:tc>
            </w:tr>
            <w:tr w14:paraId="668874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3208ABE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spacing w:val="-6"/>
                      <w:sz w:val="21"/>
                      <w:szCs w:val="21"/>
                      <w:lang w:val="en-US" w:eastAsia="zh-CN" w:bidi="ar"/>
                    </w:rPr>
                    <w:t>26</w:t>
                  </w:r>
                </w:p>
              </w:tc>
              <w:tc>
                <w:tcPr>
                  <w:tcW w:w="2341" w:type="pct"/>
                  <w:shd w:val="clear" w:color="auto" w:fill="auto"/>
                  <w:vAlign w:val="center"/>
                </w:tcPr>
                <w:p w14:paraId="107907D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本项目手术部DSA手术室（OR10）</w:t>
                  </w:r>
                  <w:r>
                    <w:rPr>
                      <w:spacing w:val="-6"/>
                      <w:sz w:val="21"/>
                      <w:szCs w:val="21"/>
                      <w:lang w:bidi="ar"/>
                    </w:rPr>
                    <w:t>拟建地</w:t>
                  </w:r>
                  <w:r>
                    <w:rPr>
                      <w:rFonts w:hint="eastAsia"/>
                      <w:spacing w:val="-6"/>
                      <w:sz w:val="21"/>
                      <w:szCs w:val="21"/>
                      <w:lang w:val="en-US" w:eastAsia="zh-CN" w:bidi="ar"/>
                    </w:rPr>
                    <w:t>东侧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4D4B6C3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3CCADF4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vMerge w:val="restart"/>
                  <w:shd w:val="clear" w:color="auto" w:fill="auto"/>
                  <w:vAlign w:val="center"/>
                </w:tcPr>
                <w:p w14:paraId="41EC670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54F5FCD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保护目标</w:t>
                  </w:r>
                </w:p>
              </w:tc>
            </w:tr>
            <w:tr w14:paraId="34F3D6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0DD38D0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spacing w:val="-6"/>
                      <w:sz w:val="21"/>
                      <w:szCs w:val="21"/>
                      <w:lang w:val="en-US" w:eastAsia="zh-CN" w:bidi="ar"/>
                    </w:rPr>
                    <w:t>27</w:t>
                  </w:r>
                </w:p>
              </w:tc>
              <w:tc>
                <w:tcPr>
                  <w:tcW w:w="2341" w:type="pct"/>
                  <w:shd w:val="clear" w:color="auto" w:fill="auto"/>
                  <w:vAlign w:val="center"/>
                </w:tcPr>
                <w:p w14:paraId="5FA1295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本项目手术部DSA手术室（OR10）</w:t>
                  </w:r>
                  <w:r>
                    <w:rPr>
                      <w:spacing w:val="-6"/>
                      <w:sz w:val="21"/>
                      <w:szCs w:val="21"/>
                      <w:lang w:bidi="ar"/>
                    </w:rPr>
                    <w:t>拟建地</w:t>
                  </w:r>
                  <w:r>
                    <w:rPr>
                      <w:rFonts w:hint="eastAsia"/>
                      <w:spacing w:val="-6"/>
                      <w:sz w:val="21"/>
                      <w:szCs w:val="21"/>
                      <w:lang w:val="en-US" w:eastAsia="zh-CN" w:bidi="ar"/>
                    </w:rPr>
                    <w:t>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2C64AC0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778E334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012B9B7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066ABA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7995523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sz w:val="21"/>
                      <w:szCs w:val="21"/>
                      <w:lang w:val="en-US" w:eastAsia="zh-CN" w:bidi="ar-SA"/>
                    </w:rPr>
                  </w:pPr>
                  <w:r>
                    <w:rPr>
                      <w:rFonts w:hint="eastAsia" w:eastAsia="宋体" w:cs="Times New Roman"/>
                      <w:bCs/>
                      <w:spacing w:val="-6"/>
                      <w:sz w:val="21"/>
                      <w:szCs w:val="21"/>
                      <w:lang w:val="en-US" w:eastAsia="zh-CN" w:bidi="ar-SA"/>
                    </w:rPr>
                    <w:t>28</w:t>
                  </w:r>
                </w:p>
              </w:tc>
              <w:tc>
                <w:tcPr>
                  <w:tcW w:w="2341" w:type="pct"/>
                  <w:shd w:val="clear" w:color="auto" w:fill="auto"/>
                  <w:vAlign w:val="center"/>
                </w:tcPr>
                <w:p w14:paraId="5D8FBC2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本项目手术部DSA手术室（OR10）</w:t>
                  </w:r>
                  <w:r>
                    <w:rPr>
                      <w:spacing w:val="-6"/>
                      <w:sz w:val="21"/>
                      <w:szCs w:val="21"/>
                      <w:lang w:bidi="ar"/>
                    </w:rPr>
                    <w:t>拟建地</w:t>
                  </w:r>
                  <w:r>
                    <w:rPr>
                      <w:rFonts w:hint="eastAsia"/>
                      <w:spacing w:val="-6"/>
                      <w:sz w:val="21"/>
                      <w:szCs w:val="21"/>
                      <w:lang w:val="en-US" w:eastAsia="zh-CN" w:bidi="ar"/>
                    </w:rPr>
                    <w:t>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46103DC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2A1899A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2C2FA5A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6BB4F8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2CA41C9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kern w:val="2"/>
                      <w:sz w:val="21"/>
                      <w:szCs w:val="21"/>
                      <w:lang w:val="en-US" w:eastAsia="zh-CN" w:bidi="ar-SA"/>
                    </w:rPr>
                  </w:pPr>
                  <w:r>
                    <w:rPr>
                      <w:rFonts w:hint="eastAsia"/>
                      <w:spacing w:val="-6"/>
                      <w:sz w:val="21"/>
                      <w:szCs w:val="21"/>
                      <w:lang w:val="en-US" w:eastAsia="zh-CN" w:bidi="ar"/>
                    </w:rPr>
                    <w:t>29</w:t>
                  </w:r>
                </w:p>
              </w:tc>
              <w:tc>
                <w:tcPr>
                  <w:tcW w:w="2341" w:type="pct"/>
                  <w:shd w:val="clear" w:color="auto" w:fill="auto"/>
                  <w:vAlign w:val="center"/>
                </w:tcPr>
                <w:p w14:paraId="6EA0AF9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本项目手术部DSA手术室（OR10）</w:t>
                  </w:r>
                  <w:r>
                    <w:rPr>
                      <w:spacing w:val="-6"/>
                      <w:sz w:val="21"/>
                      <w:szCs w:val="21"/>
                      <w:lang w:bidi="ar"/>
                    </w:rPr>
                    <w:t>拟建地</w:t>
                  </w:r>
                  <w:r>
                    <w:rPr>
                      <w:rFonts w:hint="eastAsia"/>
                      <w:spacing w:val="-6"/>
                      <w:sz w:val="21"/>
                      <w:szCs w:val="21"/>
                      <w:lang w:val="en-US" w:eastAsia="zh-CN" w:bidi="ar"/>
                    </w:rPr>
                    <w:t>上方（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36EA33E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BF131D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3DF0560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72BAEB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140944F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kern w:val="2"/>
                      <w:sz w:val="21"/>
                      <w:szCs w:val="21"/>
                      <w:lang w:val="en-US" w:eastAsia="zh-CN" w:bidi="ar-SA"/>
                    </w:rPr>
                  </w:pPr>
                  <w:r>
                    <w:rPr>
                      <w:rFonts w:hint="eastAsia"/>
                      <w:spacing w:val="-6"/>
                      <w:sz w:val="21"/>
                      <w:szCs w:val="21"/>
                      <w:lang w:val="en-US" w:eastAsia="zh-CN" w:bidi="ar"/>
                    </w:rPr>
                    <w:t>30</w:t>
                  </w:r>
                </w:p>
              </w:tc>
              <w:tc>
                <w:tcPr>
                  <w:tcW w:w="2341" w:type="pct"/>
                  <w:shd w:val="clear" w:color="auto" w:fill="auto"/>
                  <w:vAlign w:val="center"/>
                </w:tcPr>
                <w:p w14:paraId="755EBF0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本项目手术部DSA手术室（OR10）</w:t>
                  </w:r>
                  <w:r>
                    <w:rPr>
                      <w:spacing w:val="-6"/>
                      <w:sz w:val="21"/>
                      <w:szCs w:val="21"/>
                      <w:lang w:bidi="ar"/>
                    </w:rPr>
                    <w:t>拟建地</w:t>
                  </w:r>
                  <w:r>
                    <w:rPr>
                      <w:rFonts w:hint="eastAsia"/>
                      <w:spacing w:val="-6"/>
                      <w:sz w:val="21"/>
                      <w:szCs w:val="21"/>
                      <w:lang w:val="en-US" w:eastAsia="zh-CN" w:bidi="ar"/>
                    </w:rPr>
                    <w:t>下方（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4DF26AE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DE23E7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0433B81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0D265F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375BEDD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kern w:val="2"/>
                      <w:sz w:val="21"/>
                      <w:szCs w:val="21"/>
                      <w:lang w:val="en-US" w:eastAsia="zh-CN" w:bidi="ar-SA"/>
                    </w:rPr>
                  </w:pPr>
                  <w:r>
                    <w:rPr>
                      <w:rFonts w:hint="eastAsia"/>
                      <w:spacing w:val="-6"/>
                      <w:sz w:val="21"/>
                      <w:szCs w:val="21"/>
                      <w:lang w:val="en-US" w:eastAsia="zh-CN" w:bidi="ar"/>
                    </w:rPr>
                    <w:t>31</w:t>
                  </w:r>
                </w:p>
              </w:tc>
              <w:tc>
                <w:tcPr>
                  <w:tcW w:w="2341" w:type="pct"/>
                  <w:shd w:val="clear" w:color="auto" w:fill="auto"/>
                  <w:vAlign w:val="center"/>
                </w:tcPr>
                <w:p w14:paraId="443DA5A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SA"/>
                    </w:rPr>
                  </w:pPr>
                  <w:r>
                    <w:rPr>
                      <w:rFonts w:hint="eastAsia"/>
                      <w:spacing w:val="-6"/>
                      <w:sz w:val="21"/>
                      <w:szCs w:val="21"/>
                      <w:lang w:val="en-US" w:eastAsia="zh-CN" w:bidi="ar"/>
                    </w:rPr>
                    <w:t>本项目手术部DSA手术室（OR11）</w:t>
                  </w:r>
                  <w:r>
                    <w:rPr>
                      <w:spacing w:val="-6"/>
                      <w:sz w:val="21"/>
                      <w:szCs w:val="21"/>
                      <w:lang w:bidi="ar"/>
                    </w:rPr>
                    <w:t>拟建地（现状为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159879B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6ACA06C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shd w:val="clear" w:color="auto" w:fill="auto"/>
                  <w:vAlign w:val="center"/>
                </w:tcPr>
                <w:p w14:paraId="3B9C0C3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项目拟建地</w:t>
                  </w:r>
                </w:p>
              </w:tc>
            </w:tr>
            <w:tr w14:paraId="10FC05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4F5D03C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kern w:val="2"/>
                      <w:sz w:val="21"/>
                      <w:szCs w:val="21"/>
                      <w:lang w:val="en-US" w:eastAsia="zh-CN" w:bidi="ar-SA"/>
                    </w:rPr>
                  </w:pPr>
                  <w:r>
                    <w:rPr>
                      <w:rFonts w:hint="eastAsia"/>
                      <w:spacing w:val="-6"/>
                      <w:sz w:val="21"/>
                      <w:szCs w:val="21"/>
                      <w:lang w:val="en-US" w:eastAsia="zh-CN" w:bidi="ar"/>
                    </w:rPr>
                    <w:t>32</w:t>
                  </w:r>
                </w:p>
              </w:tc>
              <w:tc>
                <w:tcPr>
                  <w:tcW w:w="2341" w:type="pct"/>
                  <w:shd w:val="clear" w:color="auto" w:fill="auto"/>
                  <w:vAlign w:val="center"/>
                </w:tcPr>
                <w:p w14:paraId="0560C14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本项目手术部DSA手术室（OR11）</w:t>
                  </w:r>
                  <w:r>
                    <w:rPr>
                      <w:spacing w:val="-6"/>
                      <w:sz w:val="21"/>
                      <w:szCs w:val="21"/>
                      <w:lang w:bidi="ar"/>
                    </w:rPr>
                    <w:t>拟建地</w:t>
                  </w:r>
                  <w:r>
                    <w:rPr>
                      <w:rFonts w:hint="eastAsia"/>
                      <w:spacing w:val="-6"/>
                      <w:sz w:val="21"/>
                      <w:szCs w:val="21"/>
                      <w:lang w:val="en-US" w:eastAsia="zh-CN" w:bidi="ar"/>
                    </w:rPr>
                    <w:t>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118D78A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0E1601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restart"/>
                  <w:vAlign w:val="center"/>
                </w:tcPr>
                <w:p w14:paraId="1D0E378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5432D05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保护目标</w:t>
                  </w:r>
                </w:p>
              </w:tc>
            </w:tr>
            <w:tr w14:paraId="13CD60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1BFA6EC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Cs/>
                      <w:spacing w:val="-6"/>
                      <w:kern w:val="2"/>
                      <w:sz w:val="21"/>
                      <w:szCs w:val="21"/>
                      <w:lang w:val="en-US" w:eastAsia="zh-CN" w:bidi="ar-SA"/>
                    </w:rPr>
                  </w:pPr>
                  <w:r>
                    <w:rPr>
                      <w:rFonts w:hint="eastAsia"/>
                      <w:spacing w:val="-6"/>
                      <w:sz w:val="21"/>
                      <w:szCs w:val="21"/>
                      <w:lang w:val="en-US" w:eastAsia="zh-CN" w:bidi="ar"/>
                    </w:rPr>
                    <w:t>33</w:t>
                  </w:r>
                </w:p>
              </w:tc>
              <w:tc>
                <w:tcPr>
                  <w:tcW w:w="2341" w:type="pct"/>
                  <w:shd w:val="clear" w:color="auto" w:fill="auto"/>
                  <w:vAlign w:val="center"/>
                </w:tcPr>
                <w:p w14:paraId="2DA8D8F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本项目手术部DSA手术室（OR11）</w:t>
                  </w:r>
                  <w:r>
                    <w:rPr>
                      <w:spacing w:val="-6"/>
                      <w:sz w:val="21"/>
                      <w:szCs w:val="21"/>
                      <w:lang w:bidi="ar"/>
                    </w:rPr>
                    <w:t>拟建地</w:t>
                  </w:r>
                  <w:r>
                    <w:rPr>
                      <w:rFonts w:hint="eastAsia"/>
                      <w:spacing w:val="-6"/>
                      <w:sz w:val="21"/>
                      <w:szCs w:val="21"/>
                      <w:lang w:val="en-US" w:eastAsia="zh-CN" w:bidi="ar"/>
                    </w:rPr>
                    <w:t>西侧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010F16D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242EBE9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268CD9B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03DC38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7C244F8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34</w:t>
                  </w:r>
                </w:p>
              </w:tc>
              <w:tc>
                <w:tcPr>
                  <w:tcW w:w="2341" w:type="pct"/>
                  <w:shd w:val="clear" w:color="auto" w:fill="auto"/>
                  <w:vAlign w:val="center"/>
                </w:tcPr>
                <w:p w14:paraId="30CEE44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本项目手术部DSA手术室（OR11）</w:t>
                  </w:r>
                  <w:r>
                    <w:rPr>
                      <w:spacing w:val="-6"/>
                      <w:sz w:val="21"/>
                      <w:szCs w:val="21"/>
                      <w:lang w:bidi="ar"/>
                    </w:rPr>
                    <w:t>拟建地</w:t>
                  </w:r>
                  <w:r>
                    <w:rPr>
                      <w:rFonts w:hint="eastAsia"/>
                      <w:spacing w:val="-6"/>
                      <w:sz w:val="21"/>
                      <w:szCs w:val="21"/>
                      <w:lang w:val="en-US" w:eastAsia="zh-CN" w:bidi="ar"/>
                    </w:rPr>
                    <w:t>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restart"/>
                  <w:shd w:val="clear" w:color="auto" w:fill="auto"/>
                  <w:vAlign w:val="center"/>
                </w:tcPr>
                <w:p w14:paraId="51FBC07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X-γ辐射剂量率</w:t>
                  </w:r>
                </w:p>
              </w:tc>
              <w:tc>
                <w:tcPr>
                  <w:tcW w:w="603" w:type="pct"/>
                  <w:vMerge w:val="restart"/>
                  <w:shd w:val="clear" w:color="auto" w:fill="auto"/>
                  <w:vAlign w:val="center"/>
                </w:tcPr>
                <w:p w14:paraId="59C1C9E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监测一次</w:t>
                  </w:r>
                </w:p>
              </w:tc>
              <w:tc>
                <w:tcPr>
                  <w:tcW w:w="725" w:type="pct"/>
                  <w:vMerge w:val="restart"/>
                  <w:vAlign w:val="center"/>
                </w:tcPr>
                <w:p w14:paraId="5816360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6AAA891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保护目标</w:t>
                  </w:r>
                </w:p>
              </w:tc>
            </w:tr>
            <w:tr w14:paraId="466000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52FC561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sz w:val="21"/>
                      <w:szCs w:val="21"/>
                      <w:lang w:val="en-US" w:eastAsia="zh-CN" w:bidi="ar"/>
                    </w:rPr>
                  </w:pPr>
                  <w:r>
                    <w:rPr>
                      <w:rFonts w:hint="eastAsia" w:eastAsia="宋体" w:cs="Times New Roman"/>
                      <w:spacing w:val="-6"/>
                      <w:sz w:val="21"/>
                      <w:szCs w:val="21"/>
                      <w:lang w:val="en-US" w:eastAsia="zh-CN" w:bidi="ar"/>
                    </w:rPr>
                    <w:t>35</w:t>
                  </w:r>
                </w:p>
              </w:tc>
              <w:tc>
                <w:tcPr>
                  <w:tcW w:w="2341" w:type="pct"/>
                  <w:shd w:val="clear" w:color="auto" w:fill="auto"/>
                  <w:vAlign w:val="center"/>
                </w:tcPr>
                <w:p w14:paraId="62CF215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本项目手术部DSA手术室（OR11）</w:t>
                  </w:r>
                  <w:r>
                    <w:rPr>
                      <w:spacing w:val="-6"/>
                      <w:sz w:val="21"/>
                      <w:szCs w:val="21"/>
                      <w:lang w:bidi="ar"/>
                    </w:rPr>
                    <w:t>拟建地</w:t>
                  </w:r>
                  <w:r>
                    <w:rPr>
                      <w:rFonts w:hint="eastAsia"/>
                      <w:spacing w:val="-6"/>
                      <w:sz w:val="21"/>
                      <w:szCs w:val="21"/>
                      <w:lang w:val="en-US" w:eastAsia="zh-CN" w:bidi="ar"/>
                    </w:rPr>
                    <w:t>上方（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7B1D546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0B2DCB4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000B6AF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026E80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AC081C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sz w:val="21"/>
                      <w:szCs w:val="21"/>
                      <w:lang w:val="en-US" w:eastAsia="zh-CN" w:bidi="ar"/>
                    </w:rPr>
                  </w:pPr>
                  <w:r>
                    <w:rPr>
                      <w:rFonts w:hint="eastAsia" w:eastAsia="宋体" w:cs="Times New Roman"/>
                      <w:spacing w:val="-6"/>
                      <w:sz w:val="21"/>
                      <w:szCs w:val="21"/>
                      <w:lang w:val="en-US" w:eastAsia="zh-CN" w:bidi="ar"/>
                    </w:rPr>
                    <w:t>36</w:t>
                  </w:r>
                </w:p>
              </w:tc>
              <w:tc>
                <w:tcPr>
                  <w:tcW w:w="2341" w:type="pct"/>
                  <w:shd w:val="clear" w:color="auto" w:fill="auto"/>
                  <w:vAlign w:val="center"/>
                </w:tcPr>
                <w:p w14:paraId="4AC880A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本项目手术部DSA手术室（OR11）</w:t>
                  </w:r>
                  <w:r>
                    <w:rPr>
                      <w:spacing w:val="-6"/>
                      <w:sz w:val="21"/>
                      <w:szCs w:val="21"/>
                      <w:lang w:bidi="ar"/>
                    </w:rPr>
                    <w:t>拟建地</w:t>
                  </w:r>
                  <w:r>
                    <w:rPr>
                      <w:rFonts w:hint="eastAsia"/>
                      <w:spacing w:val="-6"/>
                      <w:sz w:val="21"/>
                      <w:szCs w:val="21"/>
                      <w:lang w:val="en-US" w:eastAsia="zh-CN" w:bidi="ar"/>
                    </w:rPr>
                    <w:t>下方（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6AC4EE6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56C93B7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7AF727A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018CE5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E85E0D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37</w:t>
                  </w:r>
                </w:p>
              </w:tc>
              <w:tc>
                <w:tcPr>
                  <w:tcW w:w="2341" w:type="pct"/>
                  <w:shd w:val="clear" w:color="auto" w:fill="auto"/>
                  <w:vAlign w:val="center"/>
                </w:tcPr>
                <w:p w14:paraId="4315C70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SA"/>
                    </w:rPr>
                  </w:pPr>
                  <w:r>
                    <w:rPr>
                      <w:rFonts w:hint="eastAsia"/>
                      <w:spacing w:val="-6"/>
                      <w:sz w:val="21"/>
                      <w:szCs w:val="21"/>
                      <w:lang w:val="en-US" w:eastAsia="zh-CN" w:bidi="ar"/>
                    </w:rPr>
                    <w:t>本项目内镜中心ERCP室</w:t>
                  </w:r>
                  <w:r>
                    <w:rPr>
                      <w:spacing w:val="-6"/>
                      <w:sz w:val="21"/>
                      <w:szCs w:val="21"/>
                      <w:lang w:bidi="ar"/>
                    </w:rPr>
                    <w:t>拟建地（现状为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2BF412B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5D25C9F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shd w:val="clear" w:color="auto" w:fill="auto"/>
                  <w:vAlign w:val="center"/>
                </w:tcPr>
                <w:p w14:paraId="3C24C76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项目拟建地</w:t>
                  </w:r>
                </w:p>
              </w:tc>
            </w:tr>
            <w:tr w14:paraId="58A0C0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026DCC1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38</w:t>
                  </w:r>
                </w:p>
              </w:tc>
              <w:tc>
                <w:tcPr>
                  <w:tcW w:w="2341" w:type="pct"/>
                  <w:shd w:val="clear" w:color="auto" w:fill="auto"/>
                  <w:vAlign w:val="center"/>
                </w:tcPr>
                <w:p w14:paraId="765C0D0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本项目内镜中心ERCP室</w:t>
                  </w:r>
                  <w:r>
                    <w:rPr>
                      <w:spacing w:val="-6"/>
                      <w:sz w:val="21"/>
                      <w:szCs w:val="21"/>
                      <w:lang w:bidi="ar"/>
                    </w:rPr>
                    <w:t>拟建地</w:t>
                  </w:r>
                  <w:r>
                    <w:rPr>
                      <w:rFonts w:hint="eastAsia"/>
                      <w:spacing w:val="-6"/>
                      <w:sz w:val="21"/>
                      <w:szCs w:val="21"/>
                      <w:lang w:val="en-US" w:eastAsia="zh-CN" w:bidi="ar"/>
                    </w:rPr>
                    <w:t>东侧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3E41566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1B45746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restart"/>
                  <w:vAlign w:val="center"/>
                </w:tcPr>
                <w:p w14:paraId="3D17365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r>
                    <w:rPr>
                      <w:spacing w:val="-6"/>
                      <w:sz w:val="21"/>
                      <w:szCs w:val="21"/>
                    </w:rPr>
                    <w:t>院内环境</w:t>
                  </w:r>
                </w:p>
                <w:p w14:paraId="678D878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r>
                    <w:rPr>
                      <w:spacing w:val="-6"/>
                      <w:sz w:val="21"/>
                      <w:szCs w:val="21"/>
                    </w:rPr>
                    <w:t>保护目标</w:t>
                  </w:r>
                </w:p>
              </w:tc>
            </w:tr>
            <w:tr w14:paraId="0FF34D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05D8EBD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39</w:t>
                  </w:r>
                </w:p>
              </w:tc>
              <w:tc>
                <w:tcPr>
                  <w:tcW w:w="2341" w:type="pct"/>
                  <w:shd w:val="clear" w:color="auto" w:fill="auto"/>
                  <w:vAlign w:val="center"/>
                </w:tcPr>
                <w:p w14:paraId="1FE17DF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本项目内镜中心ERCP室</w:t>
                  </w:r>
                  <w:r>
                    <w:rPr>
                      <w:spacing w:val="-6"/>
                      <w:sz w:val="21"/>
                      <w:szCs w:val="21"/>
                      <w:lang w:bidi="ar"/>
                    </w:rPr>
                    <w:t>拟建地</w:t>
                  </w:r>
                  <w:r>
                    <w:rPr>
                      <w:rFonts w:hint="eastAsia"/>
                      <w:spacing w:val="-6"/>
                      <w:sz w:val="21"/>
                      <w:szCs w:val="21"/>
                      <w:lang w:val="en-US" w:eastAsia="zh-CN" w:bidi="ar"/>
                    </w:rPr>
                    <w:t>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28C1C22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27EE004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4E839E1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686241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7D5DDFD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40</w:t>
                  </w:r>
                </w:p>
              </w:tc>
              <w:tc>
                <w:tcPr>
                  <w:tcW w:w="2341" w:type="pct"/>
                  <w:shd w:val="clear" w:color="auto" w:fill="auto"/>
                  <w:vAlign w:val="center"/>
                </w:tcPr>
                <w:p w14:paraId="4D33EBD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本项目内镜中心ERCP室</w:t>
                  </w:r>
                  <w:r>
                    <w:rPr>
                      <w:spacing w:val="-6"/>
                      <w:sz w:val="21"/>
                      <w:szCs w:val="21"/>
                      <w:lang w:bidi="ar"/>
                    </w:rPr>
                    <w:t>拟建地</w:t>
                  </w:r>
                  <w:r>
                    <w:rPr>
                      <w:rFonts w:hint="eastAsia"/>
                      <w:spacing w:val="-6"/>
                      <w:sz w:val="21"/>
                      <w:szCs w:val="21"/>
                      <w:lang w:val="en-US" w:eastAsia="zh-CN" w:bidi="ar"/>
                    </w:rPr>
                    <w:t>西侧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18A1152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6555E7B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42B38B6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3F40F0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E318B9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41</w:t>
                  </w:r>
                </w:p>
              </w:tc>
              <w:tc>
                <w:tcPr>
                  <w:tcW w:w="2341" w:type="pct"/>
                  <w:shd w:val="clear" w:color="auto" w:fill="auto"/>
                  <w:vAlign w:val="center"/>
                </w:tcPr>
                <w:p w14:paraId="17032F9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本项目内镜中心ERCP室</w:t>
                  </w:r>
                  <w:r>
                    <w:rPr>
                      <w:spacing w:val="-6"/>
                      <w:sz w:val="21"/>
                      <w:szCs w:val="21"/>
                      <w:lang w:bidi="ar"/>
                    </w:rPr>
                    <w:t>拟建地</w:t>
                  </w:r>
                  <w:r>
                    <w:rPr>
                      <w:rFonts w:hint="eastAsia"/>
                      <w:spacing w:val="-6"/>
                      <w:sz w:val="21"/>
                      <w:szCs w:val="21"/>
                      <w:lang w:val="en-US" w:eastAsia="zh-CN" w:bidi="ar"/>
                    </w:rPr>
                    <w:t>北侧</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6BCC5EF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3D42709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6D4E4B7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701D47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1E973D9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42</w:t>
                  </w:r>
                </w:p>
              </w:tc>
              <w:tc>
                <w:tcPr>
                  <w:tcW w:w="2341" w:type="pct"/>
                  <w:shd w:val="clear" w:color="auto" w:fill="auto"/>
                  <w:vAlign w:val="center"/>
                </w:tcPr>
                <w:p w14:paraId="207CC86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本项目内镜中心ERCP室</w:t>
                  </w:r>
                  <w:r>
                    <w:rPr>
                      <w:spacing w:val="-6"/>
                      <w:sz w:val="21"/>
                      <w:szCs w:val="21"/>
                      <w:lang w:bidi="ar"/>
                    </w:rPr>
                    <w:t>拟建地</w:t>
                  </w:r>
                  <w:r>
                    <w:rPr>
                      <w:rFonts w:hint="eastAsia"/>
                      <w:spacing w:val="-6"/>
                      <w:sz w:val="21"/>
                      <w:szCs w:val="21"/>
                      <w:lang w:val="en-US" w:eastAsia="zh-CN" w:bidi="ar"/>
                    </w:rPr>
                    <w:t>上方（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3689CF9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5F91A24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6E3C49A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44BD48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6693C00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43</w:t>
                  </w:r>
                </w:p>
              </w:tc>
              <w:tc>
                <w:tcPr>
                  <w:tcW w:w="2341" w:type="pct"/>
                  <w:shd w:val="clear" w:color="auto" w:fill="auto"/>
                  <w:vAlign w:val="center"/>
                </w:tcPr>
                <w:p w14:paraId="65F2FA6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spacing w:val="-6"/>
                      <w:sz w:val="21"/>
                      <w:szCs w:val="21"/>
                      <w:lang w:val="en-US" w:eastAsia="zh-CN" w:bidi="ar"/>
                    </w:rPr>
                  </w:pPr>
                  <w:r>
                    <w:rPr>
                      <w:rFonts w:hint="eastAsia"/>
                      <w:spacing w:val="-6"/>
                      <w:sz w:val="21"/>
                      <w:szCs w:val="21"/>
                      <w:lang w:val="en-US" w:eastAsia="zh-CN" w:bidi="ar"/>
                    </w:rPr>
                    <w:t>本项目内镜中心ERCP室</w:t>
                  </w:r>
                  <w:r>
                    <w:rPr>
                      <w:spacing w:val="-6"/>
                      <w:sz w:val="21"/>
                      <w:szCs w:val="21"/>
                      <w:lang w:bidi="ar"/>
                    </w:rPr>
                    <w:t>拟建地</w:t>
                  </w:r>
                  <w:r>
                    <w:rPr>
                      <w:rFonts w:hint="eastAsia"/>
                      <w:spacing w:val="-6"/>
                      <w:sz w:val="21"/>
                      <w:szCs w:val="21"/>
                      <w:lang w:val="en-US" w:eastAsia="zh-CN" w:bidi="ar"/>
                    </w:rPr>
                    <w:t>下方（</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vAlign w:val="center"/>
                </w:tcPr>
                <w:p w14:paraId="0778639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603" w:type="pct"/>
                  <w:vMerge w:val="continue"/>
                  <w:vAlign w:val="center"/>
                </w:tcPr>
                <w:p w14:paraId="3E9C017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c>
                <w:tcPr>
                  <w:tcW w:w="725" w:type="pct"/>
                  <w:vMerge w:val="continue"/>
                  <w:vAlign w:val="center"/>
                </w:tcPr>
                <w:p w14:paraId="0018073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spacing w:val="-6"/>
                      <w:sz w:val="21"/>
                      <w:szCs w:val="21"/>
                    </w:rPr>
                  </w:pPr>
                </w:p>
              </w:tc>
            </w:tr>
            <w:tr w14:paraId="411119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2" w:type="pct"/>
                  <w:shd w:val="clear" w:color="auto" w:fill="auto"/>
                  <w:vAlign w:val="center"/>
                </w:tcPr>
                <w:p w14:paraId="345CCD5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spacing w:val="-6"/>
                      <w:kern w:val="2"/>
                      <w:sz w:val="21"/>
                      <w:szCs w:val="21"/>
                      <w:lang w:val="en-US" w:eastAsia="zh-CN" w:bidi="ar"/>
                    </w:rPr>
                  </w:pPr>
                  <w:r>
                    <w:rPr>
                      <w:rFonts w:hint="eastAsia"/>
                      <w:spacing w:val="-6"/>
                      <w:sz w:val="21"/>
                      <w:szCs w:val="21"/>
                      <w:lang w:val="en-US" w:eastAsia="zh-CN" w:bidi="ar"/>
                    </w:rPr>
                    <w:t>44</w:t>
                  </w:r>
                </w:p>
              </w:tc>
              <w:tc>
                <w:tcPr>
                  <w:tcW w:w="2341" w:type="pct"/>
                  <w:vAlign w:val="center"/>
                </w:tcPr>
                <w:p w14:paraId="70703DD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eastAsia="宋体"/>
                      <w:spacing w:val="-6"/>
                      <w:sz w:val="21"/>
                      <w:szCs w:val="21"/>
                      <w:lang w:val="en-US" w:eastAsia="zh-CN"/>
                    </w:rPr>
                  </w:pPr>
                  <w:r>
                    <w:rPr>
                      <w:rFonts w:hint="eastAsia"/>
                      <w:spacing w:val="-6"/>
                      <w:sz w:val="21"/>
                      <w:szCs w:val="21"/>
                      <w:lang w:val="en-US" w:eastAsia="zh-CN"/>
                    </w:rPr>
                    <w:t>本项目门诊医技楼西侧院内道路</w:t>
                  </w:r>
                  <w:r>
                    <w:rPr>
                      <w:rFonts w:hint="eastAsia"/>
                      <w:spacing w:val="-6"/>
                      <w:sz w:val="21"/>
                      <w:szCs w:val="21"/>
                      <w:lang w:val="en-US" w:eastAsia="zh-CN" w:bidi="ar"/>
                    </w:rPr>
                    <w:t>（</w:t>
                  </w:r>
                  <w:r>
                    <w:rPr>
                      <w:spacing w:val="-6"/>
                      <w:sz w:val="21"/>
                      <w:szCs w:val="21"/>
                      <w:lang w:bidi="ar"/>
                    </w:rPr>
                    <w:t>现状为</w:t>
                  </w:r>
                  <w:r>
                    <w:rPr>
                      <w:rFonts w:hint="eastAsia"/>
                      <w:spacing w:val="-6"/>
                      <w:sz w:val="21"/>
                      <w:szCs w:val="21"/>
                      <w:lang w:val="en-US" w:eastAsia="zh-CN" w:bidi="ar"/>
                    </w:rPr>
                    <w:t>施工现场</w:t>
                  </w:r>
                  <w:r>
                    <w:rPr>
                      <w:spacing w:val="-6"/>
                      <w:sz w:val="21"/>
                      <w:szCs w:val="21"/>
                      <w:lang w:bidi="ar"/>
                    </w:rPr>
                    <w:t>）</w:t>
                  </w:r>
                </w:p>
              </w:tc>
              <w:tc>
                <w:tcPr>
                  <w:tcW w:w="967" w:type="pct"/>
                  <w:vMerge w:val="continue"/>
                  <w:shd w:val="clear" w:color="auto" w:fill="auto"/>
                  <w:vAlign w:val="center"/>
                </w:tcPr>
                <w:p w14:paraId="0C9F668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603" w:type="pct"/>
                  <w:vMerge w:val="continue"/>
                  <w:shd w:val="clear" w:color="auto" w:fill="auto"/>
                  <w:vAlign w:val="center"/>
                </w:tcPr>
                <w:p w14:paraId="707C446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c>
                <w:tcPr>
                  <w:tcW w:w="725" w:type="pct"/>
                  <w:vMerge w:val="continue"/>
                  <w:shd w:val="clear" w:color="auto" w:fill="auto"/>
                  <w:vAlign w:val="center"/>
                </w:tcPr>
                <w:p w14:paraId="683B074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宋体" w:cs="Times New Roman"/>
                      <w:spacing w:val="-6"/>
                      <w:sz w:val="21"/>
                      <w:szCs w:val="21"/>
                      <w:lang w:val="en-US" w:eastAsia="zh-CN" w:bidi="ar-SA"/>
                    </w:rPr>
                  </w:pPr>
                </w:p>
              </w:tc>
            </w:tr>
          </w:tbl>
          <w:p w14:paraId="1D4E3155">
            <w:pPr>
              <w:rPr>
                <w:rFonts w:eastAsia="黑体"/>
              </w:rPr>
            </w:pPr>
            <w:r>
              <w:rPr>
                <w:rFonts w:eastAsia="黑体"/>
              </w:rPr>
              <w:t>三、监测时间及现场环境状况</w:t>
            </w:r>
          </w:p>
          <w:p w14:paraId="202D61EB">
            <w:pPr>
              <w:tabs>
                <w:tab w:val="left" w:pos="2124"/>
              </w:tabs>
              <w:ind w:firstLine="480"/>
              <w:rPr>
                <w:szCs w:val="21"/>
                <w:highlight w:val="none"/>
              </w:rPr>
            </w:pPr>
            <w:r>
              <w:rPr>
                <w:rFonts w:hint="eastAsia"/>
                <w:szCs w:val="21"/>
                <w:highlight w:val="none"/>
                <w:lang w:eastAsia="zh-CN" w:bidi="ar"/>
              </w:rPr>
              <w:t>四川省自然资源实验测试研究中心</w:t>
            </w:r>
            <w:r>
              <w:rPr>
                <w:szCs w:val="21"/>
                <w:highlight w:val="none"/>
                <w:lang w:bidi="ar"/>
              </w:rPr>
              <w:t>（四川省核应急技术支持中心）</w:t>
            </w:r>
            <w:r>
              <w:rPr>
                <w:bCs/>
                <w:highlight w:val="none"/>
              </w:rPr>
              <w:t>于202</w:t>
            </w:r>
            <w:r>
              <w:rPr>
                <w:rFonts w:hint="eastAsia"/>
                <w:bCs/>
                <w:highlight w:val="none"/>
                <w:lang w:val="en-US" w:eastAsia="zh-CN"/>
              </w:rPr>
              <w:t>6</w:t>
            </w:r>
            <w:r>
              <w:rPr>
                <w:bCs/>
                <w:highlight w:val="none"/>
              </w:rPr>
              <w:t>年</w:t>
            </w:r>
            <w:r>
              <w:rPr>
                <w:rFonts w:hint="eastAsia"/>
                <w:bCs/>
                <w:highlight w:val="none"/>
                <w:lang w:val="en-US" w:eastAsia="zh-CN"/>
              </w:rPr>
              <w:t>9</w:t>
            </w:r>
            <w:r>
              <w:rPr>
                <w:bCs/>
                <w:highlight w:val="none"/>
              </w:rPr>
              <w:t>月</w:t>
            </w:r>
            <w:r>
              <w:rPr>
                <w:rFonts w:hint="eastAsia"/>
                <w:bCs/>
                <w:highlight w:val="none"/>
                <w:lang w:val="en-US" w:eastAsia="zh-CN"/>
              </w:rPr>
              <w:t>1</w:t>
            </w:r>
            <w:r>
              <w:rPr>
                <w:bCs/>
                <w:highlight w:val="none"/>
              </w:rPr>
              <w:t>5日对项目拟建地进行了现场监测（监测报告见附件</w:t>
            </w:r>
            <w:r>
              <w:rPr>
                <w:rFonts w:hint="eastAsia"/>
                <w:bCs/>
                <w:highlight w:val="none"/>
                <w:lang w:val="en-US" w:eastAsia="zh-CN"/>
              </w:rPr>
              <w:t>8</w:t>
            </w:r>
            <w:r>
              <w:rPr>
                <w:bCs/>
                <w:highlight w:val="none"/>
              </w:rPr>
              <w:t>）。</w:t>
            </w:r>
            <w:r>
              <w:rPr>
                <w:highlight w:val="none"/>
                <w:lang w:bidi="ar"/>
              </w:rPr>
              <w:t>环境温度：</w:t>
            </w:r>
            <w:r>
              <w:rPr>
                <w:rFonts w:hint="default" w:ascii="Times New Roman" w:hAnsi="Times New Roman" w:cs="Times New Roman"/>
                <w:color w:val="000000"/>
                <w:sz w:val="24"/>
                <w:highlight w:val="none"/>
              </w:rPr>
              <w:t>环境温度：</w:t>
            </w:r>
            <w:r>
              <w:rPr>
                <w:rFonts w:hint="default" w:ascii="Times New Roman" w:hAnsi="Times New Roman" w:cs="Times New Roman"/>
                <w:color w:val="000000"/>
                <w:sz w:val="24"/>
                <w:highlight w:val="none"/>
                <w:lang w:val="en-US" w:eastAsia="zh-CN"/>
              </w:rPr>
              <w:t>2</w:t>
            </w:r>
            <w:r>
              <w:rPr>
                <w:rFonts w:hint="eastAsia" w:cs="Times New Roman"/>
                <w:color w:val="000000"/>
                <w:sz w:val="24"/>
                <w:highlight w:val="none"/>
                <w:lang w:val="en-US" w:eastAsia="zh-CN"/>
              </w:rPr>
              <w:t>0.5</w:t>
            </w:r>
            <w:r>
              <w:rPr>
                <w:rFonts w:hint="default" w:ascii="Times New Roman" w:hAnsi="Times New Roman" w:cs="Times New Roman"/>
                <w:color w:val="000000"/>
                <w:sz w:val="24"/>
                <w:highlight w:val="none"/>
              </w:rPr>
              <w:t>℃~</w:t>
            </w:r>
            <w:r>
              <w:rPr>
                <w:rFonts w:hint="eastAsia" w:cs="Times New Roman"/>
                <w:color w:val="000000"/>
                <w:sz w:val="24"/>
                <w:highlight w:val="none"/>
                <w:lang w:val="en-US" w:eastAsia="zh-CN"/>
              </w:rPr>
              <w:t>21</w:t>
            </w:r>
            <w:r>
              <w:rPr>
                <w:rFonts w:hint="default" w:ascii="Times New Roman" w:hAnsi="Times New Roman" w:cs="Times New Roman"/>
                <w:color w:val="000000"/>
                <w:sz w:val="24"/>
                <w:highlight w:val="none"/>
                <w:lang w:val="en-US" w:eastAsia="zh-CN"/>
              </w:rPr>
              <w:t>.3</w:t>
            </w:r>
            <w:r>
              <w:rPr>
                <w:rFonts w:hint="default" w:ascii="Times New Roman" w:hAnsi="Times New Roman" w:cs="Times New Roman"/>
                <w:color w:val="000000"/>
                <w:sz w:val="24"/>
                <w:highlight w:val="none"/>
              </w:rPr>
              <w:t>℃；环境湿度：</w:t>
            </w:r>
            <w:r>
              <w:rPr>
                <w:rFonts w:hint="eastAsia" w:cs="Times New Roman"/>
                <w:color w:val="000000"/>
                <w:sz w:val="24"/>
                <w:highlight w:val="none"/>
                <w:lang w:val="en-US" w:eastAsia="zh-CN"/>
              </w:rPr>
              <w:t>71.4</w:t>
            </w:r>
            <w:r>
              <w:rPr>
                <w:rFonts w:hint="default" w:ascii="Times New Roman" w:hAnsi="Times New Roman" w:cs="Times New Roman"/>
                <w:color w:val="000000"/>
                <w:sz w:val="24"/>
                <w:highlight w:val="none"/>
              </w:rPr>
              <w:t>%~</w:t>
            </w:r>
            <w:r>
              <w:rPr>
                <w:rFonts w:hint="eastAsia" w:cs="Times New Roman"/>
                <w:color w:val="000000"/>
                <w:sz w:val="24"/>
                <w:highlight w:val="none"/>
                <w:lang w:val="en-US" w:eastAsia="zh-CN"/>
              </w:rPr>
              <w:t>74.5</w:t>
            </w:r>
            <w:r>
              <w:rPr>
                <w:rFonts w:hint="default" w:ascii="Times New Roman" w:hAnsi="Times New Roman" w:cs="Times New Roman"/>
                <w:color w:val="000000"/>
                <w:sz w:val="24"/>
                <w:highlight w:val="none"/>
              </w:rPr>
              <w:t>%；天气状况：</w:t>
            </w:r>
            <w:r>
              <w:rPr>
                <w:rFonts w:hint="eastAsia" w:cs="Times New Roman"/>
                <w:color w:val="000000"/>
                <w:sz w:val="24"/>
                <w:highlight w:val="none"/>
                <w:lang w:eastAsia="zh-CN"/>
              </w:rPr>
              <w:t>阴</w:t>
            </w:r>
            <w:r>
              <w:rPr>
                <w:rFonts w:hint="default" w:ascii="Times New Roman" w:hAnsi="Times New Roman" w:cs="Times New Roman"/>
                <w:color w:val="000000"/>
                <w:sz w:val="24"/>
                <w:highlight w:val="none"/>
              </w:rPr>
              <w:t>。</w:t>
            </w:r>
          </w:p>
          <w:p w14:paraId="6014644C">
            <w:pPr>
              <w:rPr>
                <w:rFonts w:eastAsia="黑体"/>
              </w:rPr>
            </w:pPr>
            <w:r>
              <w:rPr>
                <w:rFonts w:eastAsia="黑体"/>
              </w:rPr>
              <w:t>四、监测方法及监测仪器</w:t>
            </w:r>
          </w:p>
          <w:p w14:paraId="21F60C91">
            <w:pPr>
              <w:tabs>
                <w:tab w:val="left" w:pos="2124"/>
              </w:tabs>
              <w:ind w:firstLine="480"/>
              <w:rPr>
                <w:bCs/>
              </w:rPr>
            </w:pPr>
            <w:r>
              <w:rPr>
                <w:bCs/>
              </w:rPr>
              <w:t>本项目监测方法及仪器见下表。</w:t>
            </w:r>
          </w:p>
          <w:p w14:paraId="21490FC7">
            <w:pPr>
              <w:spacing w:before="163" w:line="240" w:lineRule="auto"/>
              <w:jc w:val="center"/>
              <w:rPr>
                <w:rFonts w:eastAsia="黑体"/>
                <w:sz w:val="21"/>
                <w:szCs w:val="21"/>
              </w:rPr>
            </w:pPr>
            <w:r>
              <w:rPr>
                <w:rFonts w:eastAsia="黑体"/>
                <w:sz w:val="21"/>
                <w:szCs w:val="21"/>
              </w:rPr>
              <w:t>表8-2  辐射监测方法及监测仪器</w:t>
            </w:r>
          </w:p>
          <w:tbl>
            <w:tblPr>
              <w:tblStyle w:val="57"/>
              <w:tblW w:w="5000" w:type="pct"/>
              <w:jc w:val="center"/>
              <w:tblBorders>
                <w:top w:val="single" w:color="auto" w:sz="2" w:space="0"/>
                <w:left w:val="none" w:color="auto" w:sz="0" w:space="0"/>
                <w:bottom w:val="single" w:color="auto" w:sz="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127"/>
              <w:gridCol w:w="2333"/>
              <w:gridCol w:w="3517"/>
              <w:gridCol w:w="1824"/>
            </w:tblGrid>
            <w:tr w14:paraId="23D1112E">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089" w:type="dxa"/>
                  <w:vAlign w:val="center"/>
                </w:tcPr>
                <w:p w14:paraId="667D73C4">
                  <w:pPr>
                    <w:spacing w:line="360" w:lineRule="exact"/>
                    <w:jc w:val="center"/>
                    <w:rPr>
                      <w:spacing w:val="-11"/>
                      <w:sz w:val="21"/>
                      <w:szCs w:val="21"/>
                    </w:rPr>
                  </w:pPr>
                  <w:r>
                    <w:rPr>
                      <w:spacing w:val="-11"/>
                      <w:sz w:val="21"/>
                      <w:szCs w:val="21"/>
                      <w:lang w:bidi="ar"/>
                    </w:rPr>
                    <w:t>监测项目</w:t>
                  </w:r>
                </w:p>
              </w:tc>
              <w:tc>
                <w:tcPr>
                  <w:tcW w:w="2255" w:type="dxa"/>
                  <w:vAlign w:val="center"/>
                </w:tcPr>
                <w:p w14:paraId="181BC9C8">
                  <w:pPr>
                    <w:spacing w:line="360" w:lineRule="exact"/>
                    <w:jc w:val="center"/>
                    <w:rPr>
                      <w:spacing w:val="-11"/>
                      <w:sz w:val="21"/>
                      <w:szCs w:val="21"/>
                    </w:rPr>
                  </w:pPr>
                  <w:r>
                    <w:rPr>
                      <w:spacing w:val="-11"/>
                      <w:sz w:val="21"/>
                      <w:szCs w:val="21"/>
                      <w:lang w:bidi="ar"/>
                    </w:rPr>
                    <w:t>监测方法</w:t>
                  </w:r>
                </w:p>
              </w:tc>
              <w:tc>
                <w:tcPr>
                  <w:tcW w:w="3399" w:type="dxa"/>
                  <w:vAlign w:val="center"/>
                </w:tcPr>
                <w:p w14:paraId="1067A47C">
                  <w:pPr>
                    <w:spacing w:line="360" w:lineRule="exact"/>
                    <w:jc w:val="center"/>
                    <w:rPr>
                      <w:spacing w:val="-11"/>
                      <w:sz w:val="21"/>
                      <w:szCs w:val="21"/>
                    </w:rPr>
                  </w:pPr>
                  <w:r>
                    <w:rPr>
                      <w:spacing w:val="-11"/>
                      <w:sz w:val="21"/>
                      <w:szCs w:val="21"/>
                      <w:lang w:bidi="ar"/>
                    </w:rPr>
                    <w:t>监测仪器</w:t>
                  </w:r>
                </w:p>
              </w:tc>
              <w:tc>
                <w:tcPr>
                  <w:tcW w:w="1762" w:type="dxa"/>
                  <w:vAlign w:val="center"/>
                </w:tcPr>
                <w:p w14:paraId="12C255EB">
                  <w:pPr>
                    <w:spacing w:line="360" w:lineRule="exact"/>
                    <w:jc w:val="center"/>
                    <w:rPr>
                      <w:spacing w:val="-11"/>
                      <w:sz w:val="21"/>
                      <w:szCs w:val="21"/>
                    </w:rPr>
                  </w:pPr>
                  <w:r>
                    <w:rPr>
                      <w:spacing w:val="-11"/>
                      <w:sz w:val="21"/>
                      <w:szCs w:val="21"/>
                      <w:lang w:bidi="ar"/>
                    </w:rPr>
                    <w:t>检出限</w:t>
                  </w:r>
                </w:p>
              </w:tc>
            </w:tr>
            <w:tr w14:paraId="302F8B28">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089" w:type="dxa"/>
                  <w:vAlign w:val="center"/>
                </w:tcPr>
                <w:p w14:paraId="5A2D1FCB">
                  <w:pPr>
                    <w:spacing w:line="360" w:lineRule="exact"/>
                    <w:jc w:val="center"/>
                    <w:rPr>
                      <w:spacing w:val="-11"/>
                      <w:sz w:val="21"/>
                      <w:szCs w:val="21"/>
                    </w:rPr>
                  </w:pPr>
                  <w:r>
                    <w:rPr>
                      <w:spacing w:val="-11"/>
                      <w:sz w:val="21"/>
                      <w:szCs w:val="21"/>
                      <w:lang w:bidi="ar"/>
                    </w:rPr>
                    <w:t>α表面污染活度、β表面污染活度</w:t>
                  </w:r>
                </w:p>
              </w:tc>
              <w:tc>
                <w:tcPr>
                  <w:tcW w:w="2255" w:type="dxa"/>
                  <w:vAlign w:val="center"/>
                </w:tcPr>
                <w:p w14:paraId="796977F8">
                  <w:pPr>
                    <w:spacing w:line="360" w:lineRule="exact"/>
                    <w:jc w:val="center"/>
                    <w:rPr>
                      <w:spacing w:val="-11"/>
                      <w:sz w:val="21"/>
                      <w:szCs w:val="21"/>
                    </w:rPr>
                  </w:pPr>
                  <w:r>
                    <w:rPr>
                      <w:spacing w:val="-11"/>
                      <w:sz w:val="21"/>
                      <w:szCs w:val="21"/>
                      <w:lang w:bidi="ar"/>
                    </w:rPr>
                    <w:t>《表面污染测定 第1部分β发射体（E</w:t>
                  </w:r>
                  <w:r>
                    <w:rPr>
                      <w:spacing w:val="-11"/>
                      <w:sz w:val="21"/>
                      <w:szCs w:val="21"/>
                      <w:vertAlign w:val="subscript"/>
                      <w:lang w:bidi="ar"/>
                    </w:rPr>
                    <w:t>βmax</w:t>
                  </w:r>
                  <w:r>
                    <w:rPr>
                      <w:spacing w:val="-11"/>
                      <w:sz w:val="21"/>
                      <w:szCs w:val="21"/>
                      <w:lang w:bidi="ar"/>
                    </w:rPr>
                    <w:t>﹥0.15MeV）和α发射体》（GB/T 14056.1-2008）</w:t>
                  </w:r>
                </w:p>
              </w:tc>
              <w:tc>
                <w:tcPr>
                  <w:tcW w:w="3399" w:type="dxa"/>
                  <w:vAlign w:val="center"/>
                </w:tcPr>
                <w:p w14:paraId="24B2F3F3">
                  <w:pPr>
                    <w:spacing w:line="360" w:lineRule="exact"/>
                    <w:rPr>
                      <w:spacing w:val="-11"/>
                      <w:sz w:val="21"/>
                      <w:szCs w:val="21"/>
                      <w:lang w:bidi="ar"/>
                    </w:rPr>
                  </w:pPr>
                  <w:r>
                    <w:rPr>
                      <w:spacing w:val="-11"/>
                      <w:sz w:val="21"/>
                      <w:szCs w:val="21"/>
                      <w:lang w:bidi="ar"/>
                    </w:rPr>
                    <w:t>仪器名称：α、β表面沾污仪</w:t>
                  </w:r>
                </w:p>
                <w:p w14:paraId="49C9FCC6">
                  <w:pPr>
                    <w:spacing w:line="360" w:lineRule="exact"/>
                    <w:rPr>
                      <w:spacing w:val="-11"/>
                      <w:sz w:val="21"/>
                      <w:szCs w:val="21"/>
                      <w:lang w:bidi="ar"/>
                    </w:rPr>
                  </w:pPr>
                  <w:r>
                    <w:rPr>
                      <w:spacing w:val="-11"/>
                      <w:sz w:val="21"/>
                      <w:szCs w:val="21"/>
                      <w:lang w:bidi="ar"/>
                    </w:rPr>
                    <w:t>仪器型号：LB124</w:t>
                  </w:r>
                </w:p>
                <w:p w14:paraId="4056F446">
                  <w:pPr>
                    <w:spacing w:line="360" w:lineRule="exact"/>
                    <w:rPr>
                      <w:spacing w:val="-11"/>
                      <w:sz w:val="21"/>
                      <w:szCs w:val="21"/>
                      <w:lang w:bidi="ar"/>
                    </w:rPr>
                  </w:pPr>
                  <w:r>
                    <w:rPr>
                      <w:spacing w:val="-11"/>
                      <w:sz w:val="21"/>
                      <w:szCs w:val="21"/>
                      <w:lang w:bidi="ar"/>
                    </w:rPr>
                    <w:t>仪器编号：</w:t>
                  </w:r>
                  <w:r>
                    <w:rPr>
                      <w:rFonts w:hint="default" w:ascii="Times New Roman" w:hAnsi="Times New Roman" w:eastAsia="宋体" w:cs="Times New Roman"/>
                      <w:color w:val="000000"/>
                      <w:szCs w:val="21"/>
                      <w:lang w:val="en-US" w:eastAsia="zh-CN"/>
                    </w:rPr>
                    <w:t>CF0255</w:t>
                  </w:r>
                </w:p>
                <w:p w14:paraId="30B87CC3">
                  <w:pPr>
                    <w:spacing w:line="360" w:lineRule="exact"/>
                    <w:rPr>
                      <w:spacing w:val="-11"/>
                      <w:sz w:val="21"/>
                      <w:szCs w:val="21"/>
                      <w:lang w:bidi="ar"/>
                    </w:rPr>
                  </w:pPr>
                  <w:r>
                    <w:rPr>
                      <w:spacing w:val="-11"/>
                      <w:sz w:val="21"/>
                      <w:szCs w:val="21"/>
                      <w:lang w:bidi="ar"/>
                    </w:rPr>
                    <w:t>能量响应范围：50keV~1.3MeV</w:t>
                  </w:r>
                </w:p>
                <w:p w14:paraId="378BF7EA">
                  <w:pPr>
                    <w:spacing w:line="360" w:lineRule="exact"/>
                    <w:rPr>
                      <w:spacing w:val="-11"/>
                      <w:sz w:val="21"/>
                      <w:szCs w:val="21"/>
                      <w:lang w:bidi="ar"/>
                    </w:rPr>
                  </w:pPr>
                  <w:r>
                    <w:rPr>
                      <w:spacing w:val="-11"/>
                      <w:sz w:val="21"/>
                      <w:szCs w:val="21"/>
                      <w:lang w:bidi="ar"/>
                    </w:rPr>
                    <w:t>检定单位：四川省自然资源实验测试研究中心（四川省核应急技术支持中心）</w:t>
                  </w:r>
                </w:p>
                <w:p w14:paraId="348B4901">
                  <w:pPr>
                    <w:spacing w:line="360" w:lineRule="exact"/>
                    <w:rPr>
                      <w:rFonts w:hint="default" w:ascii="Times New Roman" w:hAnsi="Times New Roman" w:eastAsia="宋体" w:cs="Times New Roman"/>
                      <w:spacing w:val="-11"/>
                      <w:sz w:val="21"/>
                      <w:szCs w:val="21"/>
                      <w:lang w:bidi="ar"/>
                    </w:rPr>
                  </w:pPr>
                  <w:r>
                    <w:rPr>
                      <w:rFonts w:hint="default" w:ascii="Times New Roman" w:hAnsi="Times New Roman" w:eastAsia="宋体" w:cs="Times New Roman"/>
                      <w:spacing w:val="-11"/>
                      <w:sz w:val="21"/>
                      <w:szCs w:val="21"/>
                      <w:lang w:bidi="ar"/>
                    </w:rPr>
                    <w:t>证书编号：</w:t>
                  </w:r>
                  <w:r>
                    <w:rPr>
                      <w:rFonts w:hint="default" w:ascii="Times New Roman" w:hAnsi="Times New Roman" w:eastAsia="宋体" w:cs="Times New Roman"/>
                      <w:spacing w:val="-11"/>
                      <w:sz w:val="21"/>
                      <w:szCs w:val="21"/>
                      <w:lang w:eastAsia="zh-CN" w:bidi="ar"/>
                    </w:rPr>
                    <w:t>检定字第J20260501002号</w:t>
                  </w:r>
                </w:p>
                <w:p w14:paraId="12534E5E">
                  <w:pPr>
                    <w:spacing w:line="360" w:lineRule="exact"/>
                    <w:rPr>
                      <w:rFonts w:hint="default" w:ascii="Times New Roman" w:hAnsi="Times New Roman" w:eastAsia="宋体" w:cs="Times New Roman"/>
                      <w:spacing w:val="-11"/>
                      <w:sz w:val="21"/>
                      <w:szCs w:val="21"/>
                      <w:lang w:bidi="ar"/>
                    </w:rPr>
                  </w:pPr>
                  <w:r>
                    <w:rPr>
                      <w:rFonts w:hint="default" w:ascii="Times New Roman" w:hAnsi="Times New Roman" w:eastAsia="宋体" w:cs="Times New Roman"/>
                      <w:spacing w:val="-11"/>
                      <w:sz w:val="21"/>
                      <w:szCs w:val="21"/>
                      <w:lang w:eastAsia="zh-CN" w:bidi="ar"/>
                    </w:rPr>
                    <w:t>检定</w:t>
                  </w:r>
                  <w:r>
                    <w:rPr>
                      <w:rFonts w:hint="default" w:ascii="Times New Roman" w:hAnsi="Times New Roman" w:eastAsia="宋体" w:cs="Times New Roman"/>
                      <w:spacing w:val="-11"/>
                      <w:sz w:val="21"/>
                      <w:szCs w:val="21"/>
                      <w:lang w:bidi="ar"/>
                    </w:rPr>
                    <w:t>日期：202</w:t>
                  </w:r>
                  <w:r>
                    <w:rPr>
                      <w:rFonts w:hint="default" w:ascii="Times New Roman" w:hAnsi="Times New Roman" w:eastAsia="宋体" w:cs="Times New Roman"/>
                      <w:spacing w:val="-11"/>
                      <w:sz w:val="21"/>
                      <w:szCs w:val="21"/>
                      <w:lang w:val="en-US" w:eastAsia="zh-CN" w:bidi="ar"/>
                    </w:rPr>
                    <w:t>6-</w:t>
                  </w:r>
                  <w:r>
                    <w:rPr>
                      <w:rFonts w:hint="default" w:ascii="Times New Roman" w:hAnsi="Times New Roman" w:eastAsia="宋体" w:cs="Times New Roman"/>
                      <w:spacing w:val="-11"/>
                      <w:sz w:val="21"/>
                      <w:szCs w:val="21"/>
                      <w:lang w:bidi="ar"/>
                    </w:rPr>
                    <w:t>0</w:t>
                  </w:r>
                  <w:r>
                    <w:rPr>
                      <w:rFonts w:hint="default" w:ascii="Times New Roman" w:hAnsi="Times New Roman" w:eastAsia="宋体" w:cs="Times New Roman"/>
                      <w:spacing w:val="-11"/>
                      <w:sz w:val="21"/>
                      <w:szCs w:val="21"/>
                      <w:lang w:val="en-US" w:eastAsia="zh-CN" w:bidi="ar"/>
                    </w:rPr>
                    <w:t>5-11</w:t>
                  </w:r>
                </w:p>
                <w:p w14:paraId="15439F3D">
                  <w:pPr>
                    <w:spacing w:line="360" w:lineRule="exact"/>
                    <w:rPr>
                      <w:spacing w:val="-11"/>
                      <w:sz w:val="21"/>
                      <w:szCs w:val="21"/>
                    </w:rPr>
                  </w:pPr>
                  <w:r>
                    <w:rPr>
                      <w:rFonts w:hint="default" w:ascii="Times New Roman" w:hAnsi="Times New Roman" w:eastAsia="宋体" w:cs="Times New Roman"/>
                      <w:spacing w:val="-11"/>
                      <w:sz w:val="21"/>
                      <w:szCs w:val="21"/>
                      <w:lang w:bidi="ar"/>
                    </w:rPr>
                    <w:t>有效日期：202</w:t>
                  </w:r>
                  <w:r>
                    <w:rPr>
                      <w:rFonts w:hint="default" w:ascii="Times New Roman" w:hAnsi="Times New Roman" w:eastAsia="宋体" w:cs="Times New Roman"/>
                      <w:spacing w:val="-11"/>
                      <w:sz w:val="21"/>
                      <w:szCs w:val="21"/>
                      <w:lang w:val="en-US" w:eastAsia="zh-CN" w:bidi="ar"/>
                    </w:rPr>
                    <w:t>7-</w:t>
                  </w:r>
                  <w:r>
                    <w:rPr>
                      <w:rFonts w:hint="default" w:ascii="Times New Roman" w:hAnsi="Times New Roman" w:eastAsia="宋体" w:cs="Times New Roman"/>
                      <w:spacing w:val="-11"/>
                      <w:sz w:val="21"/>
                      <w:szCs w:val="21"/>
                      <w:lang w:bidi="ar"/>
                    </w:rPr>
                    <w:t>0</w:t>
                  </w:r>
                  <w:r>
                    <w:rPr>
                      <w:rFonts w:hint="default" w:ascii="Times New Roman" w:hAnsi="Times New Roman" w:eastAsia="宋体" w:cs="Times New Roman"/>
                      <w:spacing w:val="-11"/>
                      <w:sz w:val="21"/>
                      <w:szCs w:val="21"/>
                      <w:lang w:val="en-US" w:eastAsia="zh-CN" w:bidi="ar"/>
                    </w:rPr>
                    <w:t>5-10</w:t>
                  </w:r>
                </w:p>
              </w:tc>
              <w:tc>
                <w:tcPr>
                  <w:tcW w:w="1762" w:type="dxa"/>
                  <w:vAlign w:val="center"/>
                </w:tcPr>
                <w:p w14:paraId="125337C3">
                  <w:pPr>
                    <w:spacing w:line="360" w:lineRule="exact"/>
                    <w:jc w:val="center"/>
                    <w:rPr>
                      <w:spacing w:val="-11"/>
                      <w:sz w:val="21"/>
                      <w:szCs w:val="21"/>
                      <w:lang w:bidi="ar"/>
                    </w:rPr>
                  </w:pPr>
                  <w:r>
                    <w:rPr>
                      <w:spacing w:val="-11"/>
                      <w:sz w:val="21"/>
                      <w:szCs w:val="21"/>
                      <w:lang w:bidi="ar"/>
                    </w:rPr>
                    <w:t>α道：0~5000cps；</w:t>
                  </w:r>
                </w:p>
                <w:p w14:paraId="02884AAE">
                  <w:pPr>
                    <w:spacing w:line="360" w:lineRule="exact"/>
                    <w:jc w:val="center"/>
                    <w:rPr>
                      <w:spacing w:val="-11"/>
                      <w:sz w:val="21"/>
                      <w:szCs w:val="21"/>
                    </w:rPr>
                  </w:pPr>
                  <w:r>
                    <w:rPr>
                      <w:spacing w:val="-11"/>
                      <w:sz w:val="21"/>
                      <w:szCs w:val="21"/>
                      <w:lang w:bidi="ar"/>
                    </w:rPr>
                    <w:t>β道：0~50000cps</w:t>
                  </w:r>
                </w:p>
              </w:tc>
            </w:tr>
            <w:tr w14:paraId="0DA751B9">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089" w:type="dxa"/>
                  <w:vAlign w:val="center"/>
                </w:tcPr>
                <w:p w14:paraId="7D869960">
                  <w:pPr>
                    <w:spacing w:line="360" w:lineRule="exact"/>
                    <w:jc w:val="center"/>
                    <w:rPr>
                      <w:spacing w:val="-11"/>
                      <w:sz w:val="21"/>
                      <w:szCs w:val="21"/>
                    </w:rPr>
                  </w:pPr>
                  <w:r>
                    <w:rPr>
                      <w:spacing w:val="-11"/>
                      <w:sz w:val="21"/>
                      <w:szCs w:val="21"/>
                      <w:lang w:bidi="ar"/>
                    </w:rPr>
                    <w:t>X-γ辐射剂量率</w:t>
                  </w:r>
                </w:p>
              </w:tc>
              <w:tc>
                <w:tcPr>
                  <w:tcW w:w="2255" w:type="dxa"/>
                  <w:vAlign w:val="center"/>
                </w:tcPr>
                <w:p w14:paraId="7AEE56A0">
                  <w:pPr>
                    <w:spacing w:line="360" w:lineRule="exact"/>
                    <w:jc w:val="center"/>
                    <w:rPr>
                      <w:spacing w:val="-11"/>
                      <w:sz w:val="21"/>
                      <w:szCs w:val="21"/>
                    </w:rPr>
                  </w:pPr>
                  <w:r>
                    <w:rPr>
                      <w:spacing w:val="-11"/>
                      <w:sz w:val="21"/>
                      <w:szCs w:val="21"/>
                      <w:lang w:bidi="ar"/>
                    </w:rPr>
                    <w:t>《环境γ辐射剂量率测量技术规范》（HJ 1157-2021）</w:t>
                  </w:r>
                </w:p>
              </w:tc>
              <w:tc>
                <w:tcPr>
                  <w:tcW w:w="3399" w:type="dxa"/>
                  <w:vAlign w:val="center"/>
                </w:tcPr>
                <w:p w14:paraId="29E07E5B">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仪器名称：便携式X-γ剂量率仪</w:t>
                  </w:r>
                </w:p>
                <w:p w14:paraId="17E85EC4">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仪器型号：BH3103B</w:t>
                  </w:r>
                </w:p>
                <w:p w14:paraId="211BB188">
                  <w:pPr>
                    <w:spacing w:line="360" w:lineRule="exact"/>
                    <w:rPr>
                      <w:rFonts w:hint="default" w:ascii="Times New Roman" w:hAnsi="Times New Roman" w:eastAsia="宋体" w:cs="Times New Roman"/>
                      <w:spacing w:val="-11"/>
                      <w:sz w:val="21"/>
                      <w:szCs w:val="21"/>
                      <w:lang w:val="en-US" w:eastAsia="zh-CN" w:bidi="ar"/>
                    </w:rPr>
                  </w:pPr>
                  <w:r>
                    <w:rPr>
                      <w:rFonts w:hint="default" w:ascii="Times New Roman" w:hAnsi="Times New Roman" w:eastAsia="宋体" w:cs="Times New Roman"/>
                      <w:spacing w:val="-11"/>
                      <w:sz w:val="21"/>
                      <w:szCs w:val="21"/>
                      <w:lang w:eastAsia="zh-CN" w:bidi="ar"/>
                    </w:rPr>
                    <w:t>仪器编号：</w:t>
                  </w:r>
                  <w:r>
                    <w:rPr>
                      <w:rFonts w:hint="default" w:ascii="Times New Roman" w:hAnsi="Times New Roman" w:eastAsia="宋体" w:cs="Times New Roman"/>
                      <w:spacing w:val="-11"/>
                      <w:sz w:val="21"/>
                      <w:szCs w:val="21"/>
                      <w:lang w:val="en-US" w:eastAsia="zh-CN" w:bidi="ar"/>
                    </w:rPr>
                    <w:t>CF0355</w:t>
                  </w:r>
                </w:p>
                <w:p w14:paraId="4AD62856">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能量响应范围：25keV~3MeV</w:t>
                  </w:r>
                </w:p>
                <w:p w14:paraId="248F800C">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校准单位：四川省自然资源实验测试研究中心（四川省核应急技术支持中心）</w:t>
                  </w:r>
                </w:p>
                <w:p w14:paraId="702151F4">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证书编号：校准字第J20260105011号</w:t>
                  </w:r>
                </w:p>
                <w:p w14:paraId="7EDCA1B2">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校准日期：202</w:t>
                  </w:r>
                  <w:r>
                    <w:rPr>
                      <w:rFonts w:hint="default" w:ascii="Times New Roman" w:hAnsi="Times New Roman" w:eastAsia="宋体" w:cs="Times New Roman"/>
                      <w:spacing w:val="-11"/>
                      <w:sz w:val="21"/>
                      <w:szCs w:val="21"/>
                      <w:lang w:val="en-US" w:eastAsia="zh-CN" w:bidi="ar"/>
                    </w:rPr>
                    <w:t>6-</w:t>
                  </w:r>
                  <w:r>
                    <w:rPr>
                      <w:rFonts w:hint="default" w:ascii="Times New Roman" w:hAnsi="Times New Roman" w:eastAsia="宋体" w:cs="Times New Roman"/>
                      <w:spacing w:val="-11"/>
                      <w:sz w:val="21"/>
                      <w:szCs w:val="21"/>
                      <w:lang w:eastAsia="zh-CN" w:bidi="ar"/>
                    </w:rPr>
                    <w:t>0</w:t>
                  </w:r>
                  <w:r>
                    <w:rPr>
                      <w:rFonts w:hint="default" w:ascii="Times New Roman" w:hAnsi="Times New Roman" w:eastAsia="宋体" w:cs="Times New Roman"/>
                      <w:spacing w:val="-11"/>
                      <w:sz w:val="21"/>
                      <w:szCs w:val="21"/>
                      <w:lang w:val="en-US" w:eastAsia="zh-CN" w:bidi="ar"/>
                    </w:rPr>
                    <w:t>3-06</w:t>
                  </w:r>
                </w:p>
                <w:p w14:paraId="2DF90B00">
                  <w:pPr>
                    <w:spacing w:line="360" w:lineRule="exact"/>
                    <w:rPr>
                      <w:spacing w:val="-11"/>
                      <w:sz w:val="21"/>
                      <w:szCs w:val="21"/>
                      <w:lang w:bidi="ar"/>
                    </w:rPr>
                  </w:pPr>
                  <w:r>
                    <w:rPr>
                      <w:rFonts w:hint="default" w:ascii="Times New Roman" w:hAnsi="Times New Roman" w:eastAsia="宋体" w:cs="Times New Roman"/>
                      <w:spacing w:val="-11"/>
                      <w:sz w:val="21"/>
                      <w:szCs w:val="21"/>
                      <w:lang w:eastAsia="zh-CN" w:bidi="ar"/>
                    </w:rPr>
                    <w:t>有效日期：202</w:t>
                  </w:r>
                  <w:r>
                    <w:rPr>
                      <w:rFonts w:hint="default" w:ascii="Times New Roman" w:hAnsi="Times New Roman" w:eastAsia="宋体" w:cs="Times New Roman"/>
                      <w:spacing w:val="-11"/>
                      <w:sz w:val="21"/>
                      <w:szCs w:val="21"/>
                      <w:lang w:val="en-US" w:eastAsia="zh-CN" w:bidi="ar"/>
                    </w:rPr>
                    <w:t>7-</w:t>
                  </w:r>
                  <w:r>
                    <w:rPr>
                      <w:rFonts w:hint="default" w:ascii="Times New Roman" w:hAnsi="Times New Roman" w:eastAsia="宋体" w:cs="Times New Roman"/>
                      <w:spacing w:val="-11"/>
                      <w:sz w:val="21"/>
                      <w:szCs w:val="21"/>
                      <w:lang w:eastAsia="zh-CN" w:bidi="ar"/>
                    </w:rPr>
                    <w:t>0</w:t>
                  </w:r>
                  <w:r>
                    <w:rPr>
                      <w:rFonts w:hint="default" w:ascii="Times New Roman" w:hAnsi="Times New Roman" w:eastAsia="宋体" w:cs="Times New Roman"/>
                      <w:spacing w:val="-11"/>
                      <w:sz w:val="21"/>
                      <w:szCs w:val="21"/>
                      <w:lang w:val="en-US" w:eastAsia="zh-CN" w:bidi="ar"/>
                    </w:rPr>
                    <w:t>3-05</w:t>
                  </w:r>
                </w:p>
              </w:tc>
              <w:tc>
                <w:tcPr>
                  <w:tcW w:w="1762" w:type="dxa"/>
                  <w:vAlign w:val="center"/>
                </w:tcPr>
                <w:p w14:paraId="3D4B4678">
                  <w:pPr>
                    <w:spacing w:line="360" w:lineRule="exact"/>
                    <w:jc w:val="center"/>
                    <w:rPr>
                      <w:spacing w:val="-11"/>
                      <w:sz w:val="21"/>
                      <w:szCs w:val="21"/>
                    </w:rPr>
                  </w:pPr>
                  <w:r>
                    <w:rPr>
                      <w:spacing w:val="-11"/>
                      <w:sz w:val="21"/>
                      <w:szCs w:val="21"/>
                      <w:lang w:bidi="ar"/>
                    </w:rPr>
                    <w:t>1~10000</w:t>
                  </w:r>
                </w:p>
                <w:p w14:paraId="51AAEA8E">
                  <w:pPr>
                    <w:spacing w:line="360" w:lineRule="exact"/>
                    <w:jc w:val="center"/>
                    <w:rPr>
                      <w:spacing w:val="-11"/>
                      <w:sz w:val="21"/>
                      <w:szCs w:val="21"/>
                    </w:rPr>
                  </w:pPr>
                  <w:r>
                    <w:rPr>
                      <w:spacing w:val="-11"/>
                      <w:sz w:val="21"/>
                      <w:szCs w:val="21"/>
                      <w:lang w:bidi="ar"/>
                    </w:rPr>
                    <w:t>(×10</w:t>
                  </w:r>
                  <w:r>
                    <w:rPr>
                      <w:spacing w:val="-11"/>
                      <w:sz w:val="21"/>
                      <w:szCs w:val="21"/>
                      <w:vertAlign w:val="superscript"/>
                      <w:lang w:bidi="ar"/>
                    </w:rPr>
                    <w:t>-8</w:t>
                  </w:r>
                  <w:r>
                    <w:rPr>
                      <w:spacing w:val="-11"/>
                      <w:sz w:val="21"/>
                      <w:szCs w:val="21"/>
                      <w:lang w:bidi="ar"/>
                    </w:rPr>
                    <w:t>Gy/h)</w:t>
                  </w:r>
                </w:p>
              </w:tc>
            </w:tr>
          </w:tbl>
          <w:p w14:paraId="22D38BA8">
            <w:pPr>
              <w:spacing w:before="163" w:line="240" w:lineRule="auto"/>
              <w:jc w:val="center"/>
              <w:rPr>
                <w:rFonts w:eastAsia="黑体"/>
                <w:sz w:val="21"/>
                <w:szCs w:val="21"/>
              </w:rPr>
            </w:pPr>
          </w:p>
          <w:p w14:paraId="19E68A80">
            <w:pPr>
              <w:spacing w:before="163" w:line="240" w:lineRule="auto"/>
              <w:jc w:val="center"/>
              <w:rPr>
                <w:rFonts w:eastAsia="黑体"/>
                <w:sz w:val="21"/>
                <w:szCs w:val="21"/>
              </w:rPr>
            </w:pPr>
            <w:r>
              <w:rPr>
                <w:rFonts w:eastAsia="黑体"/>
                <w:sz w:val="21"/>
                <w:szCs w:val="21"/>
              </w:rPr>
              <w:t>表8-3  辅助仪器</w:t>
            </w:r>
          </w:p>
          <w:tbl>
            <w:tblPr>
              <w:tblStyle w:val="57"/>
              <w:tblW w:w="5000" w:type="pct"/>
              <w:jc w:val="center"/>
              <w:tblBorders>
                <w:top w:val="single" w:color="auto" w:sz="2" w:space="0"/>
                <w:left w:val="none" w:color="auto" w:sz="0" w:space="0"/>
                <w:bottom w:val="single" w:color="auto" w:sz="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160"/>
              <w:gridCol w:w="2296"/>
              <w:gridCol w:w="5345"/>
            </w:tblGrid>
            <w:tr w14:paraId="6FC9BD1A">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151" w:type="dxa"/>
                  <w:vAlign w:val="center"/>
                </w:tcPr>
                <w:p w14:paraId="4FCD294D">
                  <w:pPr>
                    <w:spacing w:line="360" w:lineRule="exact"/>
                    <w:jc w:val="center"/>
                    <w:rPr>
                      <w:sz w:val="21"/>
                      <w:szCs w:val="21"/>
                    </w:rPr>
                  </w:pPr>
                  <w:r>
                    <w:rPr>
                      <w:sz w:val="21"/>
                      <w:szCs w:val="21"/>
                      <w:lang w:bidi="ar"/>
                    </w:rPr>
                    <w:t>序号</w:t>
                  </w:r>
                </w:p>
              </w:tc>
              <w:tc>
                <w:tcPr>
                  <w:tcW w:w="2278" w:type="dxa"/>
                  <w:vAlign w:val="center"/>
                </w:tcPr>
                <w:p w14:paraId="7B7F2F8A">
                  <w:pPr>
                    <w:spacing w:line="360" w:lineRule="exact"/>
                    <w:jc w:val="center"/>
                    <w:rPr>
                      <w:sz w:val="21"/>
                      <w:szCs w:val="21"/>
                    </w:rPr>
                  </w:pPr>
                  <w:r>
                    <w:rPr>
                      <w:sz w:val="21"/>
                      <w:szCs w:val="21"/>
                      <w:lang w:bidi="ar"/>
                    </w:rPr>
                    <w:t>监测对象</w:t>
                  </w:r>
                </w:p>
              </w:tc>
              <w:tc>
                <w:tcPr>
                  <w:tcW w:w="5302" w:type="dxa"/>
                  <w:vAlign w:val="center"/>
                </w:tcPr>
                <w:p w14:paraId="205302F5">
                  <w:pPr>
                    <w:spacing w:line="360" w:lineRule="exact"/>
                    <w:jc w:val="center"/>
                    <w:rPr>
                      <w:sz w:val="21"/>
                      <w:szCs w:val="21"/>
                    </w:rPr>
                  </w:pPr>
                  <w:r>
                    <w:rPr>
                      <w:sz w:val="21"/>
                      <w:szCs w:val="21"/>
                      <w:lang w:bidi="ar"/>
                    </w:rPr>
                    <w:t>监测仪器</w:t>
                  </w:r>
                </w:p>
              </w:tc>
            </w:tr>
            <w:tr w14:paraId="42B92D95">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151" w:type="dxa"/>
                  <w:vAlign w:val="center"/>
                </w:tcPr>
                <w:p w14:paraId="0C324CFA">
                  <w:pPr>
                    <w:spacing w:line="360" w:lineRule="exact"/>
                    <w:jc w:val="center"/>
                    <w:rPr>
                      <w:sz w:val="21"/>
                      <w:szCs w:val="21"/>
                    </w:rPr>
                  </w:pPr>
                  <w:r>
                    <w:rPr>
                      <w:sz w:val="21"/>
                      <w:szCs w:val="21"/>
                      <w:lang w:bidi="ar"/>
                    </w:rPr>
                    <w:t>1</w:t>
                  </w:r>
                </w:p>
              </w:tc>
              <w:tc>
                <w:tcPr>
                  <w:tcW w:w="2278" w:type="dxa"/>
                  <w:vAlign w:val="center"/>
                </w:tcPr>
                <w:p w14:paraId="3E99CD9E">
                  <w:pPr>
                    <w:spacing w:line="360" w:lineRule="exact"/>
                    <w:jc w:val="center"/>
                    <w:rPr>
                      <w:sz w:val="21"/>
                      <w:szCs w:val="21"/>
                    </w:rPr>
                  </w:pPr>
                  <w:r>
                    <w:rPr>
                      <w:sz w:val="21"/>
                      <w:szCs w:val="21"/>
                      <w:lang w:bidi="ar"/>
                    </w:rPr>
                    <w:t>环境温度、环境湿度</w:t>
                  </w:r>
                </w:p>
              </w:tc>
              <w:tc>
                <w:tcPr>
                  <w:tcW w:w="5302" w:type="dxa"/>
                  <w:vAlign w:val="center"/>
                </w:tcPr>
                <w:p w14:paraId="46B4AD86">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仪器名称：手持气象站</w:t>
                  </w:r>
                </w:p>
                <w:p w14:paraId="07F9F08A">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仪器型号：NK 4000</w:t>
                  </w:r>
                </w:p>
                <w:p w14:paraId="247BA3BA">
                  <w:pPr>
                    <w:spacing w:line="360" w:lineRule="exact"/>
                    <w:rPr>
                      <w:rFonts w:hint="default" w:ascii="Times New Roman" w:hAnsi="Times New Roman" w:eastAsia="宋体" w:cs="Times New Roman"/>
                      <w:spacing w:val="-11"/>
                      <w:sz w:val="21"/>
                      <w:szCs w:val="21"/>
                      <w:lang w:val="en-US" w:eastAsia="zh-CN" w:bidi="ar"/>
                    </w:rPr>
                  </w:pPr>
                  <w:r>
                    <w:rPr>
                      <w:rFonts w:hint="default" w:ascii="Times New Roman" w:hAnsi="Times New Roman" w:eastAsia="宋体" w:cs="Times New Roman"/>
                      <w:spacing w:val="-11"/>
                      <w:sz w:val="21"/>
                      <w:szCs w:val="21"/>
                      <w:lang w:eastAsia="zh-CN" w:bidi="ar"/>
                    </w:rPr>
                    <w:t>仪器编号：</w:t>
                  </w:r>
                  <w:r>
                    <w:rPr>
                      <w:rFonts w:hint="default" w:ascii="Times New Roman" w:hAnsi="Times New Roman" w:eastAsia="宋体" w:cs="Times New Roman"/>
                      <w:spacing w:val="-11"/>
                      <w:sz w:val="21"/>
                      <w:szCs w:val="21"/>
                      <w:lang w:val="en-US" w:eastAsia="zh-CN" w:bidi="ar"/>
                    </w:rPr>
                    <w:t>CF0270</w:t>
                  </w:r>
                </w:p>
                <w:p w14:paraId="15B3AD96">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环境温度分辨率：0.1℃</w:t>
                  </w:r>
                </w:p>
                <w:p w14:paraId="6626AC78">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环境湿度分辨率：0.1%</w:t>
                  </w:r>
                </w:p>
                <w:p w14:paraId="5AF6A177">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校准单位：四川中衡计量检测技术有限公司</w:t>
                  </w:r>
                </w:p>
                <w:p w14:paraId="14912608">
                  <w:pPr>
                    <w:spacing w:line="360" w:lineRule="exact"/>
                    <w:rPr>
                      <w:rFonts w:hint="default" w:ascii="Times New Roman" w:hAnsi="Times New Roman" w:eastAsia="宋体" w:cs="Times New Roman"/>
                      <w:spacing w:val="-11"/>
                      <w:sz w:val="21"/>
                      <w:szCs w:val="21"/>
                      <w:lang w:eastAsia="zh-CN" w:bidi="ar"/>
                    </w:rPr>
                  </w:pPr>
                  <w:r>
                    <w:rPr>
                      <w:rFonts w:hint="default" w:ascii="Times New Roman" w:hAnsi="Times New Roman" w:eastAsia="宋体" w:cs="Times New Roman"/>
                      <w:spacing w:val="-11"/>
                      <w:sz w:val="21"/>
                      <w:szCs w:val="21"/>
                      <w:lang w:eastAsia="zh-CN" w:bidi="ar"/>
                    </w:rPr>
                    <w:t>证书编号：</w:t>
                  </w:r>
                  <w:r>
                    <w:rPr>
                      <w:rFonts w:hint="default" w:ascii="Times New Roman" w:hAnsi="Times New Roman" w:eastAsia="宋体" w:cs="Times New Roman"/>
                      <w:spacing w:val="-11"/>
                      <w:sz w:val="21"/>
                      <w:szCs w:val="21"/>
                      <w:lang w:val="en-US" w:eastAsia="zh-CN" w:bidi="ar"/>
                    </w:rPr>
                    <w:t>20260105620147号</w:t>
                  </w:r>
                </w:p>
                <w:p w14:paraId="1FD54B8B">
                  <w:pPr>
                    <w:spacing w:line="360" w:lineRule="exact"/>
                    <w:rPr>
                      <w:rFonts w:hint="default" w:ascii="Times New Roman" w:hAnsi="Times New Roman" w:eastAsia="宋体" w:cs="Times New Roman"/>
                      <w:spacing w:val="-11"/>
                      <w:sz w:val="21"/>
                      <w:szCs w:val="21"/>
                      <w:lang w:val="en-US" w:eastAsia="zh-CN" w:bidi="ar"/>
                    </w:rPr>
                  </w:pPr>
                  <w:r>
                    <w:rPr>
                      <w:rFonts w:hint="default" w:ascii="Times New Roman" w:hAnsi="Times New Roman" w:eastAsia="宋体" w:cs="Times New Roman"/>
                      <w:spacing w:val="-11"/>
                      <w:sz w:val="21"/>
                      <w:szCs w:val="21"/>
                      <w:lang w:eastAsia="zh-CN" w:bidi="ar"/>
                    </w:rPr>
                    <w:t>校准日期：202</w:t>
                  </w:r>
                  <w:r>
                    <w:rPr>
                      <w:rFonts w:hint="default" w:ascii="Times New Roman" w:hAnsi="Times New Roman" w:eastAsia="宋体" w:cs="Times New Roman"/>
                      <w:spacing w:val="-11"/>
                      <w:sz w:val="21"/>
                      <w:szCs w:val="21"/>
                      <w:lang w:val="en-US" w:eastAsia="zh-CN" w:bidi="ar"/>
                    </w:rPr>
                    <w:t>6-01-05</w:t>
                  </w:r>
                </w:p>
                <w:p w14:paraId="48FB0252">
                  <w:pPr>
                    <w:spacing w:line="360" w:lineRule="exact"/>
                    <w:rPr>
                      <w:sz w:val="21"/>
                      <w:szCs w:val="21"/>
                    </w:rPr>
                  </w:pPr>
                  <w:r>
                    <w:rPr>
                      <w:rFonts w:hint="default" w:ascii="Times New Roman" w:hAnsi="Times New Roman" w:eastAsia="宋体" w:cs="Times New Roman"/>
                      <w:spacing w:val="-11"/>
                      <w:sz w:val="21"/>
                      <w:szCs w:val="21"/>
                      <w:lang w:eastAsia="zh-CN" w:bidi="ar"/>
                    </w:rPr>
                    <w:t>有效日期：202</w:t>
                  </w:r>
                  <w:r>
                    <w:rPr>
                      <w:rFonts w:hint="default" w:ascii="Times New Roman" w:hAnsi="Times New Roman" w:eastAsia="宋体" w:cs="Times New Roman"/>
                      <w:spacing w:val="-11"/>
                      <w:sz w:val="21"/>
                      <w:szCs w:val="21"/>
                      <w:lang w:val="en-US" w:eastAsia="zh-CN" w:bidi="ar"/>
                    </w:rPr>
                    <w:t>7-01-04</w:t>
                  </w:r>
                </w:p>
              </w:tc>
            </w:tr>
          </w:tbl>
          <w:p w14:paraId="72765972">
            <w:pPr>
              <w:rPr>
                <w:rFonts w:eastAsia="黑体"/>
                <w:bCs/>
              </w:rPr>
            </w:pPr>
            <w:r>
              <w:rPr>
                <w:rFonts w:eastAsia="黑体"/>
                <w:bCs/>
              </w:rPr>
              <w:t>五、质量保证</w:t>
            </w:r>
          </w:p>
          <w:p w14:paraId="41524E25">
            <w:pPr>
              <w:ind w:firstLine="480"/>
              <w:rPr>
                <w:lang w:bidi="ar"/>
              </w:rPr>
            </w:pPr>
            <w:r>
              <w:rPr>
                <w:lang w:bidi="ar"/>
              </w:rPr>
              <w:t>本次监测单位为</w:t>
            </w:r>
            <w:r>
              <w:rPr>
                <w:rFonts w:hint="eastAsia"/>
                <w:lang w:eastAsia="zh-CN" w:bidi="ar"/>
              </w:rPr>
              <w:t>四川省自然资源实验测试研究中心</w:t>
            </w:r>
            <w:r>
              <w:rPr>
                <w:lang w:bidi="ar"/>
              </w:rPr>
              <w:t>（四川省核应急技术支持中心），具有中国国家认证认可监督管理委员会颁发的资质认定证书（编号220020341133），并在许可范围内开展监测工作和出具有效的监测报告，保证了监测工作的合法性和有效性。具体质量保证措施如下：</w:t>
            </w:r>
          </w:p>
          <w:p w14:paraId="0D8CB24B">
            <w:pPr>
              <w:ind w:firstLine="480"/>
              <w:rPr>
                <w:bCs/>
              </w:rPr>
            </w:pPr>
            <w:r>
              <w:rPr>
                <w:bCs/>
              </w:rPr>
              <w:fldChar w:fldCharType="begin"/>
            </w:r>
            <w:r>
              <w:rPr>
                <w:bCs/>
              </w:rPr>
              <w:instrText xml:space="preserve"> = 1 \* GB3 </w:instrText>
            </w:r>
            <w:r>
              <w:rPr>
                <w:bCs/>
              </w:rPr>
              <w:fldChar w:fldCharType="separate"/>
            </w:r>
            <w:r>
              <w:rPr>
                <w:bCs/>
              </w:rPr>
              <w:t>①</w:t>
            </w:r>
            <w:r>
              <w:rPr>
                <w:bCs/>
              </w:rPr>
              <w:fldChar w:fldCharType="end"/>
            </w:r>
            <w:r>
              <w:rPr>
                <w:bCs/>
              </w:rPr>
              <w:t>根据</w:t>
            </w:r>
            <w:r>
              <w:rPr>
                <w:lang w:bidi="ar"/>
              </w:rPr>
              <w:t>《环境γ辐射剂量率测量技术规范》（HJ 1157-2021）</w:t>
            </w:r>
            <w:r>
              <w:rPr>
                <w:bCs/>
                <w:lang w:bidi="ar"/>
              </w:rPr>
              <w:t>、</w:t>
            </w:r>
            <w:r>
              <w:rPr>
                <w:lang w:bidi="ar"/>
              </w:rPr>
              <w:t>《表面污染测定 第一部分：</w:t>
            </w:r>
            <w:r>
              <w:rPr>
                <w:bCs/>
                <w:lang w:bidi="ar"/>
              </w:rPr>
              <w:t>β发射体(E</w:t>
            </w:r>
            <w:r>
              <w:rPr>
                <w:bCs/>
                <w:vertAlign w:val="subscript"/>
                <w:lang w:bidi="ar"/>
              </w:rPr>
              <w:t>βmax</w:t>
            </w:r>
            <w:r>
              <w:rPr>
                <w:bCs/>
                <w:lang w:bidi="ar"/>
              </w:rPr>
              <w:t>&gt;0.15MeV)和α发射体</w:t>
            </w:r>
            <w:r>
              <w:rPr>
                <w:lang w:bidi="ar"/>
              </w:rPr>
              <w:t>》（GB/T 14056.1-2008）、《电离辐射防护与辐射源安全基本标准》（GB 18871-2002）</w:t>
            </w:r>
            <w:r>
              <w:rPr>
                <w:bCs/>
              </w:rPr>
              <w:t>和项目实际情况制定监测方案及实施细则。</w:t>
            </w:r>
          </w:p>
          <w:p w14:paraId="69A09A58">
            <w:pPr>
              <w:ind w:firstLine="480"/>
              <w:rPr>
                <w:bCs/>
              </w:rPr>
            </w:pPr>
            <w:r>
              <w:rPr>
                <w:bCs/>
              </w:rPr>
              <w:fldChar w:fldCharType="begin"/>
            </w:r>
            <w:r>
              <w:rPr>
                <w:bCs/>
              </w:rPr>
              <w:instrText xml:space="preserve"> = 2 \* GB3 </w:instrText>
            </w:r>
            <w:r>
              <w:rPr>
                <w:bCs/>
              </w:rPr>
              <w:fldChar w:fldCharType="separate"/>
            </w:r>
            <w:r>
              <w:rPr>
                <w:bCs/>
              </w:rPr>
              <w:t>②</w:t>
            </w:r>
            <w:r>
              <w:rPr>
                <w:bCs/>
              </w:rPr>
              <w:fldChar w:fldCharType="end"/>
            </w:r>
            <w:r>
              <w:rPr>
                <w:bCs/>
              </w:rPr>
              <w:t>严格按照监测单位《质保手册》、《作业指导书》开展现场工作。</w:t>
            </w:r>
          </w:p>
          <w:p w14:paraId="514E1D86">
            <w:pPr>
              <w:ind w:firstLine="480"/>
              <w:rPr>
                <w:bCs/>
              </w:rPr>
            </w:pPr>
            <w:r>
              <w:rPr>
                <w:bCs/>
              </w:rPr>
              <w:fldChar w:fldCharType="begin"/>
            </w:r>
            <w:r>
              <w:rPr>
                <w:bCs/>
              </w:rPr>
              <w:instrText xml:space="preserve"> = 3 \* GB3 </w:instrText>
            </w:r>
            <w:r>
              <w:rPr>
                <w:bCs/>
              </w:rPr>
              <w:fldChar w:fldCharType="separate"/>
            </w:r>
            <w:r>
              <w:rPr>
                <w:bCs/>
              </w:rPr>
              <w:t>③</w:t>
            </w:r>
            <w:r>
              <w:rPr>
                <w:bCs/>
              </w:rPr>
              <w:fldChar w:fldCharType="end"/>
            </w:r>
            <w:r>
              <w:rPr>
                <w:bCs/>
              </w:rPr>
              <w:t>监测仪器每年经过计量部门检定后使用；每次测量前、后均检查仪器的工作状态是否正常。</w:t>
            </w:r>
          </w:p>
          <w:p w14:paraId="3CCF8BAD">
            <w:pPr>
              <w:ind w:firstLine="480"/>
              <w:rPr>
                <w:bCs/>
              </w:rPr>
            </w:pPr>
            <w:r>
              <w:rPr>
                <w:bCs/>
              </w:rPr>
              <w:fldChar w:fldCharType="begin"/>
            </w:r>
            <w:r>
              <w:rPr>
                <w:bCs/>
              </w:rPr>
              <w:instrText xml:space="preserve"> = 4 \* GB3 </w:instrText>
            </w:r>
            <w:r>
              <w:rPr>
                <w:bCs/>
              </w:rPr>
              <w:fldChar w:fldCharType="separate"/>
            </w:r>
            <w:r>
              <w:rPr>
                <w:bCs/>
              </w:rPr>
              <w:t>④</w:t>
            </w:r>
            <w:r>
              <w:rPr>
                <w:bCs/>
              </w:rPr>
              <w:fldChar w:fldCharType="end"/>
            </w:r>
            <w:r>
              <w:rPr>
                <w:bCs/>
              </w:rPr>
              <w:t>监测人员经考核并持有合格证书上岗。</w:t>
            </w:r>
          </w:p>
          <w:p w14:paraId="012E3834">
            <w:pPr>
              <w:ind w:firstLine="480"/>
              <w:rPr>
                <w:bCs/>
              </w:rPr>
            </w:pPr>
            <w:r>
              <w:rPr>
                <w:bCs/>
              </w:rPr>
              <w:fldChar w:fldCharType="begin"/>
            </w:r>
            <w:r>
              <w:rPr>
                <w:bCs/>
              </w:rPr>
              <w:instrText xml:space="preserve"> = 5 \* GB3 </w:instrText>
            </w:r>
            <w:r>
              <w:rPr>
                <w:bCs/>
              </w:rPr>
              <w:fldChar w:fldCharType="separate"/>
            </w:r>
            <w:r>
              <w:rPr>
                <w:bCs/>
              </w:rPr>
              <w:t>⑤</w:t>
            </w:r>
            <w:r>
              <w:rPr>
                <w:bCs/>
              </w:rPr>
              <w:fldChar w:fldCharType="end"/>
            </w:r>
            <w:r>
              <w:rPr>
                <w:bCs/>
              </w:rPr>
              <w:t>根据</w:t>
            </w:r>
            <w:r>
              <w:rPr>
                <w:szCs w:val="21"/>
              </w:rPr>
              <w:t>《环境γ辐射剂量率测量技术规范》（HJ 1157-2021）</w:t>
            </w:r>
            <w:r>
              <w:rPr>
                <w:bCs/>
              </w:rPr>
              <w:t>，布设监测点位置和高度，兼顾监测技术规定和实际情况，监测结果具有代表性和针对性。</w:t>
            </w:r>
          </w:p>
          <w:p w14:paraId="652ED9E3">
            <w:pPr>
              <w:ind w:firstLine="480"/>
              <w:rPr>
                <w:bCs/>
              </w:rPr>
            </w:pPr>
            <w:r>
              <w:rPr>
                <w:bCs/>
              </w:rPr>
              <w:fldChar w:fldCharType="begin"/>
            </w:r>
            <w:r>
              <w:rPr>
                <w:bCs/>
              </w:rPr>
              <w:instrText xml:space="preserve"> = 6 \* GB3 </w:instrText>
            </w:r>
            <w:r>
              <w:rPr>
                <w:bCs/>
              </w:rPr>
              <w:fldChar w:fldCharType="separate"/>
            </w:r>
            <w:r>
              <w:rPr>
                <w:bCs/>
              </w:rPr>
              <w:t>⑥</w:t>
            </w:r>
            <w:r>
              <w:rPr>
                <w:bCs/>
              </w:rPr>
              <w:fldChar w:fldCharType="end"/>
            </w:r>
            <w:r>
              <w:rPr>
                <w:bCs/>
              </w:rPr>
              <w:t>监测时获取足够的数据量，以保证监测结果的统计学精度。监测中异常数据以及监测结果的数据处理按照统计学原则处理。</w:t>
            </w:r>
          </w:p>
          <w:p w14:paraId="5169BFBE">
            <w:pPr>
              <w:ind w:firstLine="480"/>
              <w:rPr>
                <w:bCs/>
              </w:rPr>
            </w:pPr>
            <w:r>
              <w:rPr>
                <w:bCs/>
              </w:rPr>
              <w:fldChar w:fldCharType="begin"/>
            </w:r>
            <w:r>
              <w:rPr>
                <w:bCs/>
              </w:rPr>
              <w:instrText xml:space="preserve"> = 7 \* GB3 </w:instrText>
            </w:r>
            <w:r>
              <w:rPr>
                <w:bCs/>
              </w:rPr>
              <w:fldChar w:fldCharType="separate"/>
            </w:r>
            <w:r>
              <w:rPr>
                <w:bCs/>
              </w:rPr>
              <w:t>⑦</w:t>
            </w:r>
            <w:r>
              <w:rPr>
                <w:bCs/>
              </w:rPr>
              <w:fldChar w:fldCharType="end"/>
            </w:r>
            <w:r>
              <w:rPr>
                <w:bCs/>
              </w:rPr>
              <w:t>建立完整的文件资料。仪器校准（测试）证书、监测方案、监测布点图、测量原始数据、统计处理程序等全部保留，以备复查。</w:t>
            </w:r>
          </w:p>
          <w:p w14:paraId="60EDBF01">
            <w:pPr>
              <w:ind w:firstLine="480"/>
              <w:rPr>
                <w:bCs/>
              </w:rPr>
            </w:pPr>
            <w:r>
              <w:rPr>
                <w:bCs/>
              </w:rPr>
              <w:fldChar w:fldCharType="begin"/>
            </w:r>
            <w:r>
              <w:rPr>
                <w:bCs/>
              </w:rPr>
              <w:instrText xml:space="preserve"> = 8 \* GB3 </w:instrText>
            </w:r>
            <w:r>
              <w:rPr>
                <w:bCs/>
              </w:rPr>
              <w:fldChar w:fldCharType="separate"/>
            </w:r>
            <w:r>
              <w:rPr>
                <w:bCs/>
              </w:rPr>
              <w:t>⑧</w:t>
            </w:r>
            <w:r>
              <w:rPr>
                <w:bCs/>
              </w:rPr>
              <w:fldChar w:fldCharType="end"/>
            </w:r>
            <w:r>
              <w:rPr>
                <w:bCs/>
              </w:rPr>
              <w:t>检测报告严格实行三级审核制度，经过校对、校核，最后由技术负责人审定。</w:t>
            </w:r>
          </w:p>
          <w:p w14:paraId="1BC5612F">
            <w:pPr>
              <w:rPr>
                <w:rFonts w:eastAsia="黑体"/>
                <w:bCs/>
              </w:rPr>
            </w:pPr>
            <w:r>
              <w:rPr>
                <w:rFonts w:eastAsia="黑体"/>
                <w:bCs/>
              </w:rPr>
              <w:t>六、监测结果</w:t>
            </w:r>
          </w:p>
          <w:p w14:paraId="1CCDC464">
            <w:pPr>
              <w:ind w:firstLine="480"/>
            </w:pPr>
            <w:r>
              <w:t>监测结果见表8-4~表8-7。</w:t>
            </w:r>
          </w:p>
          <w:p w14:paraId="14091B77">
            <w:pPr>
              <w:spacing w:before="163" w:line="240" w:lineRule="auto"/>
              <w:jc w:val="center"/>
              <w:rPr>
                <w:rFonts w:eastAsia="黑体"/>
                <w:sz w:val="21"/>
                <w:szCs w:val="21"/>
              </w:rPr>
            </w:pPr>
            <w:r>
              <w:rPr>
                <w:rFonts w:eastAsia="黑体"/>
                <w:sz w:val="21"/>
                <w:szCs w:val="21"/>
              </w:rPr>
              <w:t>表8-4  项目拟建地及周围α表面污染活度监测结果</w:t>
            </w:r>
          </w:p>
          <w:tbl>
            <w:tblPr>
              <w:tblStyle w:val="57"/>
              <w:tblW w:w="5000" w:type="pct"/>
              <w:tblInd w:w="0" w:type="dxa"/>
              <w:tblBorders>
                <w:top w:val="single" w:color="auto" w:sz="0" w:space="0"/>
                <w:left w:val="none" w:color="auto" w:sz="0" w:space="0"/>
                <w:bottom w:val="single" w:color="auto" w:sz="0" w:space="0"/>
                <w:right w:val="non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8"/>
              <w:gridCol w:w="3532"/>
              <w:gridCol w:w="1301"/>
              <w:gridCol w:w="1658"/>
              <w:gridCol w:w="1115"/>
              <w:gridCol w:w="627"/>
            </w:tblGrid>
            <w:tr w14:paraId="667995C8">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3AEE156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序号</w:t>
                  </w:r>
                </w:p>
              </w:tc>
              <w:tc>
                <w:tcPr>
                  <w:tcW w:w="3420" w:type="dxa"/>
                  <w:vAlign w:val="center"/>
                </w:tcPr>
                <w:p w14:paraId="4732DF5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点位名称</w:t>
                  </w:r>
                </w:p>
              </w:tc>
              <w:tc>
                <w:tcPr>
                  <w:tcW w:w="1260" w:type="dxa"/>
                  <w:vAlign w:val="center"/>
                </w:tcPr>
                <w:p w14:paraId="3DED062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监测日期</w:t>
                  </w:r>
                </w:p>
              </w:tc>
              <w:tc>
                <w:tcPr>
                  <w:tcW w:w="1605" w:type="dxa"/>
                  <w:vAlign w:val="center"/>
                </w:tcPr>
                <w:p w14:paraId="491B73F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lang w:val="en-US" w:eastAsia="zh-CN"/>
                    </w:rPr>
                    <w:t>α</w:t>
                  </w:r>
                  <w:r>
                    <w:rPr>
                      <w:rFonts w:hint="default" w:ascii="Times New Roman" w:hAnsi="Times New Roman" w:eastAsia="宋体" w:cs="Times New Roman"/>
                      <w:b w:val="0"/>
                      <w:bCs w:val="0"/>
                      <w:sz w:val="21"/>
                      <w:szCs w:val="21"/>
                    </w:rPr>
                    <w:t>表面污染活度</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(Bq/cm</w:t>
                  </w:r>
                  <w:r>
                    <w:rPr>
                      <w:rFonts w:hint="default" w:ascii="Times New Roman" w:hAnsi="Times New Roman" w:eastAsia="宋体" w:cs="Times New Roman"/>
                      <w:b w:val="0"/>
                      <w:bCs w:val="0"/>
                      <w:sz w:val="21"/>
                      <w:szCs w:val="21"/>
                      <w:vertAlign w:val="superscript"/>
                    </w:rPr>
                    <w:t>2</w:t>
                  </w:r>
                  <w:r>
                    <w:rPr>
                      <w:rFonts w:hint="default" w:ascii="Times New Roman" w:hAnsi="Times New Roman" w:eastAsia="宋体" w:cs="Times New Roman"/>
                      <w:b w:val="0"/>
                      <w:bCs w:val="0"/>
                      <w:sz w:val="21"/>
                      <w:szCs w:val="21"/>
                    </w:rPr>
                    <w:t>)</w:t>
                  </w:r>
                </w:p>
              </w:tc>
              <w:tc>
                <w:tcPr>
                  <w:tcW w:w="1080" w:type="dxa"/>
                  <w:vAlign w:val="center"/>
                </w:tcPr>
                <w:p w14:paraId="26C7A02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标准差</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(Bq/cm</w:t>
                  </w:r>
                  <w:r>
                    <w:rPr>
                      <w:rFonts w:hint="default" w:ascii="Times New Roman" w:hAnsi="Times New Roman" w:eastAsia="宋体" w:cs="Times New Roman"/>
                      <w:b w:val="0"/>
                      <w:bCs w:val="0"/>
                      <w:sz w:val="21"/>
                      <w:szCs w:val="21"/>
                      <w:vertAlign w:val="superscript"/>
                    </w:rPr>
                    <w:t>2</w:t>
                  </w:r>
                  <w:r>
                    <w:rPr>
                      <w:rFonts w:hint="default" w:ascii="Times New Roman" w:hAnsi="Times New Roman" w:eastAsia="宋体" w:cs="Times New Roman"/>
                      <w:b w:val="0"/>
                      <w:bCs w:val="0"/>
                      <w:sz w:val="21"/>
                      <w:szCs w:val="21"/>
                    </w:rPr>
                    <w:t>)</w:t>
                  </w:r>
                </w:p>
              </w:tc>
              <w:tc>
                <w:tcPr>
                  <w:tcW w:w="607" w:type="dxa"/>
                  <w:vAlign w:val="center"/>
                </w:tcPr>
                <w:p w14:paraId="5AE8296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备注</w:t>
                  </w:r>
                </w:p>
              </w:tc>
            </w:tr>
            <w:tr w14:paraId="21D28533">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7AB5B7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1</w:t>
                  </w:r>
                </w:p>
              </w:tc>
              <w:tc>
                <w:tcPr>
                  <w:tcW w:w="3420" w:type="dxa"/>
                  <w:vAlign w:val="center"/>
                </w:tcPr>
                <w:p w14:paraId="52B9A5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本项目核医学科分装室</w:t>
                  </w:r>
                  <w:r>
                    <w:rPr>
                      <w:rStyle w:val="270"/>
                      <w:rFonts w:hint="default" w:ascii="Times New Roman" w:hAnsi="Times New Roman" w:eastAsia="宋体" w:cs="Times New Roman"/>
                      <w:sz w:val="21"/>
                      <w:szCs w:val="21"/>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拟建地地面（现状为负一层施工现场）</w:t>
                  </w:r>
                </w:p>
              </w:tc>
              <w:tc>
                <w:tcPr>
                  <w:tcW w:w="1260" w:type="dxa"/>
                  <w:vAlign w:val="center"/>
                </w:tcPr>
                <w:p w14:paraId="40B049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33876D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505595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6BF6F96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2DB5C70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1A7835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2</w:t>
                  </w:r>
                </w:p>
              </w:tc>
              <w:tc>
                <w:tcPr>
                  <w:tcW w:w="3420" w:type="dxa"/>
                  <w:vAlign w:val="center"/>
                </w:tcPr>
                <w:p w14:paraId="55C317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本项目核医学科分装室</w:t>
                  </w:r>
                  <w:r>
                    <w:rPr>
                      <w:rStyle w:val="270"/>
                      <w:rFonts w:hint="default" w:ascii="Times New Roman" w:hAnsi="Times New Roman" w:eastAsia="宋体" w:cs="Times New Roman"/>
                      <w:sz w:val="21"/>
                      <w:szCs w:val="21"/>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拟建地地面（现状为负一层施工现场）</w:t>
                  </w:r>
                </w:p>
              </w:tc>
              <w:tc>
                <w:tcPr>
                  <w:tcW w:w="1260" w:type="dxa"/>
                  <w:vAlign w:val="center"/>
                </w:tcPr>
                <w:p w14:paraId="47080E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4E7289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6A5563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4D18DF9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ACD2A80">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6A1074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3</w:t>
                  </w:r>
                </w:p>
              </w:tc>
              <w:tc>
                <w:tcPr>
                  <w:tcW w:w="3420" w:type="dxa"/>
                  <w:vAlign w:val="center"/>
                </w:tcPr>
                <w:p w14:paraId="2F56EB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w:t>
                  </w:r>
                  <w:r>
                    <w:rPr>
                      <w:rStyle w:val="270"/>
                      <w:rFonts w:hint="default" w:ascii="Times New Roman" w:hAnsi="Times New Roman" w:eastAsia="宋体" w:cs="Times New Roman"/>
                      <w:sz w:val="21"/>
                      <w:szCs w:val="21"/>
                      <w:lang w:val="en-US" w:eastAsia="zh-CN" w:bidi="ar"/>
                    </w:rPr>
                    <w:t>PET/CT</w:t>
                  </w:r>
                  <w:r>
                    <w:rPr>
                      <w:rFonts w:hint="default" w:ascii="Times New Roman" w:hAnsi="Times New Roman" w:eastAsia="宋体" w:cs="Times New Roman"/>
                      <w:i w:val="0"/>
                      <w:iCs w:val="0"/>
                      <w:color w:val="000000"/>
                      <w:kern w:val="0"/>
                      <w:sz w:val="21"/>
                      <w:szCs w:val="21"/>
                      <w:u w:val="none"/>
                      <w:lang w:val="en-US" w:eastAsia="zh-CN" w:bidi="ar"/>
                    </w:rPr>
                    <w:t>机房拟建地地面（现状为负一层施工现场）</w:t>
                  </w:r>
                </w:p>
              </w:tc>
              <w:tc>
                <w:tcPr>
                  <w:tcW w:w="1260" w:type="dxa"/>
                  <w:vAlign w:val="center"/>
                </w:tcPr>
                <w:p w14:paraId="310A53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44BD11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2C215D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6CA759A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37C81C1">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2C9106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4</w:t>
                  </w:r>
                </w:p>
              </w:tc>
              <w:tc>
                <w:tcPr>
                  <w:tcW w:w="3420" w:type="dxa"/>
                  <w:vAlign w:val="center"/>
                </w:tcPr>
                <w:p w14:paraId="4BBEBE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本项目衰变池拟建地地面（现状为空地）</w:t>
                  </w:r>
                </w:p>
              </w:tc>
              <w:tc>
                <w:tcPr>
                  <w:tcW w:w="1260" w:type="dxa"/>
                  <w:vAlign w:val="center"/>
                </w:tcPr>
                <w:p w14:paraId="444492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572AD3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4F1879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240EB3B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20DDAB42">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146444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5</w:t>
                  </w:r>
                </w:p>
              </w:tc>
              <w:tc>
                <w:tcPr>
                  <w:tcW w:w="3420" w:type="dxa"/>
                  <w:vAlign w:val="center"/>
                </w:tcPr>
                <w:p w14:paraId="0D1CFF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本项目核医学科拟建地东侧地面（现状为负一层施工现场）</w:t>
                  </w:r>
                </w:p>
              </w:tc>
              <w:tc>
                <w:tcPr>
                  <w:tcW w:w="1260" w:type="dxa"/>
                  <w:vAlign w:val="center"/>
                </w:tcPr>
                <w:p w14:paraId="293127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456BF0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5E0683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14F03A6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68ED5DEC">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1511B5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6</w:t>
                  </w:r>
                </w:p>
              </w:tc>
              <w:tc>
                <w:tcPr>
                  <w:tcW w:w="3420" w:type="dxa"/>
                  <w:vAlign w:val="center"/>
                </w:tcPr>
                <w:p w14:paraId="7A8A3F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本项目核医学科拟建地南侧地面（现状为负一层施工现场）</w:t>
                  </w:r>
                </w:p>
              </w:tc>
              <w:tc>
                <w:tcPr>
                  <w:tcW w:w="1260" w:type="dxa"/>
                  <w:vAlign w:val="center"/>
                </w:tcPr>
                <w:p w14:paraId="0FE73F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123B8A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0E212F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6C2FE40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95D0118">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2576BA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7</w:t>
                  </w:r>
                </w:p>
              </w:tc>
              <w:tc>
                <w:tcPr>
                  <w:tcW w:w="3420" w:type="dxa"/>
                  <w:vAlign w:val="center"/>
                </w:tcPr>
                <w:p w14:paraId="4E45B2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本项目核医学科拟建地西侧地面（现状为负一层施工现场）</w:t>
                  </w:r>
                </w:p>
              </w:tc>
              <w:tc>
                <w:tcPr>
                  <w:tcW w:w="1260" w:type="dxa"/>
                  <w:vAlign w:val="center"/>
                </w:tcPr>
                <w:p w14:paraId="42390C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061012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745977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0E9FAAA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743D605">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0889A6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8</w:t>
                  </w:r>
                </w:p>
              </w:tc>
              <w:tc>
                <w:tcPr>
                  <w:tcW w:w="3420" w:type="dxa"/>
                  <w:vAlign w:val="center"/>
                </w:tcPr>
                <w:p w14:paraId="2DADE8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本项目核医学科拟建地北侧地面（现状为负一层施工现场）</w:t>
                  </w:r>
                </w:p>
              </w:tc>
              <w:tc>
                <w:tcPr>
                  <w:tcW w:w="1260" w:type="dxa"/>
                  <w:vAlign w:val="center"/>
                </w:tcPr>
                <w:p w14:paraId="57F243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605" w:type="dxa"/>
                  <w:vAlign w:val="center"/>
                </w:tcPr>
                <w:p w14:paraId="16E3A0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3FEC90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574938C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bl>
          <w:p w14:paraId="488B3CD8">
            <w:pPr>
              <w:spacing w:line="240" w:lineRule="auto"/>
              <w:jc w:val="left"/>
              <w:rPr>
                <w:rFonts w:eastAsia="黑体"/>
                <w:sz w:val="21"/>
                <w:szCs w:val="21"/>
              </w:rPr>
            </w:pPr>
            <w:r>
              <w:rPr>
                <w:rFonts w:eastAsia="黑体"/>
                <w:sz w:val="21"/>
                <w:szCs w:val="21"/>
              </w:rPr>
              <w:t>注：“&lt;0.01”表示低于仪器检出限。</w:t>
            </w:r>
          </w:p>
          <w:p w14:paraId="0CDB37E9">
            <w:pPr>
              <w:spacing w:before="163" w:line="240" w:lineRule="auto"/>
              <w:jc w:val="center"/>
              <w:rPr>
                <w:rFonts w:eastAsia="黑体"/>
                <w:sz w:val="21"/>
                <w:szCs w:val="21"/>
              </w:rPr>
            </w:pPr>
            <w:r>
              <w:rPr>
                <w:rFonts w:eastAsia="黑体"/>
                <w:sz w:val="21"/>
                <w:szCs w:val="21"/>
              </w:rPr>
              <w:t>表8-5  项目拟建地及周围β表面污染活度监测结果</w:t>
            </w:r>
          </w:p>
          <w:tbl>
            <w:tblPr>
              <w:tblStyle w:val="57"/>
              <w:tblW w:w="5000" w:type="pct"/>
              <w:tblInd w:w="0" w:type="dxa"/>
              <w:tblBorders>
                <w:top w:val="single" w:color="auto" w:sz="0" w:space="0"/>
                <w:left w:val="none" w:color="auto" w:sz="0" w:space="0"/>
                <w:bottom w:val="single" w:color="auto" w:sz="0" w:space="0"/>
                <w:right w:val="non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8"/>
              <w:gridCol w:w="3532"/>
              <w:gridCol w:w="1301"/>
              <w:gridCol w:w="1658"/>
              <w:gridCol w:w="1115"/>
              <w:gridCol w:w="627"/>
            </w:tblGrid>
            <w:tr w14:paraId="47423F6E">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155CD1B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序号</w:t>
                  </w:r>
                </w:p>
              </w:tc>
              <w:tc>
                <w:tcPr>
                  <w:tcW w:w="3420" w:type="dxa"/>
                  <w:vAlign w:val="center"/>
                </w:tcPr>
                <w:p w14:paraId="7EA179C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点位名称</w:t>
                  </w:r>
                </w:p>
              </w:tc>
              <w:tc>
                <w:tcPr>
                  <w:tcW w:w="1260" w:type="dxa"/>
                  <w:vAlign w:val="center"/>
                </w:tcPr>
                <w:p w14:paraId="189887F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监测日期</w:t>
                  </w:r>
                </w:p>
              </w:tc>
              <w:tc>
                <w:tcPr>
                  <w:tcW w:w="1605" w:type="dxa"/>
                  <w:vAlign w:val="center"/>
                </w:tcPr>
                <w:p w14:paraId="605108E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lang w:val="en-US" w:eastAsia="zh-CN"/>
                    </w:rPr>
                    <w:t>β</w:t>
                  </w:r>
                  <w:r>
                    <w:rPr>
                      <w:rFonts w:hint="default" w:ascii="Times New Roman" w:hAnsi="Times New Roman" w:eastAsia="宋体" w:cs="Times New Roman"/>
                      <w:b w:val="0"/>
                      <w:bCs w:val="0"/>
                      <w:sz w:val="21"/>
                      <w:szCs w:val="21"/>
                    </w:rPr>
                    <w:t>表面污染活度</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(Bq/cm</w:t>
                  </w:r>
                  <w:r>
                    <w:rPr>
                      <w:rFonts w:hint="default" w:ascii="Times New Roman" w:hAnsi="Times New Roman" w:eastAsia="宋体" w:cs="Times New Roman"/>
                      <w:b w:val="0"/>
                      <w:bCs w:val="0"/>
                      <w:sz w:val="21"/>
                      <w:szCs w:val="21"/>
                      <w:vertAlign w:val="superscript"/>
                    </w:rPr>
                    <w:t>2</w:t>
                  </w:r>
                  <w:r>
                    <w:rPr>
                      <w:rFonts w:hint="default" w:ascii="Times New Roman" w:hAnsi="Times New Roman" w:eastAsia="宋体" w:cs="Times New Roman"/>
                      <w:b w:val="0"/>
                      <w:bCs w:val="0"/>
                      <w:sz w:val="21"/>
                      <w:szCs w:val="21"/>
                    </w:rPr>
                    <w:t>)</w:t>
                  </w:r>
                </w:p>
              </w:tc>
              <w:tc>
                <w:tcPr>
                  <w:tcW w:w="1080" w:type="dxa"/>
                  <w:vAlign w:val="center"/>
                </w:tcPr>
                <w:p w14:paraId="5ED2219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标准差</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(Bq/cm</w:t>
                  </w:r>
                  <w:r>
                    <w:rPr>
                      <w:rFonts w:hint="default" w:ascii="Times New Roman" w:hAnsi="Times New Roman" w:eastAsia="宋体" w:cs="Times New Roman"/>
                      <w:b w:val="0"/>
                      <w:bCs w:val="0"/>
                      <w:sz w:val="21"/>
                      <w:szCs w:val="21"/>
                      <w:vertAlign w:val="superscript"/>
                    </w:rPr>
                    <w:t>2</w:t>
                  </w:r>
                  <w:r>
                    <w:rPr>
                      <w:rFonts w:hint="default" w:ascii="Times New Roman" w:hAnsi="Times New Roman" w:eastAsia="宋体" w:cs="Times New Roman"/>
                      <w:b w:val="0"/>
                      <w:bCs w:val="0"/>
                      <w:sz w:val="21"/>
                      <w:szCs w:val="21"/>
                    </w:rPr>
                    <w:t>)</w:t>
                  </w:r>
                </w:p>
              </w:tc>
              <w:tc>
                <w:tcPr>
                  <w:tcW w:w="607" w:type="dxa"/>
                  <w:vAlign w:val="center"/>
                </w:tcPr>
                <w:p w14:paraId="2760565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备注</w:t>
                  </w:r>
                </w:p>
              </w:tc>
            </w:tr>
            <w:tr w14:paraId="11DF6E8D">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6CE20C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1</w:t>
                  </w:r>
                </w:p>
              </w:tc>
              <w:tc>
                <w:tcPr>
                  <w:tcW w:w="3420" w:type="dxa"/>
                  <w:vAlign w:val="center"/>
                </w:tcPr>
                <w:p w14:paraId="655701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本项目核医学科分装室</w:t>
                  </w:r>
                  <w:r>
                    <w:rPr>
                      <w:rStyle w:val="270"/>
                      <w:rFonts w:hint="default" w:ascii="Times New Roman" w:hAnsi="Times New Roman" w:eastAsia="宋体" w:cs="Times New Roman"/>
                      <w:sz w:val="21"/>
                      <w:szCs w:val="21"/>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拟建地地面（现状为负一层施工现场）</w:t>
                  </w:r>
                </w:p>
              </w:tc>
              <w:tc>
                <w:tcPr>
                  <w:tcW w:w="1260" w:type="dxa"/>
                  <w:vAlign w:val="center"/>
                </w:tcPr>
                <w:p w14:paraId="23FED6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263F17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6E3F40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37BAEB3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570FF7CB">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5266A0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2</w:t>
                  </w:r>
                </w:p>
              </w:tc>
              <w:tc>
                <w:tcPr>
                  <w:tcW w:w="3420" w:type="dxa"/>
                  <w:vAlign w:val="center"/>
                </w:tcPr>
                <w:p w14:paraId="301B92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本项目核医学科分装室</w:t>
                  </w:r>
                  <w:r>
                    <w:rPr>
                      <w:rStyle w:val="270"/>
                      <w:rFonts w:hint="default" w:ascii="Times New Roman" w:hAnsi="Times New Roman" w:eastAsia="宋体" w:cs="Times New Roman"/>
                      <w:sz w:val="21"/>
                      <w:szCs w:val="21"/>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拟建地地面（现状为负一层施工现场）</w:t>
                  </w:r>
                </w:p>
              </w:tc>
              <w:tc>
                <w:tcPr>
                  <w:tcW w:w="1260" w:type="dxa"/>
                  <w:vAlign w:val="center"/>
                </w:tcPr>
                <w:p w14:paraId="1F39BE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132EB9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1080" w:type="dxa"/>
                  <w:vAlign w:val="center"/>
                </w:tcPr>
                <w:p w14:paraId="7F672B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607" w:type="dxa"/>
                  <w:vAlign w:val="center"/>
                </w:tcPr>
                <w:p w14:paraId="010726F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4BDEF8F8">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3A9A91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3</w:t>
                  </w:r>
                </w:p>
              </w:tc>
              <w:tc>
                <w:tcPr>
                  <w:tcW w:w="3420" w:type="dxa"/>
                  <w:vAlign w:val="center"/>
                </w:tcPr>
                <w:p w14:paraId="33993D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w:t>
                  </w:r>
                  <w:r>
                    <w:rPr>
                      <w:rStyle w:val="270"/>
                      <w:rFonts w:hint="default" w:ascii="Times New Roman" w:hAnsi="Times New Roman" w:eastAsia="宋体" w:cs="Times New Roman"/>
                      <w:sz w:val="21"/>
                      <w:szCs w:val="21"/>
                      <w:lang w:val="en-US" w:eastAsia="zh-CN" w:bidi="ar"/>
                    </w:rPr>
                    <w:t>PET/CT</w:t>
                  </w:r>
                  <w:r>
                    <w:rPr>
                      <w:rFonts w:hint="default" w:ascii="Times New Roman" w:hAnsi="Times New Roman" w:eastAsia="宋体" w:cs="Times New Roman"/>
                      <w:i w:val="0"/>
                      <w:iCs w:val="0"/>
                      <w:color w:val="000000"/>
                      <w:kern w:val="0"/>
                      <w:sz w:val="21"/>
                      <w:szCs w:val="21"/>
                      <w:u w:val="none"/>
                      <w:lang w:val="en-US" w:eastAsia="zh-CN" w:bidi="ar"/>
                    </w:rPr>
                    <w:t>机房拟建地地面（现状为负一层施工现场）</w:t>
                  </w:r>
                </w:p>
              </w:tc>
              <w:tc>
                <w:tcPr>
                  <w:tcW w:w="1260" w:type="dxa"/>
                  <w:vAlign w:val="center"/>
                </w:tcPr>
                <w:p w14:paraId="37B7B9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4E2B31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1080" w:type="dxa"/>
                  <w:vAlign w:val="center"/>
                </w:tcPr>
                <w:p w14:paraId="03A4A2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607" w:type="dxa"/>
                  <w:vAlign w:val="center"/>
                </w:tcPr>
                <w:p w14:paraId="7865552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0F56667">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001B4C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4</w:t>
                  </w:r>
                </w:p>
              </w:tc>
              <w:tc>
                <w:tcPr>
                  <w:tcW w:w="3420" w:type="dxa"/>
                  <w:vAlign w:val="center"/>
                </w:tcPr>
                <w:p w14:paraId="51533B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本项目衰变池拟建地地面（现状为空地）</w:t>
                  </w:r>
                </w:p>
              </w:tc>
              <w:tc>
                <w:tcPr>
                  <w:tcW w:w="1260" w:type="dxa"/>
                  <w:vAlign w:val="center"/>
                </w:tcPr>
                <w:p w14:paraId="504876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16E739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119DD3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5C844B1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4785C581">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4F8926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5</w:t>
                  </w:r>
                </w:p>
              </w:tc>
              <w:tc>
                <w:tcPr>
                  <w:tcW w:w="3420" w:type="dxa"/>
                  <w:vAlign w:val="center"/>
                </w:tcPr>
                <w:p w14:paraId="2468A2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本项目核医学科拟建地东侧地面（现状为负一层施工现场）</w:t>
                  </w:r>
                </w:p>
              </w:tc>
              <w:tc>
                <w:tcPr>
                  <w:tcW w:w="1260" w:type="dxa"/>
                  <w:vAlign w:val="center"/>
                </w:tcPr>
                <w:p w14:paraId="663651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1B6BF3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2DA0C6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58AB8D0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C4D5FA6">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291CCD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6</w:t>
                  </w:r>
                </w:p>
              </w:tc>
              <w:tc>
                <w:tcPr>
                  <w:tcW w:w="3420" w:type="dxa"/>
                  <w:vAlign w:val="center"/>
                </w:tcPr>
                <w:p w14:paraId="08DBBC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本项目核医学科拟建地南侧地面（现状为负一层施工现场）</w:t>
                  </w:r>
                </w:p>
              </w:tc>
              <w:tc>
                <w:tcPr>
                  <w:tcW w:w="1260" w:type="dxa"/>
                  <w:vAlign w:val="center"/>
                </w:tcPr>
                <w:p w14:paraId="0668F1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2E4CC1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&lt;0.01</w:t>
                  </w:r>
                </w:p>
              </w:tc>
              <w:tc>
                <w:tcPr>
                  <w:tcW w:w="1080" w:type="dxa"/>
                  <w:vAlign w:val="center"/>
                </w:tcPr>
                <w:p w14:paraId="623CAB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c>
                <w:tcPr>
                  <w:tcW w:w="607" w:type="dxa"/>
                  <w:vAlign w:val="center"/>
                </w:tcPr>
                <w:p w14:paraId="1637CF7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58D0ED0">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36C3F2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7</w:t>
                  </w:r>
                </w:p>
              </w:tc>
              <w:tc>
                <w:tcPr>
                  <w:tcW w:w="3420" w:type="dxa"/>
                  <w:vAlign w:val="center"/>
                </w:tcPr>
                <w:p w14:paraId="60B325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本项目核医学科拟建地西侧地面（现状为负一层施工现场）</w:t>
                  </w:r>
                </w:p>
              </w:tc>
              <w:tc>
                <w:tcPr>
                  <w:tcW w:w="1260" w:type="dxa"/>
                  <w:vAlign w:val="center"/>
                </w:tcPr>
                <w:p w14:paraId="74E05C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64F5F3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1080" w:type="dxa"/>
                  <w:vAlign w:val="center"/>
                </w:tcPr>
                <w:p w14:paraId="7330C0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607" w:type="dxa"/>
                  <w:vAlign w:val="center"/>
                </w:tcPr>
                <w:p w14:paraId="653DA52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5D7A1181">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trPr>
              <w:tc>
                <w:tcPr>
                  <w:tcW w:w="550" w:type="dxa"/>
                  <w:vAlign w:val="center"/>
                </w:tcPr>
                <w:p w14:paraId="74E817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8</w:t>
                  </w:r>
                </w:p>
              </w:tc>
              <w:tc>
                <w:tcPr>
                  <w:tcW w:w="3420" w:type="dxa"/>
                  <w:vAlign w:val="center"/>
                </w:tcPr>
                <w:p w14:paraId="222DEA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i w:val="0"/>
                      <w:iCs w:val="0"/>
                      <w:color w:val="000000"/>
                      <w:kern w:val="0"/>
                      <w:sz w:val="21"/>
                      <w:szCs w:val="21"/>
                      <w:u w:val="none"/>
                      <w:lang w:val="en-US" w:eastAsia="zh-CN" w:bidi="ar"/>
                    </w:rPr>
                    <w:t>本项目核医学科拟建地北侧地面（现状为负一层施工现场）</w:t>
                  </w:r>
                </w:p>
              </w:tc>
              <w:tc>
                <w:tcPr>
                  <w:tcW w:w="1260" w:type="dxa"/>
                  <w:vAlign w:val="center"/>
                </w:tcPr>
                <w:p w14:paraId="022836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cs="Times New Roman"/>
                      <w:b w:val="0"/>
                      <w:bCs w:val="0"/>
                      <w:i w:val="0"/>
                      <w:iCs w:val="0"/>
                      <w:color w:val="000000"/>
                      <w:kern w:val="0"/>
                      <w:sz w:val="21"/>
                      <w:szCs w:val="21"/>
                      <w:u w:val="none"/>
                      <w:lang w:val="en-US" w:eastAsia="zh-CN" w:bidi="ar"/>
                    </w:rPr>
                    <w:t>2026-09-15</w:t>
                  </w:r>
                </w:p>
              </w:tc>
              <w:tc>
                <w:tcPr>
                  <w:tcW w:w="1605" w:type="dxa"/>
                  <w:vAlign w:val="center"/>
                </w:tcPr>
                <w:p w14:paraId="4B8C39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1080" w:type="dxa"/>
                  <w:vAlign w:val="center"/>
                </w:tcPr>
                <w:p w14:paraId="660153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等线" w:cs="Times New Roman"/>
                      <w:i w:val="0"/>
                      <w:iCs w:val="0"/>
                      <w:color w:val="000000"/>
                      <w:kern w:val="0"/>
                      <w:sz w:val="21"/>
                      <w:szCs w:val="21"/>
                      <w:u w:val="none"/>
                      <w:lang w:val="en-US" w:eastAsia="zh-CN" w:bidi="ar"/>
                    </w:rPr>
                    <w:t>0.01</w:t>
                  </w:r>
                </w:p>
              </w:tc>
              <w:tc>
                <w:tcPr>
                  <w:tcW w:w="607" w:type="dxa"/>
                  <w:vAlign w:val="center"/>
                </w:tcPr>
                <w:p w14:paraId="163671A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bl>
          <w:p w14:paraId="2097F5F7">
            <w:pPr>
              <w:spacing w:line="240" w:lineRule="auto"/>
              <w:jc w:val="left"/>
              <w:rPr>
                <w:rFonts w:eastAsia="黑体"/>
                <w:sz w:val="21"/>
                <w:szCs w:val="21"/>
              </w:rPr>
            </w:pPr>
            <w:r>
              <w:rPr>
                <w:rFonts w:eastAsia="黑体"/>
                <w:sz w:val="21"/>
                <w:szCs w:val="21"/>
              </w:rPr>
              <w:t>注：“&lt;0.01”表示低于仪器检出限。</w:t>
            </w:r>
          </w:p>
          <w:p w14:paraId="6E7ED88A">
            <w:pPr>
              <w:spacing w:before="163" w:line="240" w:lineRule="auto"/>
              <w:jc w:val="center"/>
              <w:rPr>
                <w:rFonts w:eastAsia="黑体"/>
                <w:sz w:val="21"/>
                <w:szCs w:val="21"/>
              </w:rPr>
            </w:pPr>
            <w:r>
              <w:rPr>
                <w:rFonts w:eastAsia="黑体"/>
                <w:sz w:val="21"/>
                <w:szCs w:val="21"/>
              </w:rPr>
              <w:t>表8-6  项目拟建地及周围X-γ辐射剂量率监测结果</w:t>
            </w:r>
          </w:p>
          <w:tbl>
            <w:tblPr>
              <w:tblStyle w:val="57"/>
              <w:tblW w:w="5000" w:type="pct"/>
              <w:jc w:val="center"/>
              <w:tblBorders>
                <w:top w:val="single" w:color="auto" w:sz="0" w:space="0"/>
                <w:left w:val="none" w:color="auto" w:sz="0" w:space="0"/>
                <w:bottom w:val="single" w:color="auto" w:sz="0" w:space="0"/>
                <w:right w:val="non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90"/>
              <w:gridCol w:w="3245"/>
              <w:gridCol w:w="1249"/>
              <w:gridCol w:w="1797"/>
              <w:gridCol w:w="1270"/>
              <w:gridCol w:w="650"/>
            </w:tblGrid>
            <w:tr w14:paraId="22151834">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1D67DBE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序号</w:t>
                  </w:r>
                </w:p>
              </w:tc>
              <w:tc>
                <w:tcPr>
                  <w:tcW w:w="3142" w:type="dxa"/>
                  <w:vAlign w:val="center"/>
                </w:tcPr>
                <w:p w14:paraId="6D27CEFA">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点位名称</w:t>
                  </w:r>
                </w:p>
              </w:tc>
              <w:tc>
                <w:tcPr>
                  <w:tcW w:w="1209" w:type="dxa"/>
                  <w:vAlign w:val="center"/>
                </w:tcPr>
                <w:p w14:paraId="0E4FB39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监测日期</w:t>
                  </w:r>
                </w:p>
              </w:tc>
              <w:tc>
                <w:tcPr>
                  <w:tcW w:w="1740" w:type="dxa"/>
                  <w:vAlign w:val="center"/>
                </w:tcPr>
                <w:p w14:paraId="35D46C6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X-γ辐射剂量率</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(×10</w:t>
                  </w:r>
                  <w:r>
                    <w:rPr>
                      <w:rFonts w:hint="default" w:ascii="Times New Roman" w:hAnsi="Times New Roman" w:eastAsia="宋体" w:cs="Times New Roman"/>
                      <w:b w:val="0"/>
                      <w:bCs w:val="0"/>
                      <w:sz w:val="21"/>
                      <w:szCs w:val="21"/>
                      <w:vertAlign w:val="superscript"/>
                    </w:rPr>
                    <w:t>-8</w:t>
                  </w:r>
                  <w:r>
                    <w:rPr>
                      <w:rFonts w:hint="default" w:ascii="Times New Roman" w:hAnsi="Times New Roman" w:eastAsia="宋体" w:cs="Times New Roman"/>
                      <w:b w:val="0"/>
                      <w:bCs w:val="0"/>
                      <w:sz w:val="21"/>
                      <w:szCs w:val="21"/>
                    </w:rPr>
                    <w:t>Gy/h)</w:t>
                  </w:r>
                </w:p>
              </w:tc>
              <w:tc>
                <w:tcPr>
                  <w:tcW w:w="1230" w:type="dxa"/>
                  <w:vAlign w:val="center"/>
                </w:tcPr>
                <w:p w14:paraId="6ED8A41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标准差</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(×10</w:t>
                  </w:r>
                  <w:r>
                    <w:rPr>
                      <w:rFonts w:hint="default" w:ascii="Times New Roman" w:hAnsi="Times New Roman" w:eastAsia="宋体" w:cs="Times New Roman"/>
                      <w:b w:val="0"/>
                      <w:bCs w:val="0"/>
                      <w:sz w:val="21"/>
                      <w:szCs w:val="21"/>
                      <w:vertAlign w:val="superscript"/>
                    </w:rPr>
                    <w:t>-8</w:t>
                  </w:r>
                  <w:r>
                    <w:rPr>
                      <w:rFonts w:hint="default" w:ascii="Times New Roman" w:hAnsi="Times New Roman" w:eastAsia="宋体" w:cs="Times New Roman"/>
                      <w:b w:val="0"/>
                      <w:bCs w:val="0"/>
                      <w:sz w:val="21"/>
                      <w:szCs w:val="21"/>
                    </w:rPr>
                    <w:t>Gy/h)</w:t>
                  </w:r>
                </w:p>
              </w:tc>
              <w:tc>
                <w:tcPr>
                  <w:tcW w:w="629" w:type="dxa"/>
                  <w:vAlign w:val="center"/>
                </w:tcPr>
                <w:p w14:paraId="0408282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备注</w:t>
                  </w:r>
                </w:p>
              </w:tc>
            </w:tr>
            <w:tr w14:paraId="15A14717">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2AA6F4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3142" w:type="dxa"/>
                  <w:vAlign w:val="center"/>
                </w:tcPr>
                <w:p w14:paraId="2D0492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本项目核医学科分装室</w:t>
                  </w:r>
                  <w:r>
                    <w:rPr>
                      <w:rFonts w:hint="default" w:ascii="Times New Roman" w:hAnsi="Times New Roman" w:eastAsia="宋体" w:cs="Times New Roman"/>
                      <w:b w:val="0"/>
                      <w:bCs w:val="0"/>
                      <w:i w:val="0"/>
                      <w:iCs w:val="0"/>
                      <w:color w:val="000000"/>
                      <w:kern w:val="0"/>
                      <w:sz w:val="21"/>
                      <w:szCs w:val="21"/>
                      <w:u w:val="none"/>
                      <w:lang w:val="en-US" w:eastAsia="zh-CN" w:bidi="ar"/>
                    </w:rPr>
                    <w:t>1#</w:t>
                  </w:r>
                  <w:r>
                    <w:rPr>
                      <w:rStyle w:val="313"/>
                      <w:rFonts w:hint="default" w:ascii="Times New Roman" w:hAnsi="Times New Roman" w:eastAsia="宋体" w:cs="Times New Roman"/>
                      <w:b w:val="0"/>
                      <w:bCs w:val="0"/>
                      <w:sz w:val="21"/>
                      <w:szCs w:val="21"/>
                      <w:lang w:val="en-US" w:eastAsia="zh-CN" w:bidi="ar"/>
                    </w:rPr>
                    <w:t>拟建地（现状为负一层施工现场）</w:t>
                  </w:r>
                </w:p>
              </w:tc>
              <w:tc>
                <w:tcPr>
                  <w:tcW w:w="1209" w:type="dxa"/>
                  <w:vAlign w:val="center"/>
                </w:tcPr>
                <w:p w14:paraId="1E8AD3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1A8FC1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8.2</w:t>
                  </w:r>
                </w:p>
              </w:tc>
              <w:tc>
                <w:tcPr>
                  <w:tcW w:w="1230" w:type="dxa"/>
                  <w:vAlign w:val="center"/>
                </w:tcPr>
                <w:p w14:paraId="6DB91E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11FCBBB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2F00F1D5">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06CC14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3142" w:type="dxa"/>
                  <w:vAlign w:val="center"/>
                </w:tcPr>
                <w:p w14:paraId="60ED0A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本项目核医学科分装室</w:t>
                  </w:r>
                  <w:r>
                    <w:rPr>
                      <w:rFonts w:hint="default" w:ascii="Times New Roman" w:hAnsi="Times New Roman" w:eastAsia="宋体" w:cs="Times New Roman"/>
                      <w:b w:val="0"/>
                      <w:bCs w:val="0"/>
                      <w:i w:val="0"/>
                      <w:iCs w:val="0"/>
                      <w:color w:val="000000"/>
                      <w:kern w:val="0"/>
                      <w:sz w:val="21"/>
                      <w:szCs w:val="21"/>
                      <w:u w:val="none"/>
                      <w:lang w:val="en-US" w:eastAsia="zh-CN" w:bidi="ar"/>
                    </w:rPr>
                    <w:t>2#</w:t>
                  </w:r>
                  <w:r>
                    <w:rPr>
                      <w:rStyle w:val="313"/>
                      <w:rFonts w:hint="default" w:ascii="Times New Roman" w:hAnsi="Times New Roman" w:eastAsia="宋体" w:cs="Times New Roman"/>
                      <w:b w:val="0"/>
                      <w:bCs w:val="0"/>
                      <w:sz w:val="21"/>
                      <w:szCs w:val="21"/>
                      <w:lang w:val="en-US" w:eastAsia="zh-CN" w:bidi="ar"/>
                    </w:rPr>
                    <w:t>拟建地（现状为负一层施工现场）</w:t>
                  </w:r>
                </w:p>
              </w:tc>
              <w:tc>
                <w:tcPr>
                  <w:tcW w:w="1209" w:type="dxa"/>
                  <w:vAlign w:val="center"/>
                </w:tcPr>
                <w:p w14:paraId="2D3868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64D8AD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8.2</w:t>
                  </w:r>
                </w:p>
              </w:tc>
              <w:tc>
                <w:tcPr>
                  <w:tcW w:w="1230" w:type="dxa"/>
                  <w:vAlign w:val="center"/>
                </w:tcPr>
                <w:p w14:paraId="2A84DB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F78120B">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3DF666B">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B02D6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3142" w:type="dxa"/>
                  <w:vAlign w:val="center"/>
                </w:tcPr>
                <w:p w14:paraId="464C64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w:t>
                  </w:r>
                  <w:r>
                    <w:rPr>
                      <w:rFonts w:hint="default" w:ascii="Times New Roman" w:hAnsi="Times New Roman" w:eastAsia="宋体" w:cs="Times New Roman"/>
                      <w:b w:val="0"/>
                      <w:bCs w:val="0"/>
                      <w:i w:val="0"/>
                      <w:iCs w:val="0"/>
                      <w:color w:val="000000"/>
                      <w:kern w:val="0"/>
                      <w:sz w:val="21"/>
                      <w:szCs w:val="21"/>
                      <w:u w:val="none"/>
                      <w:lang w:val="en-US" w:eastAsia="zh-CN" w:bidi="ar"/>
                    </w:rPr>
                    <w:t>PET/CT</w:t>
                  </w:r>
                  <w:r>
                    <w:rPr>
                      <w:rStyle w:val="313"/>
                      <w:rFonts w:hint="default" w:ascii="Times New Roman" w:hAnsi="Times New Roman" w:eastAsia="宋体" w:cs="Times New Roman"/>
                      <w:b w:val="0"/>
                      <w:bCs w:val="0"/>
                      <w:sz w:val="21"/>
                      <w:szCs w:val="21"/>
                      <w:lang w:val="en-US" w:eastAsia="zh-CN" w:bidi="ar"/>
                    </w:rPr>
                    <w:t>机房拟建地（现状为负一层施工现场）</w:t>
                  </w:r>
                </w:p>
              </w:tc>
              <w:tc>
                <w:tcPr>
                  <w:tcW w:w="1209" w:type="dxa"/>
                  <w:vAlign w:val="center"/>
                </w:tcPr>
                <w:p w14:paraId="46FD39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5C8D89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8.4</w:t>
                  </w:r>
                </w:p>
              </w:tc>
              <w:tc>
                <w:tcPr>
                  <w:tcW w:w="1230" w:type="dxa"/>
                  <w:vAlign w:val="center"/>
                </w:tcPr>
                <w:p w14:paraId="439B7F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B95609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882E9DC">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73EB05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3142" w:type="dxa"/>
                  <w:vAlign w:val="center"/>
                </w:tcPr>
                <w:p w14:paraId="1F17BB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本项目衰变池拟建地（现状为空地）</w:t>
                  </w:r>
                </w:p>
              </w:tc>
              <w:tc>
                <w:tcPr>
                  <w:tcW w:w="1209" w:type="dxa"/>
                  <w:vAlign w:val="center"/>
                </w:tcPr>
                <w:p w14:paraId="5BA9A8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2353A3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9.3</w:t>
                  </w:r>
                </w:p>
              </w:tc>
              <w:tc>
                <w:tcPr>
                  <w:tcW w:w="1230" w:type="dxa"/>
                  <w:vAlign w:val="center"/>
                </w:tcPr>
                <w:p w14:paraId="28FF6A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695CD3B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4F15A27">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6664A4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5</w:t>
                  </w:r>
                </w:p>
              </w:tc>
              <w:tc>
                <w:tcPr>
                  <w:tcW w:w="3142" w:type="dxa"/>
                  <w:vAlign w:val="center"/>
                </w:tcPr>
                <w:p w14:paraId="4BE8C6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本项目核医学科拟建地东侧（现状为负一层施工现场）</w:t>
                  </w:r>
                </w:p>
              </w:tc>
              <w:tc>
                <w:tcPr>
                  <w:tcW w:w="1209" w:type="dxa"/>
                  <w:vAlign w:val="center"/>
                </w:tcPr>
                <w:p w14:paraId="5EB7E8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4AE8B1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8.7</w:t>
                  </w:r>
                </w:p>
              </w:tc>
              <w:tc>
                <w:tcPr>
                  <w:tcW w:w="1230" w:type="dxa"/>
                  <w:vAlign w:val="center"/>
                </w:tcPr>
                <w:p w14:paraId="0E7CED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0.1</w:t>
                  </w:r>
                </w:p>
              </w:tc>
              <w:tc>
                <w:tcPr>
                  <w:tcW w:w="629" w:type="dxa"/>
                  <w:vAlign w:val="center"/>
                </w:tcPr>
                <w:p w14:paraId="0DA652B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70BD80C">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D0F7C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3142" w:type="dxa"/>
                  <w:vAlign w:val="center"/>
                </w:tcPr>
                <w:p w14:paraId="00885D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本项目核医学科拟建地南侧（现状为负一层施工现场）</w:t>
                  </w:r>
                </w:p>
              </w:tc>
              <w:tc>
                <w:tcPr>
                  <w:tcW w:w="1209" w:type="dxa"/>
                  <w:vAlign w:val="center"/>
                </w:tcPr>
                <w:p w14:paraId="23A8B6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7EA175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8.6</w:t>
                  </w:r>
                </w:p>
              </w:tc>
              <w:tc>
                <w:tcPr>
                  <w:tcW w:w="1230" w:type="dxa"/>
                  <w:vAlign w:val="center"/>
                </w:tcPr>
                <w:p w14:paraId="04535E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572312A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55ED91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47764B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3142" w:type="dxa"/>
                  <w:vAlign w:val="center"/>
                </w:tcPr>
                <w:p w14:paraId="290909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本项目核医学科拟建地西侧（现状为负一层施工现场）</w:t>
                  </w:r>
                </w:p>
              </w:tc>
              <w:tc>
                <w:tcPr>
                  <w:tcW w:w="1209" w:type="dxa"/>
                  <w:vAlign w:val="center"/>
                </w:tcPr>
                <w:p w14:paraId="5D469C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6776D1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8.3</w:t>
                  </w:r>
                </w:p>
              </w:tc>
              <w:tc>
                <w:tcPr>
                  <w:tcW w:w="1230" w:type="dxa"/>
                  <w:vAlign w:val="center"/>
                </w:tcPr>
                <w:p w14:paraId="4D707A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7309147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CC31B4B">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46B6DD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3142" w:type="dxa"/>
                  <w:vAlign w:val="center"/>
                </w:tcPr>
                <w:p w14:paraId="7214E4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本项目核医学科拟建地北侧（现状为负一层施工现场）</w:t>
                  </w:r>
                </w:p>
              </w:tc>
              <w:tc>
                <w:tcPr>
                  <w:tcW w:w="1209" w:type="dxa"/>
                  <w:vAlign w:val="center"/>
                </w:tcPr>
                <w:p w14:paraId="65D38C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F106E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8.6</w:t>
                  </w:r>
                </w:p>
              </w:tc>
              <w:tc>
                <w:tcPr>
                  <w:tcW w:w="1230" w:type="dxa"/>
                  <w:vAlign w:val="center"/>
                </w:tcPr>
                <w:p w14:paraId="3E2E8F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7E3C681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27BC7B8D">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11ED3F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w:t>
                  </w:r>
                </w:p>
              </w:tc>
              <w:tc>
                <w:tcPr>
                  <w:tcW w:w="3142" w:type="dxa"/>
                  <w:vAlign w:val="center"/>
                </w:tcPr>
                <w:p w14:paraId="692589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本项目核医学科拟建地上方（现状为一层施工现场）</w:t>
                  </w:r>
                </w:p>
              </w:tc>
              <w:tc>
                <w:tcPr>
                  <w:tcW w:w="1209" w:type="dxa"/>
                  <w:vAlign w:val="center"/>
                </w:tcPr>
                <w:p w14:paraId="260338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6EE7BD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9.1</w:t>
                  </w:r>
                </w:p>
              </w:tc>
              <w:tc>
                <w:tcPr>
                  <w:tcW w:w="1230" w:type="dxa"/>
                  <w:vAlign w:val="center"/>
                </w:tcPr>
                <w:p w14:paraId="1A44CC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5127B4F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34EE037">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7A3CFB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w:t>
                  </w:r>
                </w:p>
              </w:tc>
              <w:tc>
                <w:tcPr>
                  <w:tcW w:w="3142" w:type="dxa"/>
                  <w:vAlign w:val="center"/>
                </w:tcPr>
                <w:p w14:paraId="257B39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本项目核医学科拟建地下方（现状为负二层施工现场）</w:t>
                  </w:r>
                </w:p>
              </w:tc>
              <w:tc>
                <w:tcPr>
                  <w:tcW w:w="1209" w:type="dxa"/>
                  <w:vAlign w:val="center"/>
                </w:tcPr>
                <w:p w14:paraId="37CA71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7DEED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8.2</w:t>
                  </w:r>
                </w:p>
              </w:tc>
              <w:tc>
                <w:tcPr>
                  <w:tcW w:w="1230" w:type="dxa"/>
                  <w:vAlign w:val="center"/>
                </w:tcPr>
                <w:p w14:paraId="070EC5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14178D4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40A6B45C">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0C1A55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11</w:t>
                  </w:r>
                </w:p>
              </w:tc>
              <w:tc>
                <w:tcPr>
                  <w:tcW w:w="3142" w:type="dxa"/>
                  <w:vAlign w:val="center"/>
                </w:tcPr>
                <w:p w14:paraId="1059A1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DSA+CT</w:t>
                  </w:r>
                  <w:r>
                    <w:rPr>
                      <w:rStyle w:val="313"/>
                      <w:rFonts w:hint="default" w:ascii="Times New Roman" w:hAnsi="Times New Roman" w:eastAsia="宋体" w:cs="Times New Roman"/>
                      <w:b w:val="0"/>
                      <w:bCs w:val="0"/>
                      <w:sz w:val="21"/>
                      <w:szCs w:val="21"/>
                      <w:lang w:val="en-US" w:eastAsia="zh-CN" w:bidi="ar"/>
                    </w:rPr>
                    <w:t>复合手术室拟建地（现状为施工现场）</w:t>
                  </w:r>
                </w:p>
              </w:tc>
              <w:tc>
                <w:tcPr>
                  <w:tcW w:w="1209" w:type="dxa"/>
                  <w:vAlign w:val="center"/>
                </w:tcPr>
                <w:p w14:paraId="787668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51CA3E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9.5</w:t>
                  </w:r>
                </w:p>
              </w:tc>
              <w:tc>
                <w:tcPr>
                  <w:tcW w:w="1230" w:type="dxa"/>
                  <w:vAlign w:val="center"/>
                </w:tcPr>
                <w:p w14:paraId="5FDCD3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3D615CF">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lang w:val="en-US"/>
                    </w:rPr>
                  </w:pPr>
                  <w:r>
                    <w:rPr>
                      <w:rFonts w:hint="default" w:ascii="Times New Roman" w:hAnsi="Times New Roman" w:eastAsia="宋体" w:cs="Times New Roman"/>
                      <w:b w:val="0"/>
                      <w:bCs w:val="0"/>
                      <w:sz w:val="21"/>
                      <w:szCs w:val="21"/>
                    </w:rPr>
                    <w:t>/</w:t>
                  </w:r>
                </w:p>
              </w:tc>
            </w:tr>
            <w:tr w14:paraId="1171D4E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626B7E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12</w:t>
                  </w:r>
                </w:p>
              </w:tc>
              <w:tc>
                <w:tcPr>
                  <w:tcW w:w="3142" w:type="dxa"/>
                  <w:vAlign w:val="center"/>
                </w:tcPr>
                <w:p w14:paraId="12F75D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DSA+CT</w:t>
                  </w:r>
                  <w:r>
                    <w:rPr>
                      <w:rStyle w:val="313"/>
                      <w:rFonts w:hint="default" w:ascii="Times New Roman" w:hAnsi="Times New Roman" w:eastAsia="宋体" w:cs="Times New Roman"/>
                      <w:b w:val="0"/>
                      <w:bCs w:val="0"/>
                      <w:sz w:val="21"/>
                      <w:szCs w:val="21"/>
                      <w:lang w:val="en-US" w:eastAsia="zh-CN" w:bidi="ar"/>
                    </w:rPr>
                    <w:t>复合手术室拟建地东侧（现状为施工现场）</w:t>
                  </w:r>
                </w:p>
              </w:tc>
              <w:tc>
                <w:tcPr>
                  <w:tcW w:w="1209" w:type="dxa"/>
                  <w:vAlign w:val="center"/>
                </w:tcPr>
                <w:p w14:paraId="1F5514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7EC821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9.3</w:t>
                  </w:r>
                </w:p>
              </w:tc>
              <w:tc>
                <w:tcPr>
                  <w:tcW w:w="1230" w:type="dxa"/>
                  <w:vAlign w:val="center"/>
                </w:tcPr>
                <w:p w14:paraId="40B3C1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096FF0D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76210FA">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4E0DD9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13</w:t>
                  </w:r>
                </w:p>
              </w:tc>
              <w:tc>
                <w:tcPr>
                  <w:tcW w:w="3142" w:type="dxa"/>
                  <w:vAlign w:val="center"/>
                </w:tcPr>
                <w:p w14:paraId="2ED4E8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DSA+CT</w:t>
                  </w:r>
                  <w:r>
                    <w:rPr>
                      <w:rStyle w:val="313"/>
                      <w:rFonts w:hint="default" w:ascii="Times New Roman" w:hAnsi="Times New Roman" w:eastAsia="宋体" w:cs="Times New Roman"/>
                      <w:b w:val="0"/>
                      <w:bCs w:val="0"/>
                      <w:sz w:val="21"/>
                      <w:szCs w:val="21"/>
                      <w:lang w:val="en-US" w:eastAsia="zh-CN" w:bidi="ar"/>
                    </w:rPr>
                    <w:t>复合手术室拟建地南侧（现状为施工现场）</w:t>
                  </w:r>
                </w:p>
              </w:tc>
              <w:tc>
                <w:tcPr>
                  <w:tcW w:w="1209" w:type="dxa"/>
                  <w:vAlign w:val="center"/>
                </w:tcPr>
                <w:p w14:paraId="4D85F4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3C19CB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9.4</w:t>
                  </w:r>
                </w:p>
              </w:tc>
              <w:tc>
                <w:tcPr>
                  <w:tcW w:w="1230" w:type="dxa"/>
                  <w:vAlign w:val="center"/>
                </w:tcPr>
                <w:p w14:paraId="5D155A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12B7269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4A41AE5">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0269D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14</w:t>
                  </w:r>
                </w:p>
              </w:tc>
              <w:tc>
                <w:tcPr>
                  <w:tcW w:w="3142" w:type="dxa"/>
                  <w:vAlign w:val="center"/>
                </w:tcPr>
                <w:p w14:paraId="72B289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DSA+CT</w:t>
                  </w:r>
                  <w:r>
                    <w:rPr>
                      <w:rStyle w:val="313"/>
                      <w:rFonts w:hint="default" w:ascii="Times New Roman" w:hAnsi="Times New Roman" w:eastAsia="宋体" w:cs="Times New Roman"/>
                      <w:b w:val="0"/>
                      <w:bCs w:val="0"/>
                      <w:sz w:val="21"/>
                      <w:szCs w:val="21"/>
                      <w:lang w:val="en-US" w:eastAsia="zh-CN" w:bidi="ar"/>
                    </w:rPr>
                    <w:t>复合手术室拟建地西侧（现状为施工现场）</w:t>
                  </w:r>
                </w:p>
              </w:tc>
              <w:tc>
                <w:tcPr>
                  <w:tcW w:w="1209" w:type="dxa"/>
                  <w:vAlign w:val="center"/>
                </w:tcPr>
                <w:p w14:paraId="46E33C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10F11A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9.6</w:t>
                  </w:r>
                </w:p>
              </w:tc>
              <w:tc>
                <w:tcPr>
                  <w:tcW w:w="1230" w:type="dxa"/>
                  <w:vAlign w:val="center"/>
                </w:tcPr>
                <w:p w14:paraId="2B1686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23E7889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45E3340E">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263309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15</w:t>
                  </w:r>
                </w:p>
              </w:tc>
              <w:tc>
                <w:tcPr>
                  <w:tcW w:w="3142" w:type="dxa"/>
                  <w:vAlign w:val="center"/>
                </w:tcPr>
                <w:p w14:paraId="7726D0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DSA+CT</w:t>
                  </w:r>
                  <w:r>
                    <w:rPr>
                      <w:rStyle w:val="313"/>
                      <w:rFonts w:hint="default" w:ascii="Times New Roman" w:hAnsi="Times New Roman" w:eastAsia="宋体" w:cs="Times New Roman"/>
                      <w:b w:val="0"/>
                      <w:bCs w:val="0"/>
                      <w:sz w:val="21"/>
                      <w:szCs w:val="21"/>
                      <w:lang w:val="en-US" w:eastAsia="zh-CN" w:bidi="ar"/>
                    </w:rPr>
                    <w:t>复合手术室拟建地北侧（现状为施工现场）</w:t>
                  </w:r>
                </w:p>
              </w:tc>
              <w:tc>
                <w:tcPr>
                  <w:tcW w:w="1209" w:type="dxa"/>
                  <w:vAlign w:val="center"/>
                </w:tcPr>
                <w:p w14:paraId="52D82A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2DB6EC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9.4</w:t>
                  </w:r>
                </w:p>
              </w:tc>
              <w:tc>
                <w:tcPr>
                  <w:tcW w:w="1230" w:type="dxa"/>
                  <w:vAlign w:val="center"/>
                </w:tcPr>
                <w:p w14:paraId="10D392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7C0A583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7040218">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1F9D2A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16</w:t>
                  </w:r>
                </w:p>
              </w:tc>
              <w:tc>
                <w:tcPr>
                  <w:tcW w:w="3142" w:type="dxa"/>
                  <w:vAlign w:val="center"/>
                </w:tcPr>
                <w:p w14:paraId="195E29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DSA+CT</w:t>
                  </w:r>
                  <w:r>
                    <w:rPr>
                      <w:rStyle w:val="313"/>
                      <w:rFonts w:hint="default" w:ascii="Times New Roman" w:hAnsi="Times New Roman" w:eastAsia="宋体" w:cs="Times New Roman"/>
                      <w:b w:val="0"/>
                      <w:bCs w:val="0"/>
                      <w:sz w:val="21"/>
                      <w:szCs w:val="21"/>
                      <w:lang w:val="en-US" w:eastAsia="zh-CN" w:bidi="ar"/>
                    </w:rPr>
                    <w:t>复合手术室拟建地上方（现状为施工现场）</w:t>
                  </w:r>
                </w:p>
              </w:tc>
              <w:tc>
                <w:tcPr>
                  <w:tcW w:w="1209" w:type="dxa"/>
                  <w:vAlign w:val="center"/>
                </w:tcPr>
                <w:p w14:paraId="723CFE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49ED43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9.9</w:t>
                  </w:r>
                </w:p>
              </w:tc>
              <w:tc>
                <w:tcPr>
                  <w:tcW w:w="1230" w:type="dxa"/>
                  <w:vAlign w:val="center"/>
                </w:tcPr>
                <w:p w14:paraId="3594E6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C9A298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3134D5D">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C1D9A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17</w:t>
                  </w:r>
                </w:p>
              </w:tc>
              <w:tc>
                <w:tcPr>
                  <w:tcW w:w="3142" w:type="dxa"/>
                  <w:vAlign w:val="center"/>
                </w:tcPr>
                <w:p w14:paraId="0BFA1E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DSA+CT</w:t>
                  </w:r>
                  <w:r>
                    <w:rPr>
                      <w:rStyle w:val="313"/>
                      <w:rFonts w:hint="default" w:ascii="Times New Roman" w:hAnsi="Times New Roman" w:eastAsia="宋体" w:cs="Times New Roman"/>
                      <w:b w:val="0"/>
                      <w:bCs w:val="0"/>
                      <w:sz w:val="21"/>
                      <w:szCs w:val="21"/>
                      <w:lang w:val="en-US" w:eastAsia="zh-CN" w:bidi="ar"/>
                    </w:rPr>
                    <w:t>复合手术室拟建地下方（现状为施工现场）</w:t>
                  </w:r>
                </w:p>
              </w:tc>
              <w:tc>
                <w:tcPr>
                  <w:tcW w:w="1209" w:type="dxa"/>
                  <w:vAlign w:val="center"/>
                </w:tcPr>
                <w:p w14:paraId="14CBF9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4C91C8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9.1</w:t>
                  </w:r>
                </w:p>
              </w:tc>
              <w:tc>
                <w:tcPr>
                  <w:tcW w:w="1230" w:type="dxa"/>
                  <w:vAlign w:val="center"/>
                </w:tcPr>
                <w:p w14:paraId="57F7CA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144954C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BDD4A22">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7DFABD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18</w:t>
                  </w:r>
                </w:p>
              </w:tc>
              <w:tc>
                <w:tcPr>
                  <w:tcW w:w="3142" w:type="dxa"/>
                  <w:vAlign w:val="center"/>
                </w:tcPr>
                <w:p w14:paraId="4E0F47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OR09</w:t>
                  </w:r>
                  <w:r>
                    <w:rPr>
                      <w:rStyle w:val="313"/>
                      <w:rFonts w:hint="default" w:ascii="Times New Roman" w:hAnsi="Times New Roman" w:eastAsia="宋体" w:cs="Times New Roman"/>
                      <w:b w:val="0"/>
                      <w:bCs w:val="0"/>
                      <w:sz w:val="21"/>
                      <w:szCs w:val="21"/>
                      <w:lang w:val="en-US" w:eastAsia="zh-CN" w:bidi="ar"/>
                    </w:rPr>
                    <w:t>）拟建地（现状为施工现场）</w:t>
                  </w:r>
                </w:p>
              </w:tc>
              <w:tc>
                <w:tcPr>
                  <w:tcW w:w="1209" w:type="dxa"/>
                  <w:vAlign w:val="center"/>
                </w:tcPr>
                <w:p w14:paraId="6958D7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11655E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9.6</w:t>
                  </w:r>
                </w:p>
              </w:tc>
              <w:tc>
                <w:tcPr>
                  <w:tcW w:w="1230" w:type="dxa"/>
                  <w:vAlign w:val="center"/>
                </w:tcPr>
                <w:p w14:paraId="6C8928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3FAF51E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62F170FE">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5F99F4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19</w:t>
                  </w:r>
                </w:p>
              </w:tc>
              <w:tc>
                <w:tcPr>
                  <w:tcW w:w="3142" w:type="dxa"/>
                  <w:vAlign w:val="center"/>
                </w:tcPr>
                <w:p w14:paraId="58524D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OR09</w:t>
                  </w:r>
                  <w:r>
                    <w:rPr>
                      <w:rStyle w:val="313"/>
                      <w:rFonts w:hint="default" w:ascii="Times New Roman" w:hAnsi="Times New Roman" w:eastAsia="宋体" w:cs="Times New Roman"/>
                      <w:b w:val="0"/>
                      <w:bCs w:val="0"/>
                      <w:sz w:val="21"/>
                      <w:szCs w:val="21"/>
                      <w:lang w:val="en-US" w:eastAsia="zh-CN" w:bidi="ar"/>
                    </w:rPr>
                    <w:t>）拟建地东侧（现状为施工现场）</w:t>
                  </w:r>
                </w:p>
              </w:tc>
              <w:tc>
                <w:tcPr>
                  <w:tcW w:w="1209" w:type="dxa"/>
                  <w:vAlign w:val="center"/>
                </w:tcPr>
                <w:p w14:paraId="7286FB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1AC24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9.5</w:t>
                  </w:r>
                </w:p>
              </w:tc>
              <w:tc>
                <w:tcPr>
                  <w:tcW w:w="1230" w:type="dxa"/>
                  <w:vAlign w:val="center"/>
                </w:tcPr>
                <w:p w14:paraId="61E471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3E8FE5B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C278948">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0DE440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20</w:t>
                  </w:r>
                </w:p>
              </w:tc>
              <w:tc>
                <w:tcPr>
                  <w:tcW w:w="3142" w:type="dxa"/>
                  <w:vAlign w:val="center"/>
                </w:tcPr>
                <w:p w14:paraId="08BF5C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OR09</w:t>
                  </w:r>
                  <w:r>
                    <w:rPr>
                      <w:rStyle w:val="313"/>
                      <w:rFonts w:hint="default" w:ascii="Times New Roman" w:hAnsi="Times New Roman" w:eastAsia="宋体" w:cs="Times New Roman"/>
                      <w:b w:val="0"/>
                      <w:bCs w:val="0"/>
                      <w:sz w:val="21"/>
                      <w:szCs w:val="21"/>
                      <w:lang w:val="en-US" w:eastAsia="zh-CN" w:bidi="ar"/>
                    </w:rPr>
                    <w:t>）拟建地南侧（现状为施工现场）</w:t>
                  </w:r>
                </w:p>
              </w:tc>
              <w:tc>
                <w:tcPr>
                  <w:tcW w:w="1209" w:type="dxa"/>
                  <w:vAlign w:val="center"/>
                </w:tcPr>
                <w:p w14:paraId="3B8E5F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4CF172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9.7</w:t>
                  </w:r>
                </w:p>
              </w:tc>
              <w:tc>
                <w:tcPr>
                  <w:tcW w:w="1230" w:type="dxa"/>
                  <w:vAlign w:val="center"/>
                </w:tcPr>
                <w:p w14:paraId="3933DB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6E81B0F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5C7AED20">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4659C7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21</w:t>
                  </w:r>
                </w:p>
              </w:tc>
              <w:tc>
                <w:tcPr>
                  <w:tcW w:w="3142" w:type="dxa"/>
                  <w:vAlign w:val="center"/>
                </w:tcPr>
                <w:p w14:paraId="2C396E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OR09</w:t>
                  </w:r>
                  <w:r>
                    <w:rPr>
                      <w:rStyle w:val="313"/>
                      <w:rFonts w:hint="default" w:ascii="Times New Roman" w:hAnsi="Times New Roman" w:eastAsia="宋体" w:cs="Times New Roman"/>
                      <w:b w:val="0"/>
                      <w:bCs w:val="0"/>
                      <w:sz w:val="21"/>
                      <w:szCs w:val="21"/>
                      <w:lang w:val="en-US" w:eastAsia="zh-CN" w:bidi="ar"/>
                    </w:rPr>
                    <w:t>）拟建地西侧（现状为施工现场）</w:t>
                  </w:r>
                </w:p>
              </w:tc>
              <w:tc>
                <w:tcPr>
                  <w:tcW w:w="1209" w:type="dxa"/>
                  <w:vAlign w:val="center"/>
                </w:tcPr>
                <w:p w14:paraId="4D9DC8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318C13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9.4</w:t>
                  </w:r>
                </w:p>
              </w:tc>
              <w:tc>
                <w:tcPr>
                  <w:tcW w:w="1230" w:type="dxa"/>
                  <w:vAlign w:val="center"/>
                </w:tcPr>
                <w:p w14:paraId="3D5141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1B96CAC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2D49A61">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149B02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22</w:t>
                  </w:r>
                </w:p>
              </w:tc>
              <w:tc>
                <w:tcPr>
                  <w:tcW w:w="3142" w:type="dxa"/>
                  <w:vAlign w:val="center"/>
                </w:tcPr>
                <w:p w14:paraId="01F7A1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OR09</w:t>
                  </w:r>
                  <w:r>
                    <w:rPr>
                      <w:rStyle w:val="313"/>
                      <w:rFonts w:hint="default" w:ascii="Times New Roman" w:hAnsi="Times New Roman" w:eastAsia="宋体" w:cs="Times New Roman"/>
                      <w:b w:val="0"/>
                      <w:bCs w:val="0"/>
                      <w:sz w:val="21"/>
                      <w:szCs w:val="21"/>
                      <w:lang w:val="en-US" w:eastAsia="zh-CN" w:bidi="ar"/>
                    </w:rPr>
                    <w:t>）拟建地北侧（现状为施工现场）</w:t>
                  </w:r>
                </w:p>
              </w:tc>
              <w:tc>
                <w:tcPr>
                  <w:tcW w:w="1209" w:type="dxa"/>
                  <w:vAlign w:val="center"/>
                </w:tcPr>
                <w:p w14:paraId="48E3EE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5461D4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9.5</w:t>
                  </w:r>
                </w:p>
              </w:tc>
              <w:tc>
                <w:tcPr>
                  <w:tcW w:w="1230" w:type="dxa"/>
                  <w:vAlign w:val="center"/>
                </w:tcPr>
                <w:p w14:paraId="396224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99C50C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75511B3">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219329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23</w:t>
                  </w:r>
                </w:p>
              </w:tc>
              <w:tc>
                <w:tcPr>
                  <w:tcW w:w="3142" w:type="dxa"/>
                  <w:vAlign w:val="center"/>
                </w:tcPr>
                <w:p w14:paraId="03BABA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OR09</w:t>
                  </w:r>
                  <w:r>
                    <w:rPr>
                      <w:rStyle w:val="313"/>
                      <w:rFonts w:hint="default" w:ascii="Times New Roman" w:hAnsi="Times New Roman" w:eastAsia="宋体" w:cs="Times New Roman"/>
                      <w:b w:val="0"/>
                      <w:bCs w:val="0"/>
                      <w:sz w:val="21"/>
                      <w:szCs w:val="21"/>
                      <w:lang w:val="en-US" w:eastAsia="zh-CN" w:bidi="ar"/>
                    </w:rPr>
                    <w:t>）拟建地上方（现状为施工现场）</w:t>
                  </w:r>
                </w:p>
              </w:tc>
              <w:tc>
                <w:tcPr>
                  <w:tcW w:w="1209" w:type="dxa"/>
                  <w:vAlign w:val="center"/>
                </w:tcPr>
                <w:p w14:paraId="0DE8E2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32C598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10.0</w:t>
                  </w:r>
                </w:p>
              </w:tc>
              <w:tc>
                <w:tcPr>
                  <w:tcW w:w="1230" w:type="dxa"/>
                  <w:vAlign w:val="center"/>
                </w:tcPr>
                <w:p w14:paraId="39A1CA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14A1C333">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5314047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1AB8B2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24</w:t>
                  </w:r>
                </w:p>
              </w:tc>
              <w:tc>
                <w:tcPr>
                  <w:tcW w:w="3142" w:type="dxa"/>
                  <w:vAlign w:val="center"/>
                </w:tcPr>
                <w:p w14:paraId="77CDE0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OR09</w:t>
                  </w:r>
                  <w:r>
                    <w:rPr>
                      <w:rStyle w:val="313"/>
                      <w:rFonts w:hint="default" w:ascii="Times New Roman" w:hAnsi="Times New Roman" w:eastAsia="宋体" w:cs="Times New Roman"/>
                      <w:b w:val="0"/>
                      <w:bCs w:val="0"/>
                      <w:sz w:val="21"/>
                      <w:szCs w:val="21"/>
                      <w:lang w:val="en-US" w:eastAsia="zh-CN" w:bidi="ar"/>
                    </w:rPr>
                    <w:t>）拟建地下方（现状为施工现场）</w:t>
                  </w:r>
                </w:p>
              </w:tc>
              <w:tc>
                <w:tcPr>
                  <w:tcW w:w="1209" w:type="dxa"/>
                  <w:vAlign w:val="center"/>
                </w:tcPr>
                <w:p w14:paraId="717D55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5B77E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9.2</w:t>
                  </w:r>
                </w:p>
              </w:tc>
              <w:tc>
                <w:tcPr>
                  <w:tcW w:w="1230" w:type="dxa"/>
                  <w:vAlign w:val="center"/>
                </w:tcPr>
                <w:p w14:paraId="6ACCD5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7584CDD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641F7C5E">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632CB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25</w:t>
                  </w:r>
                </w:p>
              </w:tc>
              <w:tc>
                <w:tcPr>
                  <w:tcW w:w="3142" w:type="dxa"/>
                  <w:vAlign w:val="center"/>
                </w:tcPr>
                <w:p w14:paraId="740187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OR10</w:t>
                  </w:r>
                  <w:r>
                    <w:rPr>
                      <w:rStyle w:val="313"/>
                      <w:rFonts w:hint="default" w:ascii="Times New Roman" w:hAnsi="Times New Roman" w:eastAsia="宋体" w:cs="Times New Roman"/>
                      <w:b w:val="0"/>
                      <w:bCs w:val="0"/>
                      <w:sz w:val="21"/>
                      <w:szCs w:val="21"/>
                      <w:lang w:val="en-US" w:eastAsia="zh-CN" w:bidi="ar"/>
                    </w:rPr>
                    <w:t>）拟建地（现状为施工现场）</w:t>
                  </w:r>
                </w:p>
              </w:tc>
              <w:tc>
                <w:tcPr>
                  <w:tcW w:w="1209" w:type="dxa"/>
                  <w:vAlign w:val="center"/>
                </w:tcPr>
                <w:p w14:paraId="52B5EE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571F3B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9.8</w:t>
                  </w:r>
                </w:p>
              </w:tc>
              <w:tc>
                <w:tcPr>
                  <w:tcW w:w="1230" w:type="dxa"/>
                  <w:vAlign w:val="center"/>
                </w:tcPr>
                <w:p w14:paraId="551C72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5A2E606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948C9B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6F8E50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26</w:t>
                  </w:r>
                </w:p>
              </w:tc>
              <w:tc>
                <w:tcPr>
                  <w:tcW w:w="3142" w:type="dxa"/>
                  <w:vAlign w:val="center"/>
                </w:tcPr>
                <w:p w14:paraId="6AEE26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OR10</w:t>
                  </w:r>
                  <w:r>
                    <w:rPr>
                      <w:rStyle w:val="313"/>
                      <w:rFonts w:hint="default" w:ascii="Times New Roman" w:hAnsi="Times New Roman" w:eastAsia="宋体" w:cs="Times New Roman"/>
                      <w:b w:val="0"/>
                      <w:bCs w:val="0"/>
                      <w:sz w:val="21"/>
                      <w:szCs w:val="21"/>
                      <w:lang w:val="en-US" w:eastAsia="zh-CN" w:bidi="ar"/>
                    </w:rPr>
                    <w:t>）拟建地西侧（现状为施工现场）</w:t>
                  </w:r>
                </w:p>
              </w:tc>
              <w:tc>
                <w:tcPr>
                  <w:tcW w:w="1209" w:type="dxa"/>
                  <w:vAlign w:val="center"/>
                </w:tcPr>
                <w:p w14:paraId="7DD011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1A20F6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10.1</w:t>
                  </w:r>
                </w:p>
              </w:tc>
              <w:tc>
                <w:tcPr>
                  <w:tcW w:w="1230" w:type="dxa"/>
                  <w:vAlign w:val="center"/>
                </w:tcPr>
                <w:p w14:paraId="631786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29E8868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41552EAE">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1D80DDD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27</w:t>
                  </w:r>
                </w:p>
              </w:tc>
              <w:tc>
                <w:tcPr>
                  <w:tcW w:w="3142" w:type="dxa"/>
                  <w:vAlign w:val="center"/>
                </w:tcPr>
                <w:p w14:paraId="0BDB1E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OR10</w:t>
                  </w:r>
                  <w:r>
                    <w:rPr>
                      <w:rStyle w:val="313"/>
                      <w:rFonts w:hint="default" w:ascii="Times New Roman" w:hAnsi="Times New Roman" w:eastAsia="宋体" w:cs="Times New Roman"/>
                      <w:b w:val="0"/>
                      <w:bCs w:val="0"/>
                      <w:sz w:val="21"/>
                      <w:szCs w:val="21"/>
                      <w:lang w:val="en-US" w:eastAsia="zh-CN" w:bidi="ar"/>
                    </w:rPr>
                    <w:t>）拟建地南侧（现状为施工现场）</w:t>
                  </w:r>
                </w:p>
              </w:tc>
              <w:tc>
                <w:tcPr>
                  <w:tcW w:w="1209" w:type="dxa"/>
                  <w:vAlign w:val="center"/>
                </w:tcPr>
                <w:p w14:paraId="7EB38B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475117D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9.7</w:t>
                  </w:r>
                </w:p>
              </w:tc>
              <w:tc>
                <w:tcPr>
                  <w:tcW w:w="1230" w:type="dxa"/>
                  <w:vAlign w:val="center"/>
                </w:tcPr>
                <w:p w14:paraId="62A7C2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96FAF6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50C11162">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7DFD01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28</w:t>
                  </w:r>
                </w:p>
              </w:tc>
              <w:tc>
                <w:tcPr>
                  <w:tcW w:w="3142" w:type="dxa"/>
                  <w:vAlign w:val="center"/>
                </w:tcPr>
                <w:p w14:paraId="695947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OR10</w:t>
                  </w:r>
                  <w:r>
                    <w:rPr>
                      <w:rStyle w:val="313"/>
                      <w:rFonts w:hint="default" w:ascii="Times New Roman" w:hAnsi="Times New Roman" w:eastAsia="宋体" w:cs="Times New Roman"/>
                      <w:b w:val="0"/>
                      <w:bCs w:val="0"/>
                      <w:sz w:val="21"/>
                      <w:szCs w:val="21"/>
                      <w:lang w:val="en-US" w:eastAsia="zh-CN" w:bidi="ar"/>
                    </w:rPr>
                    <w:t>）拟建地北侧（现状为施工现场）</w:t>
                  </w:r>
                </w:p>
              </w:tc>
              <w:tc>
                <w:tcPr>
                  <w:tcW w:w="1209" w:type="dxa"/>
                  <w:vAlign w:val="center"/>
                </w:tcPr>
                <w:p w14:paraId="600949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7C32CA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9.6</w:t>
                  </w:r>
                </w:p>
              </w:tc>
              <w:tc>
                <w:tcPr>
                  <w:tcW w:w="1230" w:type="dxa"/>
                  <w:vAlign w:val="center"/>
                </w:tcPr>
                <w:p w14:paraId="1CC243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66125E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E9AD5CF">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554A5C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29</w:t>
                  </w:r>
                </w:p>
              </w:tc>
              <w:tc>
                <w:tcPr>
                  <w:tcW w:w="3142" w:type="dxa"/>
                  <w:vAlign w:val="center"/>
                </w:tcPr>
                <w:p w14:paraId="63F5AD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OR10</w:t>
                  </w:r>
                  <w:r>
                    <w:rPr>
                      <w:rStyle w:val="313"/>
                      <w:rFonts w:hint="default" w:ascii="Times New Roman" w:hAnsi="Times New Roman" w:eastAsia="宋体" w:cs="Times New Roman"/>
                      <w:b w:val="0"/>
                      <w:bCs w:val="0"/>
                      <w:sz w:val="21"/>
                      <w:szCs w:val="21"/>
                      <w:lang w:val="en-US" w:eastAsia="zh-CN" w:bidi="ar"/>
                    </w:rPr>
                    <w:t>）拟建地上方（现状为施工现场）</w:t>
                  </w:r>
                </w:p>
              </w:tc>
              <w:tc>
                <w:tcPr>
                  <w:tcW w:w="1209" w:type="dxa"/>
                  <w:vAlign w:val="center"/>
                </w:tcPr>
                <w:p w14:paraId="26C4AC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174BED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10.0</w:t>
                  </w:r>
                </w:p>
              </w:tc>
              <w:tc>
                <w:tcPr>
                  <w:tcW w:w="1230" w:type="dxa"/>
                  <w:vAlign w:val="center"/>
                </w:tcPr>
                <w:p w14:paraId="41C7A5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164E113E">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DC1352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23AE95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30</w:t>
                  </w:r>
                </w:p>
              </w:tc>
              <w:tc>
                <w:tcPr>
                  <w:tcW w:w="3142" w:type="dxa"/>
                  <w:vAlign w:val="center"/>
                </w:tcPr>
                <w:p w14:paraId="7C4ECC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OR10</w:t>
                  </w:r>
                  <w:r>
                    <w:rPr>
                      <w:rStyle w:val="313"/>
                      <w:rFonts w:hint="default" w:ascii="Times New Roman" w:hAnsi="Times New Roman" w:eastAsia="宋体" w:cs="Times New Roman"/>
                      <w:b w:val="0"/>
                      <w:bCs w:val="0"/>
                      <w:sz w:val="21"/>
                      <w:szCs w:val="21"/>
                      <w:lang w:val="en-US" w:eastAsia="zh-CN" w:bidi="ar"/>
                    </w:rPr>
                    <w:t>）拟建地下方（现状为施工现场）</w:t>
                  </w:r>
                </w:p>
              </w:tc>
              <w:tc>
                <w:tcPr>
                  <w:tcW w:w="1209" w:type="dxa"/>
                  <w:vAlign w:val="center"/>
                </w:tcPr>
                <w:p w14:paraId="5CDE13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C9759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9.4</w:t>
                  </w:r>
                </w:p>
              </w:tc>
              <w:tc>
                <w:tcPr>
                  <w:tcW w:w="1230" w:type="dxa"/>
                  <w:vAlign w:val="center"/>
                </w:tcPr>
                <w:p w14:paraId="7E7A87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55B57C4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66047BA">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014F49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31</w:t>
                  </w:r>
                </w:p>
              </w:tc>
              <w:tc>
                <w:tcPr>
                  <w:tcW w:w="3142" w:type="dxa"/>
                  <w:vAlign w:val="center"/>
                </w:tcPr>
                <w:p w14:paraId="0D3D2D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OR11</w:t>
                  </w:r>
                  <w:r>
                    <w:rPr>
                      <w:rStyle w:val="313"/>
                      <w:rFonts w:hint="default" w:ascii="Times New Roman" w:hAnsi="Times New Roman" w:eastAsia="宋体" w:cs="Times New Roman"/>
                      <w:b w:val="0"/>
                      <w:bCs w:val="0"/>
                      <w:sz w:val="21"/>
                      <w:szCs w:val="21"/>
                      <w:lang w:val="en-US" w:eastAsia="zh-CN" w:bidi="ar"/>
                    </w:rPr>
                    <w:t>）拟建地（现状为施工现场）</w:t>
                  </w:r>
                </w:p>
              </w:tc>
              <w:tc>
                <w:tcPr>
                  <w:tcW w:w="1209" w:type="dxa"/>
                  <w:vAlign w:val="center"/>
                </w:tcPr>
                <w:p w14:paraId="30ABC0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689F0F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10.0</w:t>
                  </w:r>
                </w:p>
              </w:tc>
              <w:tc>
                <w:tcPr>
                  <w:tcW w:w="1230" w:type="dxa"/>
                  <w:vAlign w:val="center"/>
                </w:tcPr>
                <w:p w14:paraId="3ABA49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5B33DCD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30D5F32">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0D5008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32</w:t>
                  </w:r>
                </w:p>
              </w:tc>
              <w:tc>
                <w:tcPr>
                  <w:tcW w:w="3142" w:type="dxa"/>
                  <w:vAlign w:val="center"/>
                </w:tcPr>
                <w:p w14:paraId="559804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OR11</w:t>
                  </w:r>
                  <w:r>
                    <w:rPr>
                      <w:rStyle w:val="313"/>
                      <w:rFonts w:hint="default" w:ascii="Times New Roman" w:hAnsi="Times New Roman" w:eastAsia="宋体" w:cs="Times New Roman"/>
                      <w:b w:val="0"/>
                      <w:bCs w:val="0"/>
                      <w:sz w:val="21"/>
                      <w:szCs w:val="21"/>
                      <w:lang w:val="en-US" w:eastAsia="zh-CN" w:bidi="ar"/>
                    </w:rPr>
                    <w:t>）拟建地南侧（现状为施工现场）</w:t>
                  </w:r>
                </w:p>
              </w:tc>
              <w:tc>
                <w:tcPr>
                  <w:tcW w:w="1209" w:type="dxa"/>
                  <w:vAlign w:val="center"/>
                </w:tcPr>
                <w:p w14:paraId="5AAB35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5E271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10.1</w:t>
                  </w:r>
                </w:p>
              </w:tc>
              <w:tc>
                <w:tcPr>
                  <w:tcW w:w="1230" w:type="dxa"/>
                  <w:vAlign w:val="center"/>
                </w:tcPr>
                <w:p w14:paraId="78F692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32DC7B6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C6D19DC">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70AC21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33</w:t>
                  </w:r>
                </w:p>
              </w:tc>
              <w:tc>
                <w:tcPr>
                  <w:tcW w:w="3142" w:type="dxa"/>
                  <w:vAlign w:val="center"/>
                </w:tcPr>
                <w:p w14:paraId="08976A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OR11</w:t>
                  </w:r>
                  <w:r>
                    <w:rPr>
                      <w:rStyle w:val="313"/>
                      <w:rFonts w:hint="default" w:ascii="Times New Roman" w:hAnsi="Times New Roman" w:eastAsia="宋体" w:cs="Times New Roman"/>
                      <w:b w:val="0"/>
                      <w:bCs w:val="0"/>
                      <w:sz w:val="21"/>
                      <w:szCs w:val="21"/>
                      <w:lang w:val="en-US" w:eastAsia="zh-CN" w:bidi="ar"/>
                    </w:rPr>
                    <w:t>）拟建地东侧（现状为施工现场）</w:t>
                  </w:r>
                </w:p>
              </w:tc>
              <w:tc>
                <w:tcPr>
                  <w:tcW w:w="1209" w:type="dxa"/>
                  <w:vAlign w:val="center"/>
                </w:tcPr>
                <w:p w14:paraId="3B8C78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78F405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9.8</w:t>
                  </w:r>
                </w:p>
              </w:tc>
              <w:tc>
                <w:tcPr>
                  <w:tcW w:w="1230" w:type="dxa"/>
                  <w:vAlign w:val="center"/>
                </w:tcPr>
                <w:p w14:paraId="6767F7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0D8BBF6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lang w:val="en-US"/>
                    </w:rPr>
                  </w:pPr>
                  <w:r>
                    <w:rPr>
                      <w:rFonts w:hint="default" w:ascii="Times New Roman" w:hAnsi="Times New Roman" w:eastAsia="宋体" w:cs="Times New Roman"/>
                      <w:b w:val="0"/>
                      <w:bCs w:val="0"/>
                      <w:sz w:val="21"/>
                      <w:szCs w:val="21"/>
                    </w:rPr>
                    <w:t>/</w:t>
                  </w:r>
                </w:p>
              </w:tc>
            </w:tr>
            <w:tr w14:paraId="254E053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040AD0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34</w:t>
                  </w:r>
                </w:p>
              </w:tc>
              <w:tc>
                <w:tcPr>
                  <w:tcW w:w="3142" w:type="dxa"/>
                  <w:vAlign w:val="center"/>
                </w:tcPr>
                <w:p w14:paraId="059896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OR11</w:t>
                  </w:r>
                  <w:r>
                    <w:rPr>
                      <w:rStyle w:val="313"/>
                      <w:rFonts w:hint="default" w:ascii="Times New Roman" w:hAnsi="Times New Roman" w:eastAsia="宋体" w:cs="Times New Roman"/>
                      <w:b w:val="0"/>
                      <w:bCs w:val="0"/>
                      <w:sz w:val="21"/>
                      <w:szCs w:val="21"/>
                      <w:lang w:val="en-US" w:eastAsia="zh-CN" w:bidi="ar"/>
                    </w:rPr>
                    <w:t>）拟建地北侧（现状为施工现场）</w:t>
                  </w:r>
                </w:p>
              </w:tc>
              <w:tc>
                <w:tcPr>
                  <w:tcW w:w="1209" w:type="dxa"/>
                  <w:vAlign w:val="center"/>
                </w:tcPr>
                <w:p w14:paraId="15A55B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3B8337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9.8</w:t>
                  </w:r>
                </w:p>
              </w:tc>
              <w:tc>
                <w:tcPr>
                  <w:tcW w:w="1230" w:type="dxa"/>
                  <w:vAlign w:val="center"/>
                </w:tcPr>
                <w:p w14:paraId="7B15CE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50E116B9">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1D745E11">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CD742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35</w:t>
                  </w:r>
                </w:p>
              </w:tc>
              <w:tc>
                <w:tcPr>
                  <w:tcW w:w="3142" w:type="dxa"/>
                  <w:vAlign w:val="center"/>
                </w:tcPr>
                <w:p w14:paraId="3D7D3A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OR11</w:t>
                  </w:r>
                  <w:r>
                    <w:rPr>
                      <w:rStyle w:val="313"/>
                      <w:rFonts w:hint="default" w:ascii="Times New Roman" w:hAnsi="Times New Roman" w:eastAsia="宋体" w:cs="Times New Roman"/>
                      <w:b w:val="0"/>
                      <w:bCs w:val="0"/>
                      <w:sz w:val="21"/>
                      <w:szCs w:val="21"/>
                      <w:lang w:val="en-US" w:eastAsia="zh-CN" w:bidi="ar"/>
                    </w:rPr>
                    <w:t>）拟建地上方（现状为施工现场）</w:t>
                  </w:r>
                </w:p>
              </w:tc>
              <w:tc>
                <w:tcPr>
                  <w:tcW w:w="1209" w:type="dxa"/>
                  <w:vAlign w:val="center"/>
                </w:tcPr>
                <w:p w14:paraId="1A9DC2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16A90B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10.3</w:t>
                  </w:r>
                </w:p>
              </w:tc>
              <w:tc>
                <w:tcPr>
                  <w:tcW w:w="1230" w:type="dxa"/>
                  <w:vAlign w:val="center"/>
                </w:tcPr>
                <w:p w14:paraId="6DD06F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78A1FA1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5CFD1FB9">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79DF38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36</w:t>
                  </w:r>
                </w:p>
              </w:tc>
              <w:tc>
                <w:tcPr>
                  <w:tcW w:w="3142" w:type="dxa"/>
                  <w:vAlign w:val="center"/>
                </w:tcPr>
                <w:p w14:paraId="20AD32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本项目手术部</w:t>
                  </w:r>
                  <w:r>
                    <w:rPr>
                      <w:rFonts w:hint="default" w:ascii="Times New Roman" w:hAnsi="Times New Roman" w:eastAsia="宋体" w:cs="Times New Roman"/>
                      <w:b w:val="0"/>
                      <w:bCs w:val="0"/>
                      <w:i w:val="0"/>
                      <w:iCs w:val="0"/>
                      <w:color w:val="000000"/>
                      <w:kern w:val="0"/>
                      <w:sz w:val="21"/>
                      <w:szCs w:val="21"/>
                      <w:u w:val="none"/>
                      <w:lang w:val="en-US" w:eastAsia="zh-CN" w:bidi="ar"/>
                    </w:rPr>
                    <w:t>DSA</w:t>
                  </w:r>
                  <w:r>
                    <w:rPr>
                      <w:rStyle w:val="313"/>
                      <w:rFonts w:hint="default" w:ascii="Times New Roman" w:hAnsi="Times New Roman" w:eastAsia="宋体" w:cs="Times New Roman"/>
                      <w:b w:val="0"/>
                      <w:bCs w:val="0"/>
                      <w:sz w:val="21"/>
                      <w:szCs w:val="21"/>
                      <w:lang w:val="en-US" w:eastAsia="zh-CN" w:bidi="ar"/>
                    </w:rPr>
                    <w:t>手术室（</w:t>
                  </w:r>
                  <w:r>
                    <w:rPr>
                      <w:rFonts w:hint="default" w:ascii="Times New Roman" w:hAnsi="Times New Roman" w:eastAsia="宋体" w:cs="Times New Roman"/>
                      <w:b w:val="0"/>
                      <w:bCs w:val="0"/>
                      <w:i w:val="0"/>
                      <w:iCs w:val="0"/>
                      <w:color w:val="000000"/>
                      <w:kern w:val="0"/>
                      <w:sz w:val="21"/>
                      <w:szCs w:val="21"/>
                      <w:u w:val="none"/>
                      <w:lang w:val="en-US" w:eastAsia="zh-CN" w:bidi="ar"/>
                    </w:rPr>
                    <w:t>OR11</w:t>
                  </w:r>
                  <w:r>
                    <w:rPr>
                      <w:rStyle w:val="313"/>
                      <w:rFonts w:hint="default" w:ascii="Times New Roman" w:hAnsi="Times New Roman" w:eastAsia="宋体" w:cs="Times New Roman"/>
                      <w:b w:val="0"/>
                      <w:bCs w:val="0"/>
                      <w:sz w:val="21"/>
                      <w:szCs w:val="21"/>
                      <w:lang w:val="en-US" w:eastAsia="zh-CN" w:bidi="ar"/>
                    </w:rPr>
                    <w:t>）拟建地下方（现状为施工现场）</w:t>
                  </w:r>
                </w:p>
              </w:tc>
              <w:tc>
                <w:tcPr>
                  <w:tcW w:w="1209" w:type="dxa"/>
                  <w:vAlign w:val="center"/>
                </w:tcPr>
                <w:p w14:paraId="1A8940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6BB7A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9.4</w:t>
                  </w:r>
                </w:p>
              </w:tc>
              <w:tc>
                <w:tcPr>
                  <w:tcW w:w="1230" w:type="dxa"/>
                  <w:vAlign w:val="center"/>
                </w:tcPr>
                <w:p w14:paraId="56F05D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2B019ED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58886CF7">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5F74AA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37</w:t>
                  </w:r>
                </w:p>
              </w:tc>
              <w:tc>
                <w:tcPr>
                  <w:tcW w:w="3142" w:type="dxa"/>
                  <w:vAlign w:val="center"/>
                </w:tcPr>
                <w:p w14:paraId="797E32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本项目内镜中心</w:t>
                  </w:r>
                  <w:r>
                    <w:rPr>
                      <w:rFonts w:hint="default" w:ascii="Times New Roman" w:hAnsi="Times New Roman" w:eastAsia="宋体" w:cs="Times New Roman"/>
                      <w:b w:val="0"/>
                      <w:bCs w:val="0"/>
                      <w:i w:val="0"/>
                      <w:iCs w:val="0"/>
                      <w:color w:val="000000"/>
                      <w:kern w:val="0"/>
                      <w:sz w:val="21"/>
                      <w:szCs w:val="21"/>
                      <w:u w:val="none"/>
                      <w:lang w:val="en-US" w:eastAsia="zh-CN" w:bidi="ar"/>
                    </w:rPr>
                    <w:t>ERCP</w:t>
                  </w:r>
                  <w:r>
                    <w:rPr>
                      <w:rStyle w:val="313"/>
                      <w:rFonts w:hint="default" w:ascii="Times New Roman" w:hAnsi="Times New Roman" w:eastAsia="宋体" w:cs="Times New Roman"/>
                      <w:b w:val="0"/>
                      <w:bCs w:val="0"/>
                      <w:sz w:val="21"/>
                      <w:szCs w:val="21"/>
                      <w:lang w:val="en-US" w:eastAsia="zh-CN" w:bidi="ar"/>
                    </w:rPr>
                    <w:t>室拟建地（现状为施工现场）</w:t>
                  </w:r>
                </w:p>
              </w:tc>
              <w:tc>
                <w:tcPr>
                  <w:tcW w:w="1209" w:type="dxa"/>
                  <w:vAlign w:val="center"/>
                </w:tcPr>
                <w:p w14:paraId="3FD1E1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4F5B7A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9.6</w:t>
                  </w:r>
                </w:p>
              </w:tc>
              <w:tc>
                <w:tcPr>
                  <w:tcW w:w="1230" w:type="dxa"/>
                  <w:vAlign w:val="center"/>
                </w:tcPr>
                <w:p w14:paraId="6ECDBE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77AA938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FB855EC">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41ADB0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38</w:t>
                  </w:r>
                </w:p>
              </w:tc>
              <w:tc>
                <w:tcPr>
                  <w:tcW w:w="3142" w:type="dxa"/>
                  <w:vAlign w:val="center"/>
                </w:tcPr>
                <w:p w14:paraId="76A119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本项目内镜中心</w:t>
                  </w:r>
                  <w:r>
                    <w:rPr>
                      <w:rFonts w:hint="default" w:ascii="Times New Roman" w:hAnsi="Times New Roman" w:eastAsia="宋体" w:cs="Times New Roman"/>
                      <w:b w:val="0"/>
                      <w:bCs w:val="0"/>
                      <w:i w:val="0"/>
                      <w:iCs w:val="0"/>
                      <w:color w:val="000000"/>
                      <w:kern w:val="0"/>
                      <w:sz w:val="21"/>
                      <w:szCs w:val="21"/>
                      <w:u w:val="none"/>
                      <w:lang w:val="en-US" w:eastAsia="zh-CN" w:bidi="ar"/>
                    </w:rPr>
                    <w:t>ERCP</w:t>
                  </w:r>
                  <w:r>
                    <w:rPr>
                      <w:rStyle w:val="313"/>
                      <w:rFonts w:hint="default" w:ascii="Times New Roman" w:hAnsi="Times New Roman" w:eastAsia="宋体" w:cs="Times New Roman"/>
                      <w:b w:val="0"/>
                      <w:bCs w:val="0"/>
                      <w:sz w:val="21"/>
                      <w:szCs w:val="21"/>
                      <w:lang w:val="en-US" w:eastAsia="zh-CN" w:bidi="ar"/>
                    </w:rPr>
                    <w:t>室拟建地东侧（现状为施工现场）</w:t>
                  </w:r>
                </w:p>
              </w:tc>
              <w:tc>
                <w:tcPr>
                  <w:tcW w:w="1209" w:type="dxa"/>
                  <w:vAlign w:val="center"/>
                </w:tcPr>
                <w:p w14:paraId="437368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110514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9.4</w:t>
                  </w:r>
                </w:p>
              </w:tc>
              <w:tc>
                <w:tcPr>
                  <w:tcW w:w="1230" w:type="dxa"/>
                  <w:vAlign w:val="center"/>
                </w:tcPr>
                <w:p w14:paraId="19D2A7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5F7DBF0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4DC657A">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0D8F21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39</w:t>
                  </w:r>
                </w:p>
              </w:tc>
              <w:tc>
                <w:tcPr>
                  <w:tcW w:w="3142" w:type="dxa"/>
                  <w:vAlign w:val="center"/>
                </w:tcPr>
                <w:p w14:paraId="2E491D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本项目内镜中心</w:t>
                  </w:r>
                  <w:r>
                    <w:rPr>
                      <w:rFonts w:hint="default" w:ascii="Times New Roman" w:hAnsi="Times New Roman" w:eastAsia="宋体" w:cs="Times New Roman"/>
                      <w:b w:val="0"/>
                      <w:bCs w:val="0"/>
                      <w:i w:val="0"/>
                      <w:iCs w:val="0"/>
                      <w:color w:val="000000"/>
                      <w:kern w:val="0"/>
                      <w:sz w:val="21"/>
                      <w:szCs w:val="21"/>
                      <w:u w:val="none"/>
                      <w:lang w:val="en-US" w:eastAsia="zh-CN" w:bidi="ar"/>
                    </w:rPr>
                    <w:t>ERCP</w:t>
                  </w:r>
                  <w:r>
                    <w:rPr>
                      <w:rStyle w:val="313"/>
                      <w:rFonts w:hint="default" w:ascii="Times New Roman" w:hAnsi="Times New Roman" w:eastAsia="宋体" w:cs="Times New Roman"/>
                      <w:b w:val="0"/>
                      <w:bCs w:val="0"/>
                      <w:sz w:val="21"/>
                      <w:szCs w:val="21"/>
                      <w:lang w:val="en-US" w:eastAsia="zh-CN" w:bidi="ar"/>
                    </w:rPr>
                    <w:t>室拟建地南侧（现状为施工现场）</w:t>
                  </w:r>
                </w:p>
              </w:tc>
              <w:tc>
                <w:tcPr>
                  <w:tcW w:w="1209" w:type="dxa"/>
                  <w:vAlign w:val="center"/>
                </w:tcPr>
                <w:p w14:paraId="620AC4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732030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9.8</w:t>
                  </w:r>
                </w:p>
              </w:tc>
              <w:tc>
                <w:tcPr>
                  <w:tcW w:w="1230" w:type="dxa"/>
                  <w:vAlign w:val="center"/>
                </w:tcPr>
                <w:p w14:paraId="31F257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59247232">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684A4CEE">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404984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40</w:t>
                  </w:r>
                </w:p>
              </w:tc>
              <w:tc>
                <w:tcPr>
                  <w:tcW w:w="3142" w:type="dxa"/>
                  <w:vAlign w:val="center"/>
                </w:tcPr>
                <w:p w14:paraId="312E59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本项目内镜中心</w:t>
                  </w:r>
                  <w:r>
                    <w:rPr>
                      <w:rFonts w:hint="default" w:ascii="Times New Roman" w:hAnsi="Times New Roman" w:eastAsia="宋体" w:cs="Times New Roman"/>
                      <w:b w:val="0"/>
                      <w:bCs w:val="0"/>
                      <w:i w:val="0"/>
                      <w:iCs w:val="0"/>
                      <w:color w:val="000000"/>
                      <w:kern w:val="0"/>
                      <w:sz w:val="21"/>
                      <w:szCs w:val="21"/>
                      <w:u w:val="none"/>
                      <w:lang w:val="en-US" w:eastAsia="zh-CN" w:bidi="ar"/>
                    </w:rPr>
                    <w:t>ERCP</w:t>
                  </w:r>
                  <w:r>
                    <w:rPr>
                      <w:rStyle w:val="313"/>
                      <w:rFonts w:hint="default" w:ascii="Times New Roman" w:hAnsi="Times New Roman" w:eastAsia="宋体" w:cs="Times New Roman"/>
                      <w:b w:val="0"/>
                      <w:bCs w:val="0"/>
                      <w:sz w:val="21"/>
                      <w:szCs w:val="21"/>
                      <w:lang w:val="en-US" w:eastAsia="zh-CN" w:bidi="ar"/>
                    </w:rPr>
                    <w:t>室拟建地西侧（现状为施工现场）</w:t>
                  </w:r>
                </w:p>
              </w:tc>
              <w:tc>
                <w:tcPr>
                  <w:tcW w:w="1209" w:type="dxa"/>
                  <w:vAlign w:val="center"/>
                </w:tcPr>
                <w:p w14:paraId="2790DA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4C1ECE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9.6</w:t>
                  </w:r>
                </w:p>
              </w:tc>
              <w:tc>
                <w:tcPr>
                  <w:tcW w:w="1230" w:type="dxa"/>
                  <w:vAlign w:val="center"/>
                </w:tcPr>
                <w:p w14:paraId="4C4F5B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7B7FF8D8">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7C84278C">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4B45D8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41</w:t>
                  </w:r>
                </w:p>
              </w:tc>
              <w:tc>
                <w:tcPr>
                  <w:tcW w:w="3142" w:type="dxa"/>
                  <w:vAlign w:val="center"/>
                </w:tcPr>
                <w:p w14:paraId="3A5EC5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本项目内镜中心</w:t>
                  </w:r>
                  <w:r>
                    <w:rPr>
                      <w:rFonts w:hint="default" w:ascii="Times New Roman" w:hAnsi="Times New Roman" w:eastAsia="宋体" w:cs="Times New Roman"/>
                      <w:b w:val="0"/>
                      <w:bCs w:val="0"/>
                      <w:i w:val="0"/>
                      <w:iCs w:val="0"/>
                      <w:color w:val="000000"/>
                      <w:kern w:val="0"/>
                      <w:sz w:val="21"/>
                      <w:szCs w:val="21"/>
                      <w:u w:val="none"/>
                      <w:lang w:val="en-US" w:eastAsia="zh-CN" w:bidi="ar"/>
                    </w:rPr>
                    <w:t>ERCP</w:t>
                  </w:r>
                  <w:r>
                    <w:rPr>
                      <w:rStyle w:val="313"/>
                      <w:rFonts w:hint="default" w:ascii="Times New Roman" w:hAnsi="Times New Roman" w:eastAsia="宋体" w:cs="Times New Roman"/>
                      <w:b w:val="0"/>
                      <w:bCs w:val="0"/>
                      <w:sz w:val="21"/>
                      <w:szCs w:val="21"/>
                      <w:lang w:val="en-US" w:eastAsia="zh-CN" w:bidi="ar"/>
                    </w:rPr>
                    <w:t>室拟建地北侧（现状为施工现场）</w:t>
                  </w:r>
                </w:p>
              </w:tc>
              <w:tc>
                <w:tcPr>
                  <w:tcW w:w="1209" w:type="dxa"/>
                  <w:vAlign w:val="center"/>
                </w:tcPr>
                <w:p w14:paraId="4FB2E0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213BFA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9.4</w:t>
                  </w:r>
                </w:p>
              </w:tc>
              <w:tc>
                <w:tcPr>
                  <w:tcW w:w="1230" w:type="dxa"/>
                  <w:vAlign w:val="center"/>
                </w:tcPr>
                <w:p w14:paraId="4E9BB9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7821ADBD">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378EDDAB">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9C396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42</w:t>
                  </w:r>
                </w:p>
              </w:tc>
              <w:tc>
                <w:tcPr>
                  <w:tcW w:w="3142" w:type="dxa"/>
                  <w:vAlign w:val="center"/>
                </w:tcPr>
                <w:p w14:paraId="3E7380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本项目内镜中心</w:t>
                  </w:r>
                  <w:r>
                    <w:rPr>
                      <w:rFonts w:hint="default" w:ascii="Times New Roman" w:hAnsi="Times New Roman" w:eastAsia="宋体" w:cs="Times New Roman"/>
                      <w:b w:val="0"/>
                      <w:bCs w:val="0"/>
                      <w:i w:val="0"/>
                      <w:iCs w:val="0"/>
                      <w:color w:val="000000"/>
                      <w:kern w:val="0"/>
                      <w:sz w:val="21"/>
                      <w:szCs w:val="21"/>
                      <w:u w:val="none"/>
                      <w:lang w:val="en-US" w:eastAsia="zh-CN" w:bidi="ar"/>
                    </w:rPr>
                    <w:t>ERCP</w:t>
                  </w:r>
                  <w:r>
                    <w:rPr>
                      <w:rStyle w:val="313"/>
                      <w:rFonts w:hint="default" w:ascii="Times New Roman" w:hAnsi="Times New Roman" w:eastAsia="宋体" w:cs="Times New Roman"/>
                      <w:b w:val="0"/>
                      <w:bCs w:val="0"/>
                      <w:sz w:val="21"/>
                      <w:szCs w:val="21"/>
                      <w:lang w:val="en-US" w:eastAsia="zh-CN" w:bidi="ar"/>
                    </w:rPr>
                    <w:t>室拟建地上方（现状为施工现场）</w:t>
                  </w:r>
                </w:p>
              </w:tc>
              <w:tc>
                <w:tcPr>
                  <w:tcW w:w="1209" w:type="dxa"/>
                  <w:vAlign w:val="center"/>
                </w:tcPr>
                <w:p w14:paraId="4409E7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E2D1D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10.2</w:t>
                  </w:r>
                </w:p>
              </w:tc>
              <w:tc>
                <w:tcPr>
                  <w:tcW w:w="1230" w:type="dxa"/>
                  <w:vAlign w:val="center"/>
                </w:tcPr>
                <w:p w14:paraId="234F35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0.3</w:t>
                  </w:r>
                </w:p>
              </w:tc>
              <w:tc>
                <w:tcPr>
                  <w:tcW w:w="629" w:type="dxa"/>
                  <w:vAlign w:val="center"/>
                </w:tcPr>
                <w:p w14:paraId="0816DF15">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41F3342F">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7A1420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43</w:t>
                  </w:r>
                </w:p>
              </w:tc>
              <w:tc>
                <w:tcPr>
                  <w:tcW w:w="3142" w:type="dxa"/>
                  <w:vAlign w:val="center"/>
                </w:tcPr>
                <w:p w14:paraId="508A10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本项目内镜中心</w:t>
                  </w:r>
                  <w:r>
                    <w:rPr>
                      <w:rFonts w:hint="default" w:ascii="Times New Roman" w:hAnsi="Times New Roman" w:eastAsia="宋体" w:cs="Times New Roman"/>
                      <w:b w:val="0"/>
                      <w:bCs w:val="0"/>
                      <w:i w:val="0"/>
                      <w:iCs w:val="0"/>
                      <w:color w:val="000000"/>
                      <w:kern w:val="0"/>
                      <w:sz w:val="21"/>
                      <w:szCs w:val="21"/>
                      <w:u w:val="none"/>
                      <w:lang w:val="en-US" w:eastAsia="zh-CN" w:bidi="ar"/>
                    </w:rPr>
                    <w:t>ERCP</w:t>
                  </w:r>
                  <w:r>
                    <w:rPr>
                      <w:rStyle w:val="313"/>
                      <w:rFonts w:hint="default" w:ascii="Times New Roman" w:hAnsi="Times New Roman" w:eastAsia="宋体" w:cs="Times New Roman"/>
                      <w:b w:val="0"/>
                      <w:bCs w:val="0"/>
                      <w:sz w:val="21"/>
                      <w:szCs w:val="21"/>
                      <w:lang w:val="en-US" w:eastAsia="zh-CN" w:bidi="ar"/>
                    </w:rPr>
                    <w:t>室拟建地下方（现状为施工现场）</w:t>
                  </w:r>
                </w:p>
              </w:tc>
              <w:tc>
                <w:tcPr>
                  <w:tcW w:w="1209" w:type="dxa"/>
                  <w:vAlign w:val="center"/>
                </w:tcPr>
                <w:p w14:paraId="065B71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7D1415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9.2</w:t>
                  </w:r>
                </w:p>
              </w:tc>
              <w:tc>
                <w:tcPr>
                  <w:tcW w:w="1230" w:type="dxa"/>
                  <w:vAlign w:val="center"/>
                </w:tcPr>
                <w:p w14:paraId="0CE14B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618C195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r w14:paraId="05FED75A">
              <w:tblPrEx>
                <w:tblBorders>
                  <w:top w:val="single" w:color="auto" w:sz="0" w:space="0"/>
                  <w:left w:val="none" w:color="auto" w:sz="0" w:space="0"/>
                  <w:bottom w:val="single" w:color="auto" w:sz="0" w:space="0"/>
                  <w:right w:val="none" w:color="auto" w:sz="0" w:space="0"/>
                  <w:insideH w:val="single" w:color="auto" w:sz="0" w:space="0"/>
                  <w:insideV w:val="single" w:color="auto" w:sz="0" w:space="0"/>
                </w:tblBorders>
                <w:tblCellMar>
                  <w:top w:w="0" w:type="dxa"/>
                  <w:left w:w="108" w:type="dxa"/>
                  <w:bottom w:w="0" w:type="dxa"/>
                  <w:right w:w="108" w:type="dxa"/>
                </w:tblCellMar>
              </w:tblPrEx>
              <w:trPr>
                <w:cantSplit/>
                <w:trHeight w:val="400" w:hRule="atLeast"/>
                <w:jc w:val="center"/>
              </w:trPr>
              <w:tc>
                <w:tcPr>
                  <w:tcW w:w="572" w:type="dxa"/>
                  <w:vAlign w:val="center"/>
                </w:tcPr>
                <w:p w14:paraId="3C3625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44</w:t>
                  </w:r>
                </w:p>
              </w:tc>
              <w:tc>
                <w:tcPr>
                  <w:tcW w:w="3142" w:type="dxa"/>
                  <w:vAlign w:val="center"/>
                </w:tcPr>
                <w:p w14:paraId="72EA02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color w:val="000000"/>
                      <w:sz w:val="21"/>
                      <w:szCs w:val="21"/>
                    </w:rPr>
                  </w:pPr>
                  <w:r>
                    <w:rPr>
                      <w:rStyle w:val="313"/>
                      <w:rFonts w:hint="default" w:ascii="Times New Roman" w:hAnsi="Times New Roman" w:eastAsia="宋体" w:cs="Times New Roman"/>
                      <w:b w:val="0"/>
                      <w:bCs w:val="0"/>
                      <w:sz w:val="21"/>
                      <w:szCs w:val="21"/>
                      <w:lang w:val="en-US" w:eastAsia="zh-CN" w:bidi="ar"/>
                    </w:rPr>
                    <w:t>本项目门诊医技楼西侧院内道路（现状为施工现场）</w:t>
                  </w:r>
                </w:p>
              </w:tc>
              <w:tc>
                <w:tcPr>
                  <w:tcW w:w="1209" w:type="dxa"/>
                  <w:vAlign w:val="center"/>
                </w:tcPr>
                <w:p w14:paraId="026F18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i w:val="0"/>
                      <w:iCs w:val="0"/>
                      <w:color w:val="000000"/>
                      <w:kern w:val="0"/>
                      <w:sz w:val="21"/>
                      <w:szCs w:val="21"/>
                      <w:u w:val="none"/>
                      <w:lang w:val="en-US" w:eastAsia="zh-CN" w:bidi="ar"/>
                    </w:rPr>
                    <w:t>2026-09-15</w:t>
                  </w:r>
                </w:p>
              </w:tc>
              <w:tc>
                <w:tcPr>
                  <w:tcW w:w="1740" w:type="dxa"/>
                  <w:vAlign w:val="center"/>
                </w:tcPr>
                <w:p w14:paraId="04C181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9.3</w:t>
                  </w:r>
                </w:p>
              </w:tc>
              <w:tc>
                <w:tcPr>
                  <w:tcW w:w="1230" w:type="dxa"/>
                  <w:vAlign w:val="center"/>
                </w:tcPr>
                <w:p w14:paraId="04D5BB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0.2</w:t>
                  </w:r>
                </w:p>
              </w:tc>
              <w:tc>
                <w:tcPr>
                  <w:tcW w:w="629" w:type="dxa"/>
                  <w:vAlign w:val="center"/>
                </w:tcPr>
                <w:p w14:paraId="4DBFEA6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w:t>
                  </w:r>
                </w:p>
              </w:tc>
            </w:tr>
          </w:tbl>
          <w:p w14:paraId="39BE74AE">
            <w:pPr>
              <w:spacing w:line="240" w:lineRule="auto"/>
              <w:jc w:val="left"/>
              <w:rPr>
                <w:rFonts w:eastAsia="黑体"/>
                <w:sz w:val="21"/>
                <w:szCs w:val="21"/>
              </w:rPr>
            </w:pPr>
            <w:r>
              <w:rPr>
                <w:rFonts w:eastAsia="黑体"/>
                <w:sz w:val="21"/>
                <w:szCs w:val="21"/>
              </w:rPr>
              <w:t>注：X-γ辐射剂量率监测结果均未扣除宇宙射线响应值。</w:t>
            </w:r>
          </w:p>
          <w:p w14:paraId="7A263B41">
            <w:pPr>
              <w:ind w:firstLine="480"/>
              <w:rPr>
                <w:lang w:bidi="ar"/>
              </w:rPr>
            </w:pPr>
            <w:r>
              <w:t>根据表8-4、表8-5，本</w:t>
            </w:r>
            <w:r>
              <w:rPr>
                <w:lang w:bidi="ar"/>
              </w:rPr>
              <w:t>项目拟建地及周围各监测点α表面污染活度范围均低于仪器检出限（&lt;0.01Bq/cm</w:t>
            </w:r>
            <w:r>
              <w:rPr>
                <w:vertAlign w:val="superscript"/>
                <w:lang w:bidi="ar"/>
              </w:rPr>
              <w:t>2</w:t>
            </w:r>
            <w:r>
              <w:rPr>
                <w:lang w:bidi="ar"/>
              </w:rPr>
              <w:t>），β表面污染活度范围为</w:t>
            </w:r>
            <w:r>
              <w:rPr>
                <w:rFonts w:hint="default" w:ascii="Times New Roman" w:hAnsi="Times New Roman" w:cs="Times New Roman"/>
                <w:lang w:val="en-US" w:eastAsia="zh-CN" w:bidi="ar"/>
              </w:rPr>
              <w:t>≤</w:t>
            </w:r>
            <w:r>
              <w:rPr>
                <w:lang w:bidi="ar"/>
              </w:rPr>
              <w:t>0.01Bq/cm</w:t>
            </w:r>
            <w:r>
              <w:rPr>
                <w:vertAlign w:val="superscript"/>
                <w:lang w:bidi="ar"/>
              </w:rPr>
              <w:t>2</w:t>
            </w:r>
            <w:r>
              <w:rPr>
                <w:lang w:bidi="ar"/>
              </w:rPr>
              <w:t>。</w:t>
            </w:r>
          </w:p>
          <w:p w14:paraId="0B633B17">
            <w:pPr>
              <w:ind w:firstLine="480"/>
            </w:pPr>
            <w:r>
              <w:t>根据表8-6，本</w:t>
            </w:r>
            <w:r>
              <w:rPr>
                <w:lang w:bidi="ar"/>
              </w:rPr>
              <w:t>项目拟建地及周围X-γ辐射剂量率范围为8.</w:t>
            </w:r>
            <w:r>
              <w:rPr>
                <w:rFonts w:hint="eastAsia"/>
                <w:lang w:val="en-US" w:eastAsia="zh-CN" w:bidi="ar"/>
              </w:rPr>
              <w:t>2</w:t>
            </w:r>
            <w:r>
              <w:rPr>
                <w:lang w:bidi="ar"/>
              </w:rPr>
              <w:t>×10</w:t>
            </w:r>
            <w:r>
              <w:rPr>
                <w:vertAlign w:val="superscript"/>
                <w:lang w:bidi="ar"/>
              </w:rPr>
              <w:t>-8</w:t>
            </w:r>
            <w:r>
              <w:rPr>
                <w:lang w:bidi="ar"/>
              </w:rPr>
              <w:t>Gy/h ~1</w:t>
            </w:r>
            <w:r>
              <w:rPr>
                <w:rFonts w:hint="eastAsia"/>
                <w:lang w:val="en-US" w:eastAsia="zh-CN" w:bidi="ar"/>
              </w:rPr>
              <w:t>0.3</w:t>
            </w:r>
            <w:r>
              <w:rPr>
                <w:lang w:bidi="ar"/>
              </w:rPr>
              <w:t>×10</w:t>
            </w:r>
            <w:r>
              <w:rPr>
                <w:vertAlign w:val="superscript"/>
                <w:lang w:bidi="ar"/>
              </w:rPr>
              <w:t>-8</w:t>
            </w:r>
            <w:r>
              <w:rPr>
                <w:lang w:bidi="ar"/>
              </w:rPr>
              <w:t>Gy/h（</w:t>
            </w:r>
            <w:r>
              <w:t>即8</w:t>
            </w:r>
            <w:r>
              <w:rPr>
                <w:rFonts w:hint="eastAsia"/>
                <w:lang w:val="en-US" w:eastAsia="zh-CN"/>
              </w:rPr>
              <w:t>2</w:t>
            </w:r>
            <w:r>
              <w:t>nGy/h~1</w:t>
            </w:r>
            <w:r>
              <w:rPr>
                <w:rFonts w:hint="eastAsia"/>
                <w:lang w:val="en-US" w:eastAsia="zh-CN"/>
              </w:rPr>
              <w:t>03</w:t>
            </w:r>
            <w:r>
              <w:t>nGy/h</w:t>
            </w:r>
            <w:r>
              <w:rPr>
                <w:lang w:bidi="ar"/>
              </w:rPr>
              <w:t>）</w:t>
            </w:r>
            <w:r>
              <w:t>，与《</w:t>
            </w:r>
            <w:r>
              <w:rPr>
                <w:shd w:val="clear" w:color="auto" w:fill="FFFFFF"/>
              </w:rPr>
              <w:t>202</w:t>
            </w:r>
            <w:r>
              <w:rPr>
                <w:rFonts w:hint="eastAsia"/>
                <w:shd w:val="clear" w:color="auto" w:fill="FFFFFF"/>
                <w:lang w:val="en-US" w:eastAsia="zh-CN"/>
              </w:rPr>
              <w:t>5</w:t>
            </w:r>
            <w:r>
              <w:rPr>
                <w:rFonts w:hint="eastAsia"/>
                <w:shd w:val="clear" w:color="auto" w:fill="FFFFFF"/>
              </w:rPr>
              <w:t>成都生态环境质量</w:t>
            </w:r>
            <w:r>
              <w:rPr>
                <w:rFonts w:hint="eastAsia"/>
                <w:shd w:val="clear" w:color="auto" w:fill="FFFFFF"/>
                <w:lang w:val="en-US" w:eastAsia="zh-CN"/>
              </w:rPr>
              <w:t>状况</w:t>
            </w:r>
            <w:r>
              <w:t>》中环境</w:t>
            </w:r>
            <w:r>
              <w:rPr>
                <w:lang w:bidi="ar"/>
              </w:rPr>
              <w:t>γ</w:t>
            </w:r>
            <w:r>
              <w:t>辐射剂量率连续自动监测年均值范围</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66.</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nGy/h～1</w:t>
            </w:r>
            <w:r>
              <w:rPr>
                <w:rFonts w:hint="eastAsia" w:cs="Times New Roman"/>
                <w:color w:val="auto"/>
                <w:sz w:val="24"/>
                <w:szCs w:val="24"/>
                <w:highlight w:val="none"/>
                <w:lang w:val="en-US" w:eastAsia="zh-CN"/>
              </w:rPr>
              <w:t>23.4</w:t>
            </w:r>
            <w:r>
              <w:rPr>
                <w:rFonts w:hint="default" w:ascii="Times New Roman" w:hAnsi="Times New Roman" w:eastAsia="宋体" w:cs="Times New Roman"/>
                <w:color w:val="auto"/>
                <w:sz w:val="24"/>
                <w:szCs w:val="24"/>
                <w:highlight w:val="none"/>
              </w:rPr>
              <w:t>nGy/h</w:t>
            </w:r>
            <w:r>
              <w:rPr>
                <w:rFonts w:hint="default" w:ascii="Times New Roman" w:hAnsi="Times New Roman" w:eastAsia="宋体" w:cs="Times New Roman"/>
                <w:color w:val="auto"/>
                <w:sz w:val="24"/>
                <w:szCs w:val="24"/>
                <w:highlight w:val="none"/>
                <w:lang w:eastAsia="zh-CN"/>
              </w:rPr>
              <w:t>）</w:t>
            </w:r>
            <w:r>
              <w:t>相当，处于当地天然本底涨落范围。</w:t>
            </w:r>
          </w:p>
          <w:p w14:paraId="72373671">
            <w:pPr>
              <w:ind w:firstLine="480"/>
            </w:pPr>
          </w:p>
          <w:bookmarkEnd w:id="32"/>
          <w:p w14:paraId="141CA1C3">
            <w:pPr>
              <w:pStyle w:val="55"/>
              <w:ind w:firstLine="240"/>
            </w:pPr>
          </w:p>
          <w:p w14:paraId="29766D83">
            <w:pPr>
              <w:pStyle w:val="55"/>
              <w:ind w:firstLine="0"/>
            </w:pPr>
          </w:p>
        </w:tc>
      </w:tr>
    </w:tbl>
    <w:p w14:paraId="1764345A">
      <w:pPr>
        <w:keepNext/>
        <w:keepLines/>
        <w:pageBreakBefore/>
        <w:spacing w:line="240" w:lineRule="auto"/>
        <w:outlineLvl w:val="0"/>
        <w:rPr>
          <w:rFonts w:eastAsia="黑体"/>
          <w:bCs/>
          <w:sz w:val="28"/>
          <w:szCs w:val="28"/>
        </w:rPr>
      </w:pPr>
      <w:bookmarkStart w:id="33" w:name="_Toc15991537"/>
      <w:bookmarkStart w:id="34" w:name="_Toc194317398"/>
      <w:r>
        <w:rPr>
          <w:b/>
          <w:bCs/>
          <w:sz w:val="28"/>
          <w:szCs w:val="28"/>
        </w:rPr>
        <w:t>表9：项目工程分析与源项</w:t>
      </w:r>
      <w:bookmarkEnd w:id="33"/>
      <w:bookmarkEnd w:id="34"/>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7"/>
      </w:tblGrid>
      <w:tr w14:paraId="47C0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7A391D89">
            <w:pPr>
              <w:rPr>
                <w:rFonts w:eastAsia="黑体"/>
                <w:b/>
                <w:bCs/>
              </w:rPr>
            </w:pPr>
            <w:r>
              <w:rPr>
                <w:rFonts w:eastAsia="黑体"/>
                <w:b/>
                <w:bCs/>
              </w:rPr>
              <w:t>工程设备和工艺分析</w:t>
            </w:r>
          </w:p>
          <w:p w14:paraId="79143680">
            <w:pPr>
              <w:rPr>
                <w:rFonts w:eastAsia="黑体"/>
              </w:rPr>
            </w:pPr>
            <w:r>
              <w:rPr>
                <w:rFonts w:hint="eastAsia" w:eastAsia="黑体"/>
                <w:lang w:val="en-US" w:eastAsia="zh-CN"/>
              </w:rPr>
              <w:t>一</w:t>
            </w:r>
            <w:r>
              <w:rPr>
                <w:rFonts w:eastAsia="黑体"/>
              </w:rPr>
              <w:t>、负一层</w:t>
            </w:r>
            <w:r>
              <w:rPr>
                <w:rFonts w:hint="eastAsia" w:eastAsia="黑体"/>
                <w:lang w:val="en-US" w:eastAsia="zh-CN"/>
              </w:rPr>
              <w:t>核医学科</w:t>
            </w:r>
            <w:r>
              <w:rPr>
                <w:rFonts w:eastAsia="黑体"/>
              </w:rPr>
              <w:t>工程设备及工艺分析</w:t>
            </w:r>
          </w:p>
          <w:p w14:paraId="177BC42A">
            <w:pPr>
              <w:ind w:firstLine="480"/>
              <w:rPr>
                <w:rFonts w:hint="default" w:eastAsia="宋体"/>
                <w:b/>
                <w:bCs/>
                <w:lang w:val="en-US" w:eastAsia="zh-CN"/>
              </w:rPr>
            </w:pPr>
            <w:r>
              <w:t>负一层</w:t>
            </w:r>
            <w:r>
              <w:rPr>
                <w:rFonts w:hint="eastAsia"/>
                <w:lang w:val="en-US" w:eastAsia="zh-CN"/>
              </w:rPr>
              <w:t>核医学科</w:t>
            </w:r>
            <w:r>
              <w:t>涉及使用非密封放射性物质</w:t>
            </w:r>
            <w:r>
              <w:rPr>
                <w:bCs/>
                <w:highlight w:val="none"/>
              </w:rPr>
              <w:t>氟-18、镓-68、</w:t>
            </w:r>
            <w:r>
              <w:rPr>
                <w:rFonts w:hint="eastAsia"/>
                <w:bCs/>
                <w:highlight w:val="none"/>
                <w:lang w:val="en-US" w:eastAsia="zh-CN"/>
              </w:rPr>
              <w:t>锶</w:t>
            </w:r>
            <w:r>
              <w:rPr>
                <w:bCs/>
                <w:highlight w:val="none"/>
              </w:rPr>
              <w:t>-89</w:t>
            </w:r>
            <w:r>
              <w:rPr>
                <w:rFonts w:hint="eastAsia"/>
                <w:bCs/>
                <w:highlight w:val="none"/>
                <w:lang w:eastAsia="zh-CN"/>
              </w:rPr>
              <w:t>、</w:t>
            </w:r>
            <w:r>
              <w:rPr>
                <w:bCs/>
                <w:highlight w:val="none"/>
              </w:rPr>
              <w:t>锝-99m</w:t>
            </w:r>
            <w:r>
              <w:rPr>
                <w:rFonts w:hint="eastAsia"/>
                <w:bCs/>
                <w:highlight w:val="none"/>
                <w:lang w:eastAsia="zh-CN"/>
              </w:rPr>
              <w:t>、</w:t>
            </w:r>
            <w:r>
              <w:rPr>
                <w:bCs/>
                <w:highlight w:val="none"/>
              </w:rPr>
              <w:t>碘-1</w:t>
            </w:r>
            <w:r>
              <w:rPr>
                <w:rFonts w:hint="eastAsia"/>
                <w:bCs/>
                <w:highlight w:val="none"/>
                <w:lang w:val="en-US" w:eastAsia="zh-CN"/>
              </w:rPr>
              <w:t>31和磷-32</w:t>
            </w:r>
            <w:r>
              <w:rPr>
                <w:bCs/>
              </w:rPr>
              <w:t>，均</w:t>
            </w:r>
            <w:r>
              <w:t>由医院</w:t>
            </w:r>
            <w:r>
              <w:rPr>
                <w:rFonts w:hint="eastAsia"/>
                <w:lang w:val="en-US" w:eastAsia="zh-CN"/>
              </w:rPr>
              <w:t>外购成品药物</w:t>
            </w:r>
            <w:r>
              <w:t>，</w:t>
            </w:r>
            <w:r>
              <w:rPr>
                <w:bCs/>
              </w:rPr>
              <w:t>用于</w:t>
            </w:r>
            <w:r>
              <w:t>PET/CT、</w:t>
            </w:r>
            <w:r>
              <w:rPr>
                <w:rFonts w:hint="eastAsia"/>
                <w:lang w:val="en-US" w:eastAsia="zh-CN"/>
              </w:rPr>
              <w:t>SPECT/CT</w:t>
            </w:r>
            <w:r>
              <w:t>显像诊断</w:t>
            </w:r>
            <w:r>
              <w:rPr>
                <w:rFonts w:hint="eastAsia"/>
                <w:lang w:eastAsia="zh-CN"/>
              </w:rPr>
              <w:t>；</w:t>
            </w:r>
            <w:r>
              <w:rPr>
                <w:rFonts w:hint="eastAsia"/>
                <w:lang w:val="en-US" w:eastAsia="zh-CN"/>
              </w:rPr>
              <w:t>放射性核素治疗等</w:t>
            </w:r>
            <w:r>
              <w:rPr>
                <w:rFonts w:hint="eastAsia"/>
                <w:highlight w:val="none"/>
                <w:lang w:val="en-US" w:eastAsia="zh-CN"/>
              </w:rPr>
              <w:t>。</w:t>
            </w:r>
          </w:p>
          <w:p w14:paraId="022135E2">
            <w:pPr>
              <w:ind w:firstLine="482"/>
              <w:rPr>
                <w:rFonts w:hint="default" w:eastAsia="宋体"/>
                <w:b/>
                <w:bCs/>
                <w:lang w:val="en-US" w:eastAsia="zh-CN"/>
              </w:rPr>
            </w:pPr>
            <w:r>
              <w:rPr>
                <w:b/>
                <w:bCs/>
              </w:rPr>
              <w:t>1、</w:t>
            </w:r>
            <w:r>
              <w:rPr>
                <w:rFonts w:hint="eastAsia"/>
                <w:b/>
                <w:bCs/>
                <w:lang w:val="en-US" w:eastAsia="zh-CN"/>
              </w:rPr>
              <w:t>工艺原理</w:t>
            </w:r>
          </w:p>
          <w:p w14:paraId="56919C98">
            <w:pPr>
              <w:ind w:firstLine="482"/>
              <w:rPr>
                <w:b/>
                <w:bCs/>
              </w:rPr>
            </w:pPr>
            <w:r>
              <w:rPr>
                <w:rFonts w:hint="eastAsia"/>
                <w:b/>
                <w:bCs/>
                <w:lang w:eastAsia="zh-CN"/>
              </w:rPr>
              <w:t>（</w:t>
            </w:r>
            <w:r>
              <w:rPr>
                <w:rFonts w:hint="eastAsia"/>
                <w:b/>
                <w:bCs/>
                <w:lang w:val="en-US" w:eastAsia="zh-CN"/>
              </w:rPr>
              <w:t>1</w:t>
            </w:r>
            <w:r>
              <w:rPr>
                <w:rFonts w:hint="eastAsia"/>
                <w:b/>
                <w:bCs/>
                <w:lang w:eastAsia="zh-CN"/>
              </w:rPr>
              <w:t>）</w:t>
            </w:r>
            <w:r>
              <w:rPr>
                <w:b/>
                <w:bCs/>
              </w:rPr>
              <w:t>PET/CT</w:t>
            </w:r>
            <w:r>
              <w:rPr>
                <w:rFonts w:hint="eastAsia"/>
                <w:b/>
                <w:bCs/>
                <w:lang w:val="en-US" w:eastAsia="zh-CN"/>
              </w:rPr>
              <w:t>诊断</w:t>
            </w:r>
            <w:r>
              <w:rPr>
                <w:b/>
                <w:bCs/>
              </w:rPr>
              <w:t>工艺原理</w:t>
            </w:r>
          </w:p>
          <w:p w14:paraId="4F1CE289">
            <w:pPr>
              <w:ind w:firstLine="482"/>
              <w:rPr>
                <w:bCs/>
              </w:rPr>
            </w:pPr>
            <w:r>
              <w:rPr>
                <w:bCs/>
              </w:rPr>
              <w:t>PET即正电子扫描仪（Positron Emission Tomography）为分子影像设备。由于在核成像中要求能发射γ射线，原理是通过标记参与人体代谢的某些化合物的元素，把氟-18</w:t>
            </w:r>
            <w:r>
              <w:rPr>
                <w:rFonts w:hint="eastAsia"/>
                <w:bCs/>
                <w:lang w:val="en-US" w:eastAsia="zh-CN"/>
              </w:rPr>
              <w:t>和</w:t>
            </w:r>
            <w:r>
              <w:rPr>
                <w:bCs/>
              </w:rPr>
              <w:t>镓-68注入人体后成为稳定的化合物，在活体内参与细胞代谢。用这种正电子发射体取代正常和稳定元素，即形成了此类元素的化合物，此类化合物也是半衰期适合的天然化合物，当此类化合物的正电子与人体内的电子结合时，发生湮灭效应，产生两个能量相同而彼此运动相反的γ射线。根据人体不同部位吸收标记化合物能力的不同，同位素在人体内各部位的浓聚程度不同，湮灭反应产生光子的强度也不同。用环绕人体的γ射线检测器环列，用符合探测的方法能探测到随位置变化的符合计数，再经过符合计数技术，即可判定这一对γ光子辐射的轨迹线，该线经过湮灭源或称确定了这种多次蜕变作用的路径，按照一定规律被计算机采集下来。</w:t>
            </w:r>
          </w:p>
          <w:p w14:paraId="222B8DE5">
            <w:pPr>
              <w:ind w:firstLine="480"/>
            </w:pPr>
            <w:r>
              <w:rPr>
                <w:bCs/>
              </w:rPr>
              <w:t>PET/CT的工作原理是把PET和CT放在一起，利用体外的X射线穿透人体而获得三维解剖图像的断层成像技术，通过PET扫描和CT扫描重边，联合扫描，使两者的硬件和软件有机地结合在一起。工作时，其CT球管发射X线穿透人体组织，其探测器获得的数据不仅用于重建CT图像，同时提供给PET作为衰减校正的参数，在此基础上再进行PET图像的重建，所显示的图像为两者图像的融合的结果，即细胞的代谢显像和所处的解剖位置</w:t>
            </w:r>
            <w:r>
              <w:t>。</w:t>
            </w:r>
          </w:p>
          <w:p w14:paraId="4DFCD722">
            <w:pPr>
              <w:numPr>
                <w:ilvl w:val="0"/>
                <w:numId w:val="6"/>
              </w:numPr>
              <w:ind w:firstLine="482"/>
              <w:rPr>
                <w:rFonts w:hint="eastAsia"/>
                <w:b/>
                <w:bCs/>
                <w:lang w:val="en-US" w:eastAsia="zh-CN"/>
              </w:rPr>
            </w:pPr>
            <w:r>
              <w:rPr>
                <w:rFonts w:hint="eastAsia"/>
                <w:b/>
                <w:bCs/>
                <w:lang w:val="en-US" w:eastAsia="zh-CN"/>
              </w:rPr>
              <w:t>SPECT/CT诊断工艺原理</w:t>
            </w:r>
          </w:p>
          <w:p w14:paraId="0BC0E548">
            <w:pPr>
              <w:ind w:firstLine="480"/>
            </w:pPr>
            <w:r>
              <w:rPr>
                <w:lang w:bidi="ar"/>
              </w:rPr>
              <w:t>SPECT即单光子发射计算机断层成像术（Single-Photon Emission Computed</w:t>
            </w:r>
            <w:r>
              <w:t xml:space="preserve"> </w:t>
            </w:r>
            <w:r>
              <w:rPr>
                <w:lang w:bidi="ar"/>
              </w:rPr>
              <w:t>Tomography），本项目SPECT利用发射单光子的核素药物</w:t>
            </w:r>
            <w:r>
              <w:t>锝-99m</w:t>
            </w:r>
            <w:r>
              <w:rPr>
                <w:lang w:bidi="ar"/>
              </w:rPr>
              <w:t>进行检查。SPECT的基本结构分三部分，即旋转探头装置、电子线路、数据处理和图像重建的计算机系统。SPECT除显示肿瘤病灶外，尚可显示局部脏器功能的变化，广泛用于心、脑、肾、骨、肺等多种脏器疾患的显像检查。本项目SPECT使用</w:t>
            </w:r>
            <w:r>
              <w:t>锝-99m</w:t>
            </w:r>
            <w:r>
              <w:rPr>
                <w:lang w:bidi="ar"/>
              </w:rPr>
              <w:t>放射性核素，将放射性药物</w:t>
            </w:r>
            <w:r>
              <w:t>锝-99m</w:t>
            </w:r>
            <w:r>
              <w:rPr>
                <w:lang w:bidi="ar"/>
              </w:rPr>
              <w:t>引入人体，经代谢后在脏器内外或病变部位和正常组织之间形成放射性浓度差异，通过计算机处理再成像。SPECT的基本成像原理是γ照相机探头的每个灵敏点探测沿一条投影线进来的γ光子，其测量值代表人体在该投影线上的放射性之和。</w:t>
            </w:r>
          </w:p>
          <w:p w14:paraId="17162E93">
            <w:pPr>
              <w:widowControl/>
              <w:ind w:firstLine="480"/>
              <w:rPr>
                <w:lang w:bidi="ar"/>
              </w:rPr>
            </w:pPr>
            <w:r>
              <w:rPr>
                <w:lang w:bidi="ar"/>
              </w:rPr>
              <w:t>SPECT/CT的工作原理是把SPECT和CT放在一起，利用体外的X射线穿透人体而获得三维解剖图像的断层成像技术，通过SPECT扫描和CT扫描重边，联合扫描，使两者的硬件和软件有机地结合在一起。工作时，其CT球管发射X线穿透人体组织，其探测器获得的数据不仅用于重建CT图像，同时提供给SPECT作为衰减校正的参数，在此基础上再进行 SPECT图像的重建。所显示的图像为两者图像的融合的结果，即细胞的代谢显像和所处的解剖位置。</w:t>
            </w:r>
          </w:p>
          <w:p w14:paraId="584B4AF8">
            <w:pPr>
              <w:widowControl/>
              <w:tabs>
                <w:tab w:val="left" w:pos="1217"/>
              </w:tabs>
              <w:ind w:firstLine="480"/>
              <w:outlineLvl w:val="3"/>
              <w:rPr>
                <w:b/>
              </w:rPr>
            </w:pPr>
            <w:r>
              <w:rPr>
                <w:lang w:bidi="ar"/>
              </w:rPr>
              <w:t>本项目锝-99m放射性核素通过静脉注射和呼吸道吸入两种方式进入人体。其中呼吸道吸入是将锝-99m放射性药物置于肺通气给药装置中，使其充分雾化，产生雾粒大小合适的气溶胶，病人通过一次性施给器经呼吸道充分吸入后，可均匀分布并附着于小气道和肺泡，通过SPECT/CT采集后形成清晰的肺通气图像。由于放射性气溶胶在肺内分布与局部肺通气量成正比，可以评估肺的通气功能，了解气道通畅性以及肺泡与气体的交换功能。</w:t>
            </w:r>
          </w:p>
          <w:p w14:paraId="7CD35AD8">
            <w:pPr>
              <w:numPr>
                <w:ilvl w:val="0"/>
                <w:numId w:val="6"/>
              </w:numPr>
              <w:ind w:left="0" w:leftChars="0" w:firstLine="482" w:firstLineChars="0"/>
              <w:rPr>
                <w:rFonts w:hint="eastAsia"/>
                <w:lang w:val="en-US" w:eastAsia="zh-CN"/>
              </w:rPr>
            </w:pPr>
            <w:r>
              <w:rPr>
                <w:rFonts w:hint="eastAsia"/>
                <w:b/>
                <w:bCs/>
                <w:lang w:val="en-US" w:eastAsia="zh-CN"/>
              </w:rPr>
              <w:t>碘-131甲亢治疗工艺原理</w:t>
            </w:r>
          </w:p>
          <w:p w14:paraId="050A2DF0">
            <w:pPr>
              <w:ind w:firstLine="480"/>
              <w:rPr>
                <w:b/>
                <w:bCs/>
              </w:rPr>
            </w:pPr>
            <w:r>
              <w:t>甲状腺具有高度选择性摄取碘-131的能力，功能亢进的甲状腺组织摄取量将更多，可高达血浆的几百倍，且在甲状腺内停留的时间较长，有效半衰期可达7.6天。在患者服用碘-131后，90%以上的碘-131都会聚集到患者的甲状腺，其余的碘-131随代谢排出体外。碘-131衰变为氙-131时放射出95%的β射线，该射线能量低，在甲状腺内的平均射程仅有0.5mm，一般不会造成甲状腺周围组织例如甲状旁腺、喉返神经等的辐射损伤。因此，碘-131治疗可使部分甲状腺组织受到β射线的集中照射，使部分甲状腺细胞发炎症、萎缩、直至功能丧失，从而减少甲状腺激素的分泌，使亢进的功能恢复正常，达到治疗的目的。</w:t>
            </w:r>
          </w:p>
          <w:p w14:paraId="203F65BF">
            <w:pPr>
              <w:numPr>
                <w:ilvl w:val="0"/>
                <w:numId w:val="6"/>
              </w:numPr>
              <w:ind w:left="0" w:leftChars="0" w:firstLine="482" w:firstLineChars="0"/>
              <w:rPr>
                <w:rFonts w:hint="default"/>
                <w:lang w:val="en-US" w:eastAsia="zh-CN"/>
              </w:rPr>
            </w:pPr>
            <w:r>
              <w:rPr>
                <w:rFonts w:hint="eastAsia"/>
                <w:b/>
                <w:bCs/>
                <w:lang w:val="en-US" w:eastAsia="zh-CN"/>
              </w:rPr>
              <w:t>碘-131甲状腺吸收率测定</w:t>
            </w:r>
            <w:r>
              <w:rPr>
                <w:b/>
                <w:bCs/>
              </w:rPr>
              <w:t>（甲吸测定）</w:t>
            </w:r>
            <w:r>
              <w:rPr>
                <w:rFonts w:hint="eastAsia"/>
                <w:b/>
                <w:bCs/>
                <w:lang w:val="en-US" w:eastAsia="zh-CN"/>
              </w:rPr>
              <w:t>工艺原理</w:t>
            </w:r>
          </w:p>
          <w:p w14:paraId="056CA5DC">
            <w:pPr>
              <w:ind w:firstLine="480"/>
              <w:rPr>
                <w:b/>
                <w:bCs/>
              </w:rPr>
            </w:pPr>
            <w:r>
              <w:t>甲状腺吸碘功能测定简称为甲吸。甲状腺具有选择性摄取和浓聚碘的功能，其摄碘的速度和数量以及碘在甲状腺的停留时间，均取决于甲状腺的功能状态。食物中的碘为碘-127，而碘-131为其同位素，具有相同的理化性质，但碘-131具有放射性，在其衰变时发出γ射线。因此，给检查者口服一定量的碘-131后，即被甲状腺所摄取，在体外用特定的γ射线探测仪就可测得甲状腺对碘-131的吸收情况，从而判断甲状腺的功能状况。</w:t>
            </w:r>
          </w:p>
          <w:p w14:paraId="4D73C99E">
            <w:pPr>
              <w:numPr>
                <w:ilvl w:val="0"/>
                <w:numId w:val="6"/>
              </w:numPr>
              <w:ind w:left="0" w:leftChars="0" w:firstLine="482" w:firstLineChars="0"/>
              <w:rPr>
                <w:rFonts w:hint="eastAsia"/>
                <w:b/>
                <w:bCs/>
                <w:lang w:val="en-US" w:eastAsia="zh-CN"/>
              </w:rPr>
            </w:pPr>
            <w:r>
              <w:rPr>
                <w:rFonts w:hint="eastAsia"/>
                <w:b/>
                <w:bCs/>
                <w:lang w:val="en-US" w:eastAsia="zh-CN"/>
              </w:rPr>
              <w:t>锶-89骨转移癌治疗工艺原理</w:t>
            </w:r>
          </w:p>
          <w:p w14:paraId="103AC4D6">
            <w:pPr>
              <w:pStyle w:val="20"/>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eastAsia"/>
                <w:lang w:val="en-US" w:eastAsia="zh-CN"/>
              </w:rPr>
            </w:pPr>
            <w:r>
              <w:t>锶-89放射性药物主要用于缓解前列腺癌、乳腺癌、肺癌、鼻咽癌、神经内分泌肿瘤等晚期恶性肿瘤骨转移所致骨痛，用于治疗肿瘤转移的放射性药物都是趋骨性的，骨组织代谢活跃的部分浓聚更多的放射性药物。骨肿瘤病灶部位由于骨组织受到破坏，成骨细胞的修复作用极其活跃，所以浓聚大量的放射性药物。由于不是肿瘤细胞直接浓聚放射性药物，是肿瘤部位骨组织代谢活跃形成的放射性药物浓聚，因此是一种间接的浓聚机制。骨肿瘤病灶浓聚的放射性药物靶/非靶比值很高，非密封放射性物质衰变过程中发射β射线，辐射作用引起肿瘤组织内毛细血管扩张、水肿，细胞结构不清；染色体淡或固缩，炎细胞浸润；进一步肿瘤细胞核消失或空泡形成，坏死或纤维化形成，从而治疗骨肿瘤。</w:t>
            </w:r>
          </w:p>
          <w:p w14:paraId="6AC753DB">
            <w:pPr>
              <w:numPr>
                <w:ilvl w:val="0"/>
                <w:numId w:val="6"/>
              </w:numPr>
              <w:ind w:left="0" w:leftChars="0" w:firstLine="482" w:firstLineChars="0"/>
              <w:rPr>
                <w:rFonts w:hint="eastAsia"/>
                <w:b/>
                <w:bCs/>
                <w:lang w:val="en-US" w:eastAsia="zh-CN"/>
              </w:rPr>
            </w:pPr>
            <w:r>
              <w:rPr>
                <w:rFonts w:hint="eastAsia"/>
                <w:b/>
                <w:bCs/>
                <w:lang w:val="en-US" w:eastAsia="zh-CN"/>
              </w:rPr>
              <w:t>磷-32敷贴治疗工艺原理</w:t>
            </w:r>
          </w:p>
          <w:p w14:paraId="53D037AD">
            <w:pPr>
              <w:pStyle w:val="20"/>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sz w:val="24"/>
                <w:szCs w:val="24"/>
              </w:rPr>
            </w:pPr>
            <w:r>
              <w:rPr>
                <w:rFonts w:hint="default" w:ascii="Times New Roman" w:hAnsi="Times New Roman" w:cs="Times New Roman"/>
                <w:b w:val="0"/>
                <w:bCs w:val="0"/>
                <w:lang w:val="en-US" w:eastAsia="zh-CN"/>
              </w:rPr>
              <w:t>磷-32</w:t>
            </w:r>
            <w:r>
              <w:rPr>
                <w:rFonts w:hint="default" w:ascii="Times New Roman" w:hAnsi="Times New Roman" w:eastAsia="宋体" w:cs="Times New Roman"/>
                <w:sz w:val="24"/>
                <w:szCs w:val="24"/>
              </w:rPr>
              <w:t>是一种纯β</w:t>
            </w:r>
            <w:r>
              <w:rPr>
                <w:rFonts w:hint="default" w:ascii="Times New Roman" w:hAnsi="Times New Roman" w:eastAsia="宋体" w:cs="Times New Roman"/>
                <w:sz w:val="24"/>
                <w:szCs w:val="24"/>
                <w:vertAlign w:val="superscript"/>
              </w:rPr>
              <w:t>﹣</w:t>
            </w:r>
            <w:r>
              <w:rPr>
                <w:rFonts w:hint="default" w:ascii="Times New Roman" w:hAnsi="Times New Roman" w:eastAsia="宋体" w:cs="Times New Roman"/>
                <w:sz w:val="24"/>
                <w:szCs w:val="24"/>
              </w:rPr>
              <w:t>射线源，其半衰期为14.26天。</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P敷贴器为自行制备，制备方法：取专用滤纸，剪成与患者病变区大小相当或常用的各种不同面积（如25、200cm2），将Na</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H</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PO</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sz w:val="24"/>
                <w:szCs w:val="24"/>
              </w:rPr>
              <w:t>溶液滴在滤纸上1~2mCi/cm</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sz w:val="24"/>
                <w:szCs w:val="24"/>
              </w:rPr>
              <w:t>，晾干（或红外烤干），再用塑料薄膜套封即成。</w:t>
            </w:r>
          </w:p>
          <w:p w14:paraId="60B61A5F">
            <w:pPr>
              <w:keepNext w:val="0"/>
              <w:keepLines w:val="0"/>
              <w:pageBreakBefore w:val="0"/>
              <w:widowControl w:val="0"/>
              <w:kinsoku/>
              <w:wordWrap/>
              <w:overflowPunct/>
              <w:topLinePunct w:val="0"/>
              <w:autoSpaceDE/>
              <w:autoSpaceDN/>
              <w:bidi w:val="0"/>
              <w:adjustRightInd/>
              <w:snapToGrid/>
              <w:ind w:left="0" w:firstLine="480" w:firstLineChars="200"/>
              <w:textAlignment w:val="auto"/>
              <w:rPr>
                <w:rFonts w:hint="default" w:ascii="Times New Roman" w:hAnsi="Times New Roman" w:cs="Times New Roman"/>
                <w:lang w:val="en-US" w:eastAsia="zh-CN"/>
              </w:rPr>
            </w:pPr>
            <w:r>
              <w:rPr>
                <w:rFonts w:hint="default" w:ascii="Times New Roman" w:hAnsi="Times New Roman" w:eastAsia="宋体" w:cs="Times New Roman"/>
                <w:sz w:val="24"/>
                <w:szCs w:val="24"/>
              </w:rPr>
              <w:t>该项目使用</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P敷贴治疗瘢痕疙瘩和皮肤血管瘤，其原理是使用</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P敷贴源发射的β射线对表浅的瘢痕疙瘩和皮肤血管瘤病变进行外照射治疗，将</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敷贴源按病变形状和大小制成专用的敷贴器，把敷贴器紧贴于病变的表面，对表浅病变进行外照射治疗。增生的瘢痕疙瘩经辐照后细胞分裂速度变慢使病变得以控制，从而达到治疗目的；皮肤血管瘤病变对β射线较敏感，经电离辐射作用，微血管发生萎缩、闭塞等退行性改变而获得治愈。</w:t>
            </w:r>
          </w:p>
          <w:p w14:paraId="5774DC10">
            <w:pPr>
              <w:ind w:firstLine="482"/>
              <w:rPr>
                <w:rFonts w:hint="default"/>
                <w:b/>
                <w:bCs/>
                <w:lang w:val="en-US" w:eastAsia="zh-CN"/>
              </w:rPr>
            </w:pPr>
            <w:r>
              <w:rPr>
                <w:rFonts w:hint="eastAsia"/>
                <w:b/>
                <w:bCs/>
                <w:lang w:val="en-US" w:eastAsia="zh-CN"/>
              </w:rPr>
              <w:t>2、</w:t>
            </w:r>
            <w:r>
              <w:rPr>
                <w:b/>
                <w:bCs/>
              </w:rPr>
              <w:t>工艺流程及产污环节</w:t>
            </w:r>
          </w:p>
          <w:p w14:paraId="282E2BFB">
            <w:pPr>
              <w:ind w:firstLine="482"/>
              <w:rPr>
                <w:b/>
                <w:bCs/>
              </w:rPr>
            </w:pPr>
            <w:r>
              <w:rPr>
                <w:rFonts w:hint="eastAsia"/>
                <w:b/>
                <w:bCs/>
                <w:lang w:val="en-US" w:eastAsia="zh-CN"/>
              </w:rPr>
              <w:t>（1）PET/CT诊断</w:t>
            </w:r>
            <w:r>
              <w:rPr>
                <w:b/>
                <w:bCs/>
              </w:rPr>
              <w:t>流程及产污环节</w:t>
            </w:r>
            <w:r>
              <w:rPr>
                <w:rFonts w:hint="eastAsia"/>
                <w:b/>
                <w:bCs/>
                <w:lang w:val="en-US" w:eastAsia="zh-CN"/>
              </w:rPr>
              <w:t>：</w:t>
            </w:r>
          </w:p>
          <w:p w14:paraId="0E59F38F">
            <w:pPr>
              <w:ind w:firstLine="480"/>
            </w:pPr>
            <w:r>
              <w:fldChar w:fldCharType="begin"/>
            </w:r>
            <w:r>
              <w:instrText xml:space="preserve"> = 1 \* GB3 </w:instrText>
            </w:r>
            <w:r>
              <w:fldChar w:fldCharType="separate"/>
            </w:r>
            <w:r>
              <w:t>①</w:t>
            </w:r>
            <w:r>
              <w:fldChar w:fldCharType="end"/>
            </w:r>
            <w:r>
              <w:t>订药：根据病人的需要进行预订，制定</w:t>
            </w:r>
            <w:r>
              <w:rPr>
                <w:rFonts w:hint="eastAsia"/>
                <w:lang w:val="en-US" w:eastAsia="zh-CN"/>
              </w:rPr>
              <w:t>购</w:t>
            </w:r>
            <w:r>
              <w:t>药计划，由</w:t>
            </w:r>
            <w:r>
              <w:rPr>
                <w:rFonts w:hint="eastAsia"/>
                <w:lang w:val="en-US" w:eastAsia="zh-CN"/>
              </w:rPr>
              <w:t>供应商</w:t>
            </w:r>
            <w:r>
              <w:t>通过</w:t>
            </w:r>
            <w:r>
              <w:rPr>
                <w:rFonts w:hint="eastAsia"/>
                <w:lang w:val="en-US" w:eastAsia="zh-CN"/>
              </w:rPr>
              <w:t>负一层地下停车场</w:t>
            </w:r>
            <w:r>
              <w:t>专用</w:t>
            </w:r>
            <w:r>
              <w:rPr>
                <w:rFonts w:hint="eastAsia"/>
                <w:lang w:val="en-US" w:eastAsia="zh-CN"/>
              </w:rPr>
              <w:t>药物运输通道</w:t>
            </w:r>
            <w:r>
              <w:t>运</w:t>
            </w:r>
            <w:r>
              <w:rPr>
                <w:rFonts w:hint="eastAsia"/>
                <w:lang w:val="en-US" w:eastAsia="zh-CN"/>
              </w:rPr>
              <w:t>送</w:t>
            </w:r>
            <w:r>
              <w:t>至负一层</w:t>
            </w:r>
            <w:r>
              <w:rPr>
                <w:rFonts w:hint="eastAsia"/>
                <w:lang w:val="en-US" w:eastAsia="zh-CN"/>
              </w:rPr>
              <w:t>核医学科源库1#</w:t>
            </w:r>
            <w:r>
              <w:t>。</w:t>
            </w:r>
          </w:p>
          <w:p w14:paraId="2BE17158">
            <w:pPr>
              <w:ind w:firstLine="480"/>
            </w:pPr>
            <w:r>
              <w:fldChar w:fldCharType="begin"/>
            </w:r>
            <w:r>
              <w:instrText xml:space="preserve"> = 2 \* GB3 </w:instrText>
            </w:r>
            <w:r>
              <w:fldChar w:fldCharType="separate"/>
            </w:r>
            <w:r>
              <w:t>②</w:t>
            </w:r>
            <w:r>
              <w:fldChar w:fldCharType="end"/>
            </w:r>
            <w:r>
              <w:t>分装：工作人员（做好防护措施，穿铅衣、铅帽等）将装有放射性核素的铅罐放置于分装室</w:t>
            </w:r>
            <w:r>
              <w:rPr>
                <w:rFonts w:hint="eastAsia"/>
                <w:lang w:val="en-US" w:eastAsia="zh-CN"/>
              </w:rPr>
              <w:t>1#</w:t>
            </w:r>
            <w:r>
              <w:t>的手套箱（60mmPb）中进行分装，并测量其活度，将分装好的放射性药物装于</w:t>
            </w:r>
            <w:r>
              <w:rPr>
                <w:bCs/>
              </w:rPr>
              <w:t>外套10mm铅当量铅套的注射器内，注射器装于20mm铅当量铅盒中</w:t>
            </w:r>
            <w:r>
              <w:t>转至注射窗口。单人份的药物分装、测量活度时间平均约0.5min。</w:t>
            </w:r>
          </w:p>
          <w:p w14:paraId="02C5FFE2">
            <w:pPr>
              <w:ind w:firstLine="480"/>
            </w:pPr>
            <w:r>
              <w:fldChar w:fldCharType="begin"/>
            </w:r>
            <w:r>
              <w:instrText xml:space="preserve"> = 3 \* GB3 </w:instrText>
            </w:r>
            <w:r>
              <w:fldChar w:fldCharType="separate"/>
            </w:r>
            <w:r>
              <w:t>③</w:t>
            </w:r>
            <w:r>
              <w:fldChar w:fldCharType="end"/>
            </w:r>
            <w:r>
              <w:t>注射：病人给药采用注射方式进行给药，注射药物时，工作人员隔着注射窗（50mmPb）对病人进行注射。单个病人注射时间约0.5min。</w:t>
            </w:r>
          </w:p>
          <w:p w14:paraId="00F63C73">
            <w:pPr>
              <w:ind w:firstLine="480"/>
            </w:pPr>
            <w:r>
              <w:fldChar w:fldCharType="begin"/>
            </w:r>
            <w:r>
              <w:instrText xml:space="preserve"> = 4 \* GB3 </w:instrText>
            </w:r>
            <w:r>
              <w:fldChar w:fldCharType="separate"/>
            </w:r>
            <w:r>
              <w:t>④</w:t>
            </w:r>
            <w:r>
              <w:fldChar w:fldCharType="end"/>
            </w:r>
            <w:r>
              <w:t>候检、显像、留观：病人注射后，进入</w:t>
            </w:r>
            <w:r>
              <w:rPr>
                <w:rFonts w:hint="eastAsia"/>
                <w:bCs/>
                <w:lang w:val="en-US" w:eastAsia="zh-CN"/>
              </w:rPr>
              <w:t>PET注射后等候室</w:t>
            </w:r>
            <w:r>
              <w:t>内候检，观察等待时间约30min，期间禁止人员陪护，病人不得离开</w:t>
            </w:r>
            <w:r>
              <w:rPr>
                <w:rFonts w:hint="eastAsia"/>
                <w:lang w:val="en-US" w:eastAsia="zh-CN"/>
              </w:rPr>
              <w:t>PET</w:t>
            </w:r>
            <w:r>
              <w:t>注射后等候室；然后进入PET/CT机房进行显像诊断，诊断时间约20min，该过程医生需进入机房对病人进行摆位，摆位时间约1min。诊断结束后，病人在留观室留观5min可离开。</w:t>
            </w:r>
          </w:p>
          <w:p w14:paraId="0179B5DD">
            <w:pPr>
              <w:ind w:firstLine="480"/>
            </w:pPr>
            <w:r>
              <w:fldChar w:fldCharType="begin"/>
            </w:r>
            <w:r>
              <w:instrText xml:space="preserve"> = 5 \* GB3 </w:instrText>
            </w:r>
            <w:r>
              <w:fldChar w:fldCharType="separate"/>
            </w:r>
            <w:r>
              <w:t>⑤</w:t>
            </w:r>
            <w:r>
              <w:fldChar w:fldCharType="end"/>
            </w:r>
            <w:r>
              <w:t>校准：为确保PET/CT机架图像配准，保证图像融合精度，每月需进行一次校准，单次校准时间30min。</w:t>
            </w:r>
          </w:p>
          <w:p w14:paraId="35429E98">
            <w:pPr>
              <w:ind w:firstLine="480"/>
            </w:pPr>
            <w:r>
              <w:t>负一层</w:t>
            </w:r>
            <w:r>
              <w:rPr>
                <w:rFonts w:hint="eastAsia"/>
                <w:lang w:val="en-US" w:eastAsia="zh-CN"/>
              </w:rPr>
              <w:t>PET/CT</w:t>
            </w:r>
            <w:r>
              <w:t>显像诊断流程见图9-</w:t>
            </w:r>
            <w:r>
              <w:rPr>
                <w:rFonts w:hint="eastAsia"/>
              </w:rPr>
              <w:t>10</w:t>
            </w:r>
            <w:r>
              <w:t>。</w:t>
            </w:r>
          </w:p>
          <w:p w14:paraId="57CB0697">
            <w:pPr>
              <w:spacing w:line="240" w:lineRule="auto"/>
              <w:jc w:val="center"/>
            </w:pPr>
            <w:r>
              <w:drawing>
                <wp:inline distT="0" distB="0" distL="114300" distR="114300">
                  <wp:extent cx="3046730" cy="4415790"/>
                  <wp:effectExtent l="0" t="0" r="1270" b="3810"/>
                  <wp:docPr id="13" name="F360BE8B-6686-4F3D-AEAF-501FE73E4058-1" descr="C:/Users/Admin/AppData/Local/Temp/绘图1(2).png绘图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360BE8B-6686-4F3D-AEAF-501FE73E4058-1" descr="C:/Users/Admin/AppData/Local/Temp/绘图1(2).png绘图1(2)"/>
                          <pic:cNvPicPr>
                            <a:picLocks noChangeAspect="1"/>
                          </pic:cNvPicPr>
                        </pic:nvPicPr>
                        <pic:blipFill>
                          <a:blip r:embed="rId16"/>
                          <a:stretch>
                            <a:fillRect/>
                          </a:stretch>
                        </pic:blipFill>
                        <pic:spPr>
                          <a:xfrm>
                            <a:off x="0" y="0"/>
                            <a:ext cx="3046730" cy="4415790"/>
                          </a:xfrm>
                          <a:prstGeom prst="rect">
                            <a:avLst/>
                          </a:prstGeom>
                        </pic:spPr>
                      </pic:pic>
                    </a:graphicData>
                  </a:graphic>
                </wp:inline>
              </w:drawing>
            </w:r>
          </w:p>
          <w:p w14:paraId="22C8A4F3">
            <w:pPr>
              <w:pStyle w:val="55"/>
              <w:ind w:firstLine="210"/>
              <w:jc w:val="center"/>
            </w:pPr>
            <w:r>
              <w:rPr>
                <w:rFonts w:eastAsia="黑体"/>
                <w:bCs/>
                <w:sz w:val="21"/>
                <w:szCs w:val="21"/>
                <w:lang w:val="zh-CN"/>
              </w:rPr>
              <w:t>图9-</w:t>
            </w:r>
            <w:r>
              <w:rPr>
                <w:rFonts w:hint="eastAsia" w:eastAsia="黑体"/>
                <w:bCs/>
                <w:sz w:val="21"/>
                <w:szCs w:val="21"/>
              </w:rPr>
              <w:t>1</w:t>
            </w:r>
            <w:r>
              <w:rPr>
                <w:rFonts w:eastAsia="黑体"/>
                <w:bCs/>
                <w:sz w:val="21"/>
                <w:szCs w:val="21"/>
                <w:lang w:val="zh-CN"/>
              </w:rPr>
              <w:t xml:space="preserve">  </w:t>
            </w:r>
            <w:r>
              <w:rPr>
                <w:rFonts w:hint="eastAsia" w:eastAsia="黑体"/>
                <w:bCs/>
                <w:sz w:val="21"/>
                <w:szCs w:val="21"/>
                <w:lang w:val="en-US" w:eastAsia="zh-CN"/>
              </w:rPr>
              <w:t>PET/CT</w:t>
            </w:r>
            <w:r>
              <w:rPr>
                <w:rFonts w:eastAsia="黑体"/>
                <w:bCs/>
                <w:sz w:val="21"/>
                <w:szCs w:val="21"/>
                <w:lang w:val="zh-CN"/>
              </w:rPr>
              <w:t>显像诊断工艺流程及产污环节图</w:t>
            </w:r>
          </w:p>
          <w:p w14:paraId="5399AFFA">
            <w:pPr>
              <w:ind w:firstLine="482"/>
              <w:rPr>
                <w:b/>
                <w:bCs/>
              </w:rPr>
            </w:pPr>
            <w:r>
              <w:rPr>
                <w:rFonts w:hint="eastAsia"/>
                <w:b/>
                <w:bCs/>
                <w:lang w:val="en-US" w:eastAsia="zh-CN"/>
              </w:rPr>
              <w:t>（2）SPECT/CT诊断</w:t>
            </w:r>
            <w:r>
              <w:rPr>
                <w:b/>
                <w:bCs/>
              </w:rPr>
              <w:t>流程及产污环节</w:t>
            </w:r>
            <w:r>
              <w:rPr>
                <w:rFonts w:hint="eastAsia"/>
                <w:b/>
                <w:bCs/>
                <w:lang w:val="en-US" w:eastAsia="zh-CN"/>
              </w:rPr>
              <w:t>：</w:t>
            </w:r>
          </w:p>
          <w:p w14:paraId="7F94E42C">
            <w:pPr>
              <w:widowControl/>
              <w:ind w:firstLine="482"/>
            </w:pPr>
            <w:r>
              <w:rPr>
                <w:b/>
                <w:bCs/>
              </w:rPr>
              <w:fldChar w:fldCharType="begin"/>
            </w:r>
            <w:r>
              <w:rPr>
                <w:b/>
                <w:bCs/>
              </w:rPr>
              <w:instrText xml:space="preserve"> = 1 \* GB3 </w:instrText>
            </w:r>
            <w:r>
              <w:rPr>
                <w:b/>
                <w:bCs/>
              </w:rPr>
              <w:fldChar w:fldCharType="separate"/>
            </w:r>
            <w:r>
              <w:rPr>
                <w:b/>
                <w:bCs/>
              </w:rPr>
              <w:t>①</w:t>
            </w:r>
            <w:r>
              <w:rPr>
                <w:b/>
                <w:bCs/>
              </w:rPr>
              <w:fldChar w:fldCharType="end"/>
            </w:r>
            <w:r>
              <w:rPr>
                <w:b/>
                <w:bCs/>
              </w:rPr>
              <w:t>测量活度</w:t>
            </w:r>
            <w:r>
              <w:rPr>
                <w:b/>
                <w:bCs/>
                <w:lang w:bidi="ar"/>
              </w:rPr>
              <w:t>：</w:t>
            </w:r>
            <w:r>
              <w:rPr>
                <w:lang w:bidi="ar"/>
              </w:rPr>
              <w:t>本项目</w:t>
            </w:r>
            <w:r>
              <w:t>非密封放射性物质锝-99m为</w:t>
            </w:r>
            <w:r>
              <w:rPr>
                <w:lang w:bidi="ar"/>
              </w:rPr>
              <w:t>成品针剂药物，工作人员注射前无需额外分装。根据《核医学放射防护要求》（GBZ120-2020），应对外购的按人份分装的放射性药物活度进行抽样检测，抽样率不应小于10%。给药前，本项目抽取10%的针剂（即10人份），在手套箱内的活度计测活度，确定药物活度实测值与期望值的偏差不大于±10%后方才进行注射。锝-99m一批药物抽检时间约为5min。</w:t>
            </w:r>
          </w:p>
          <w:p w14:paraId="6F66EA27">
            <w:pPr>
              <w:ind w:firstLine="482"/>
              <w:rPr>
                <w:lang w:bidi="ar"/>
              </w:rPr>
            </w:pPr>
            <w:r>
              <w:rPr>
                <w:b/>
                <w:bCs/>
              </w:rPr>
              <w:fldChar w:fldCharType="begin"/>
            </w:r>
            <w:r>
              <w:rPr>
                <w:b/>
                <w:bCs/>
              </w:rPr>
              <w:instrText xml:space="preserve"> = 2 \* GB3 </w:instrText>
            </w:r>
            <w:r>
              <w:rPr>
                <w:b/>
                <w:bCs/>
              </w:rPr>
              <w:fldChar w:fldCharType="separate"/>
            </w:r>
            <w:r>
              <w:rPr>
                <w:b/>
                <w:bCs/>
              </w:rPr>
              <w:t>②</w:t>
            </w:r>
            <w:r>
              <w:rPr>
                <w:b/>
                <w:bCs/>
              </w:rPr>
              <w:fldChar w:fldCharType="end"/>
            </w:r>
            <w:r>
              <w:rPr>
                <w:b/>
                <w:bCs/>
              </w:rPr>
              <w:t>给药</w:t>
            </w:r>
            <w:r>
              <w:rPr>
                <w:b/>
                <w:bCs/>
                <w:lang w:bidi="ar"/>
              </w:rPr>
              <w:t>：</w:t>
            </w:r>
            <w:r>
              <w:rPr>
                <w:lang w:bidi="ar"/>
              </w:rPr>
              <w:t>在注射窗口/肺通气室进行给药。</w:t>
            </w:r>
          </w:p>
          <w:p w14:paraId="1059FB01">
            <w:pPr>
              <w:ind w:firstLine="482"/>
              <w:rPr>
                <w:lang w:bidi="ar"/>
              </w:rPr>
            </w:pPr>
            <w:r>
              <w:rPr>
                <w:b/>
                <w:bCs/>
                <w:lang w:bidi="ar"/>
              </w:rPr>
              <w:t>锝-99m（注射）病人：</w:t>
            </w:r>
            <w:r>
              <w:rPr>
                <w:lang w:bidi="ar"/>
              </w:rPr>
              <w:t>工作人员</w:t>
            </w:r>
            <w:r>
              <w:rPr>
                <w:bCs/>
                <w:lang w:bidi="ar"/>
              </w:rPr>
              <w:t>（做好防护措施，穿铅衣、铅围脖等）</w:t>
            </w:r>
            <w:r>
              <w:rPr>
                <w:lang w:bidi="ar"/>
              </w:rPr>
              <w:t>将装有放射性药物的</w:t>
            </w:r>
            <w:r>
              <w:rPr>
                <w:bCs/>
                <w:lang w:bidi="ar"/>
              </w:rPr>
              <w:t>注射器</w:t>
            </w:r>
            <w:r>
              <w:rPr>
                <w:lang w:bidi="ar"/>
              </w:rPr>
              <w:t>（带防护铅套）</w:t>
            </w:r>
            <w:r>
              <w:rPr>
                <w:bCs/>
                <w:lang w:bidi="ar"/>
              </w:rPr>
              <w:t>置于</w:t>
            </w:r>
            <w:r>
              <w:rPr>
                <w:lang w:bidi="ar"/>
              </w:rPr>
              <w:t>转运铅盒，转移至注射窗口，注射窗口操作台安装防护装置。注射药物时，工作人员从转运铅盒内吸取药物进行注射</w:t>
            </w:r>
            <w:r>
              <w:rPr>
                <w:lang w:val="zh-CN"/>
              </w:rPr>
              <w:t>，</w:t>
            </w:r>
            <w:r>
              <w:rPr>
                <w:bCs/>
              </w:rPr>
              <w:t>单个病人单次给药时间约0.5min，</w:t>
            </w:r>
            <w:r>
              <w:rPr>
                <w:lang w:bidi="ar"/>
              </w:rPr>
              <w:t>锝-99m</w:t>
            </w:r>
            <w:r>
              <w:rPr>
                <w:bCs/>
                <w:szCs w:val="21"/>
                <w:lang w:bidi="ar"/>
              </w:rPr>
              <w:t>（注射）</w:t>
            </w:r>
            <w:r>
              <w:rPr>
                <w:lang w:bidi="ar"/>
              </w:rPr>
              <w:t>单个病人最大用量20mCi，日最大病人量</w:t>
            </w:r>
            <w:r>
              <w:rPr>
                <w:rFonts w:hint="eastAsia"/>
                <w:lang w:val="en-US" w:eastAsia="zh-CN" w:bidi="ar"/>
              </w:rPr>
              <w:t>30</w:t>
            </w:r>
            <w:r>
              <w:rPr>
                <w:lang w:bidi="ar"/>
              </w:rPr>
              <w:t>人。</w:t>
            </w:r>
          </w:p>
          <w:p w14:paraId="00432961">
            <w:pPr>
              <w:ind w:firstLine="482"/>
            </w:pPr>
            <w:r>
              <w:rPr>
                <w:b/>
                <w:bCs/>
              </w:rPr>
              <w:fldChar w:fldCharType="begin"/>
            </w:r>
            <w:r>
              <w:rPr>
                <w:b/>
                <w:bCs/>
              </w:rPr>
              <w:instrText xml:space="preserve"> = 3 \* GB3 </w:instrText>
            </w:r>
            <w:r>
              <w:rPr>
                <w:b/>
                <w:bCs/>
              </w:rPr>
              <w:fldChar w:fldCharType="separate"/>
            </w:r>
            <w:r>
              <w:rPr>
                <w:b/>
                <w:bCs/>
              </w:rPr>
              <w:t>③</w:t>
            </w:r>
            <w:r>
              <w:rPr>
                <w:b/>
                <w:bCs/>
              </w:rPr>
              <w:fldChar w:fldCharType="end"/>
            </w:r>
            <w:r>
              <w:rPr>
                <w:b/>
                <w:bCs/>
                <w:lang w:bidi="ar"/>
              </w:rPr>
              <w:t>候检、显像</w:t>
            </w:r>
            <w:r>
              <w:rPr>
                <w:bCs/>
                <w:lang w:bidi="ar"/>
              </w:rPr>
              <w:t>：</w:t>
            </w:r>
            <w:r>
              <w:rPr>
                <w:lang w:bidi="ar"/>
              </w:rPr>
              <w:t>病人</w:t>
            </w:r>
            <w:r>
              <w:rPr>
                <w:bCs/>
                <w:lang w:bidi="ar"/>
              </w:rPr>
              <w:t>给药后，在</w:t>
            </w:r>
            <w:r>
              <w:rPr>
                <w:lang w:bidi="ar"/>
              </w:rPr>
              <w:t>注射后等候室</w:t>
            </w:r>
            <w:r>
              <w:rPr>
                <w:bCs/>
                <w:lang w:bidi="ar"/>
              </w:rPr>
              <w:t>候检，</w:t>
            </w:r>
            <w:r>
              <w:rPr>
                <w:lang w:bidi="ar"/>
              </w:rPr>
              <w:t>观察等待时间约30min，进入SPECT/CT机房显像诊断。显像过程中，医生需进入机房进行摆位，摆位时间约1min。整个扫描过程（20min）完成后，病人在留观室留观一定时间（5min）后可直接离开。</w:t>
            </w:r>
          </w:p>
          <w:p w14:paraId="29F3BD9E">
            <w:pPr>
              <w:ind w:firstLine="480"/>
              <w:rPr>
                <w:lang w:bidi="ar"/>
              </w:rPr>
            </w:pPr>
            <w:r>
              <w:rPr>
                <w:lang w:bidi="ar"/>
              </w:rPr>
              <w:t>显像诊断工艺流程及产污环节见图9-</w:t>
            </w:r>
            <w:r>
              <w:rPr>
                <w:rFonts w:hint="eastAsia"/>
                <w:lang w:bidi="ar"/>
              </w:rPr>
              <w:t>2</w:t>
            </w:r>
            <w:r>
              <w:rPr>
                <w:lang w:bidi="ar"/>
              </w:rPr>
              <w:t>。</w:t>
            </w:r>
          </w:p>
          <w:p w14:paraId="174E09FF">
            <w:pPr>
              <w:pStyle w:val="55"/>
              <w:rPr>
                <w:lang w:bidi="ar"/>
              </w:rPr>
            </w:pPr>
          </w:p>
          <w:p w14:paraId="03D61240">
            <w:pPr>
              <w:spacing w:line="240" w:lineRule="auto"/>
              <w:jc w:val="center"/>
            </w:pPr>
            <w:r>
              <w:drawing>
                <wp:inline distT="0" distB="0" distL="114300" distR="114300">
                  <wp:extent cx="3205480" cy="4645660"/>
                  <wp:effectExtent l="0" t="0" r="13970" b="2540"/>
                  <wp:docPr id="21" name="F360BE8B-6686-4F3D-AEAF-501FE73E4058-2" descr="C:/Users/Admin/AppData/Local/Temp/绘图1(1).png绘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360BE8B-6686-4F3D-AEAF-501FE73E4058-2" descr="C:/Users/Admin/AppData/Local/Temp/绘图1(1).png绘图1(1)"/>
                          <pic:cNvPicPr>
                            <a:picLocks noChangeAspect="1"/>
                          </pic:cNvPicPr>
                        </pic:nvPicPr>
                        <pic:blipFill>
                          <a:blip r:embed="rId17"/>
                          <a:stretch>
                            <a:fillRect/>
                          </a:stretch>
                        </pic:blipFill>
                        <pic:spPr>
                          <a:xfrm>
                            <a:off x="0" y="0"/>
                            <a:ext cx="3205480" cy="4645660"/>
                          </a:xfrm>
                          <a:prstGeom prst="rect">
                            <a:avLst/>
                          </a:prstGeom>
                        </pic:spPr>
                      </pic:pic>
                    </a:graphicData>
                  </a:graphic>
                </wp:inline>
              </w:drawing>
            </w:r>
          </w:p>
          <w:p w14:paraId="364F37A4">
            <w:pPr>
              <w:spacing w:after="163" w:line="240" w:lineRule="auto"/>
              <w:jc w:val="center"/>
              <w:rPr>
                <w:rFonts w:eastAsia="黑体"/>
                <w:bCs/>
                <w:sz w:val="21"/>
                <w:szCs w:val="21"/>
                <w:lang w:val="zh-CN"/>
              </w:rPr>
            </w:pPr>
            <w:r>
              <w:rPr>
                <w:rFonts w:eastAsia="黑体"/>
                <w:bCs/>
                <w:sz w:val="21"/>
                <w:szCs w:val="21"/>
                <w:lang w:val="zh-CN"/>
              </w:rPr>
              <w:t>图9-</w:t>
            </w:r>
            <w:r>
              <w:rPr>
                <w:rFonts w:hint="eastAsia" w:eastAsia="黑体"/>
                <w:bCs/>
                <w:sz w:val="21"/>
                <w:szCs w:val="21"/>
              </w:rPr>
              <w:t>2</w:t>
            </w:r>
            <w:r>
              <w:rPr>
                <w:rFonts w:eastAsia="黑体"/>
                <w:bCs/>
                <w:sz w:val="21"/>
                <w:szCs w:val="21"/>
                <w:lang w:val="zh-CN"/>
              </w:rPr>
              <w:t xml:space="preserve"> 锝-99m显像诊断工艺流程及产污环节图</w:t>
            </w:r>
          </w:p>
          <w:p w14:paraId="152BC83C">
            <w:pPr>
              <w:ind w:firstLine="482"/>
              <w:rPr>
                <w:b/>
                <w:bCs/>
              </w:rPr>
            </w:pPr>
          </w:p>
          <w:p w14:paraId="7455594B">
            <w:pPr>
              <w:ind w:firstLine="482"/>
              <w:rPr>
                <w:b/>
                <w:bCs/>
              </w:rPr>
            </w:pPr>
            <w:r>
              <w:rPr>
                <w:b/>
                <w:bCs/>
              </w:rPr>
              <w:t>（</w:t>
            </w:r>
            <w:r>
              <w:rPr>
                <w:rFonts w:hint="eastAsia"/>
                <w:b/>
                <w:bCs/>
                <w:lang w:val="en-US" w:eastAsia="zh-CN"/>
              </w:rPr>
              <w:t>3</w:t>
            </w:r>
            <w:r>
              <w:rPr>
                <w:b/>
                <w:bCs/>
              </w:rPr>
              <w:t>）碘-131甲状腺吸碘功能测定（甲吸测定）流程及产污环节</w:t>
            </w:r>
            <w:r>
              <w:rPr>
                <w:rFonts w:hint="eastAsia"/>
                <w:b/>
                <w:bCs/>
                <w:lang w:val="en-US" w:eastAsia="zh-CN"/>
              </w:rPr>
              <w:t>：</w:t>
            </w:r>
          </w:p>
          <w:p w14:paraId="0E19D28C">
            <w:pPr>
              <w:ind w:firstLine="480"/>
              <w:contextualSpacing/>
            </w:pPr>
            <w:r>
              <w:t>甲状腺吸碘功能测定检查流程如下：</w:t>
            </w:r>
          </w:p>
          <w:p w14:paraId="0BFD5E20">
            <w:pPr>
              <w:ind w:firstLine="480"/>
              <w:contextualSpacing/>
            </w:pPr>
            <w:r>
              <w:fldChar w:fldCharType="begin"/>
            </w:r>
            <w:r>
              <w:instrText xml:space="preserve"> = 1 \* GB3 </w:instrText>
            </w:r>
            <w:r>
              <w:fldChar w:fldCharType="separate"/>
            </w:r>
            <w:r>
              <w:t>①</w:t>
            </w:r>
            <w:r>
              <w:fldChar w:fldCharType="end"/>
            </w:r>
            <w:r>
              <w:t>接收患者，告知患者诊断过程存在的辐射危害。</w:t>
            </w:r>
          </w:p>
          <w:p w14:paraId="50FAAE90">
            <w:pPr>
              <w:ind w:firstLine="480"/>
              <w:contextualSpacing/>
            </w:pPr>
            <w:r>
              <w:fldChar w:fldCharType="begin"/>
            </w:r>
            <w:r>
              <w:instrText xml:space="preserve"> = 2 \* GB3 </w:instrText>
            </w:r>
            <w:r>
              <w:fldChar w:fldCharType="separate"/>
            </w:r>
            <w:r>
              <w:t>②</w:t>
            </w:r>
            <w:r>
              <w:fldChar w:fldCharType="end"/>
            </w:r>
            <w:r>
              <w:t>医生根据病情确定使用核素的剂量。</w:t>
            </w:r>
          </w:p>
          <w:p w14:paraId="3C593AD1">
            <w:pPr>
              <w:ind w:firstLine="480"/>
              <w:contextualSpacing/>
            </w:pPr>
            <w:r>
              <w:fldChar w:fldCharType="begin"/>
            </w:r>
            <w:r>
              <w:instrText xml:space="preserve"> = 3 \* GB3 </w:instrText>
            </w:r>
            <w:r>
              <w:fldChar w:fldCharType="separate"/>
            </w:r>
            <w:r>
              <w:t>③</w:t>
            </w:r>
            <w:r>
              <w:fldChar w:fldCharType="end"/>
            </w:r>
            <w:r>
              <w:rPr>
                <w:bCs/>
              </w:rPr>
              <w:t>工作人员</w:t>
            </w:r>
            <w:r>
              <w:t>在分装室</w:t>
            </w:r>
            <w:r>
              <w:rPr>
                <w:rFonts w:hint="eastAsia"/>
                <w:lang w:val="en-US" w:eastAsia="zh-CN"/>
              </w:rPr>
              <w:t>2#</w:t>
            </w:r>
            <w:r>
              <w:t>的手套箱内将碘-131药物</w:t>
            </w:r>
            <w:r>
              <w:rPr>
                <w:bCs/>
                <w:spacing w:val="-2"/>
              </w:rPr>
              <w:t>分装、测量活度后（</w:t>
            </w:r>
            <w:r>
              <w:t>单人份的药物分装、测量活度时间平均约0.5min</w:t>
            </w:r>
            <w:r>
              <w:rPr>
                <w:bCs/>
                <w:spacing w:val="-2"/>
              </w:rPr>
              <w:t>）转移至注射/服药窗口</w:t>
            </w:r>
            <w:r>
              <w:t>（20mmPb）</w:t>
            </w:r>
            <w:r>
              <w:rPr>
                <w:bCs/>
                <w:spacing w:val="-2"/>
              </w:rPr>
              <w:t>，病人隔着注射/服药窗口取药口服（</w:t>
            </w:r>
            <w:r>
              <w:rPr>
                <w:bCs/>
              </w:rPr>
              <w:t>单个病人服药时间约0.5</w:t>
            </w:r>
            <w:r>
              <w:t>min</w:t>
            </w:r>
            <w:r>
              <w:rPr>
                <w:bCs/>
                <w:spacing w:val="-2"/>
              </w:rPr>
              <w:t>）</w:t>
            </w:r>
            <w:r>
              <w:t>。</w:t>
            </w:r>
            <w:r>
              <w:rPr>
                <w:bCs/>
              </w:rPr>
              <w:t>服药后患者直接经北侧患者专用出口通道</w:t>
            </w:r>
            <w:r>
              <w:t>离开核医学科</w:t>
            </w:r>
            <w:r>
              <w:rPr>
                <w:bCs/>
              </w:rPr>
              <w:t>。</w:t>
            </w:r>
          </w:p>
          <w:p w14:paraId="5E2AB6A5">
            <w:pPr>
              <w:ind w:firstLine="480"/>
              <w:contextualSpacing/>
            </w:pPr>
            <w:r>
              <w:rPr>
                <w:bCs/>
              </w:rPr>
              <w:fldChar w:fldCharType="begin"/>
            </w:r>
            <w:r>
              <w:rPr>
                <w:bCs/>
              </w:rPr>
              <w:instrText xml:space="preserve"> = 4 \* GB3 </w:instrText>
            </w:r>
            <w:r>
              <w:rPr>
                <w:bCs/>
              </w:rPr>
              <w:fldChar w:fldCharType="separate"/>
            </w:r>
            <w:r>
              <w:rPr>
                <w:bCs/>
              </w:rPr>
              <w:t>④</w:t>
            </w:r>
            <w:r>
              <w:rPr>
                <w:bCs/>
              </w:rPr>
              <w:fldChar w:fldCharType="end"/>
            </w:r>
            <w:r>
              <w:rPr>
                <w:bCs/>
              </w:rPr>
              <w:t>患者分别于服药后2h、4h、6h、24h从</w:t>
            </w:r>
            <w:r>
              <w:t>核医学科</w:t>
            </w:r>
            <w:r>
              <w:rPr>
                <w:rFonts w:hint="eastAsia"/>
                <w:lang w:val="en-US" w:eastAsia="zh-CN"/>
              </w:rPr>
              <w:t>南侧</w:t>
            </w:r>
            <w:r>
              <w:t>大厅入口进入甲吸室进行甲状腺功能测定，检查完毕经核医学科</w:t>
            </w:r>
            <w:r>
              <w:rPr>
                <w:rFonts w:hint="eastAsia"/>
                <w:lang w:val="en-US" w:eastAsia="zh-CN"/>
              </w:rPr>
              <w:t>南</w:t>
            </w:r>
            <w:r>
              <w:t>侧大厅离开核医学科。</w:t>
            </w:r>
          </w:p>
          <w:p w14:paraId="4CF207EE">
            <w:pPr>
              <w:ind w:firstLine="482"/>
              <w:rPr>
                <w:b/>
                <w:bCs/>
              </w:rPr>
            </w:pPr>
            <w:r>
              <w:rPr>
                <w:b/>
                <w:bCs/>
              </w:rPr>
              <w:t>（</w:t>
            </w:r>
            <w:r>
              <w:rPr>
                <w:rFonts w:hint="eastAsia"/>
                <w:b/>
                <w:bCs/>
                <w:lang w:val="en-US" w:eastAsia="zh-CN"/>
              </w:rPr>
              <w:t>4</w:t>
            </w:r>
            <w:r>
              <w:rPr>
                <w:b/>
                <w:bCs/>
              </w:rPr>
              <w:t>）碘-131甲亢治疗及锶-89肿瘤骨转移治疗流程及产污环节</w:t>
            </w:r>
            <w:r>
              <w:rPr>
                <w:rFonts w:hint="eastAsia"/>
                <w:b/>
                <w:bCs/>
                <w:lang w:val="en-US" w:eastAsia="zh-CN"/>
              </w:rPr>
              <w:t>：</w:t>
            </w:r>
          </w:p>
          <w:p w14:paraId="094701C3">
            <w:pPr>
              <w:ind w:firstLine="480"/>
            </w:pPr>
            <w:r>
              <w:t>医院根据</w:t>
            </w:r>
            <w:r>
              <w:rPr>
                <w:bCs/>
              </w:rPr>
              <w:t>患者</w:t>
            </w:r>
            <w:r>
              <w:t>预约情况订购药物，由药物供货商负责药物运输至储源室内。</w:t>
            </w:r>
          </w:p>
          <w:p w14:paraId="089DDF07">
            <w:pPr>
              <w:ind w:firstLine="482"/>
            </w:pPr>
            <w:r>
              <w:rPr>
                <w:b/>
                <w:bCs/>
              </w:rPr>
              <w:t>碘-131：</w:t>
            </w:r>
            <w:r>
              <w:t>工作人员在分装室</w:t>
            </w:r>
            <w:r>
              <w:rPr>
                <w:rFonts w:hint="eastAsia"/>
                <w:lang w:val="en-US" w:eastAsia="zh-CN"/>
              </w:rPr>
              <w:t>2#</w:t>
            </w:r>
            <w:r>
              <w:t>的手套箱内将碘-131药物</w:t>
            </w:r>
            <w:r>
              <w:rPr>
                <w:bCs/>
                <w:spacing w:val="-2"/>
              </w:rPr>
              <w:t>分装、测量活度后（</w:t>
            </w:r>
            <w:r>
              <w:t>单人份的药物分装</w:t>
            </w:r>
            <w:r>
              <w:rPr>
                <w:bCs/>
                <w:spacing w:val="-2"/>
              </w:rPr>
              <w:t>、测量活度</w:t>
            </w:r>
            <w:r>
              <w:t>时间平均约0.5min</w:t>
            </w:r>
            <w:r>
              <w:rPr>
                <w:bCs/>
                <w:spacing w:val="-2"/>
              </w:rPr>
              <w:t>）转移至</w:t>
            </w:r>
            <w:r>
              <w:rPr>
                <w:rFonts w:hint="eastAsia"/>
                <w:bCs/>
                <w:spacing w:val="-2"/>
                <w:lang w:val="en-US" w:eastAsia="zh-CN"/>
              </w:rPr>
              <w:t>I-131服药室的</w:t>
            </w:r>
            <w:r>
              <w:rPr>
                <w:bCs/>
                <w:spacing w:val="-2"/>
              </w:rPr>
              <w:t>服药窗口</w:t>
            </w:r>
            <w:r>
              <w:t>（20mmPb）</w:t>
            </w:r>
            <w:r>
              <w:rPr>
                <w:bCs/>
                <w:spacing w:val="-2"/>
              </w:rPr>
              <w:t>，病人隔着服药窗口取药口服（</w:t>
            </w:r>
            <w:r>
              <w:rPr>
                <w:bCs/>
              </w:rPr>
              <w:t>单个病人服药时间约0.5</w:t>
            </w:r>
            <w:r>
              <w:t>min</w:t>
            </w:r>
            <w:r>
              <w:rPr>
                <w:bCs/>
                <w:spacing w:val="-2"/>
              </w:rPr>
              <w:t>）</w:t>
            </w:r>
            <w:r>
              <w:t>。</w:t>
            </w:r>
            <w:r>
              <w:rPr>
                <w:bCs/>
              </w:rPr>
              <w:t>病人服药后在留观区经短暂观察（5min）无碍后，经北侧患者专用出口通道</w:t>
            </w:r>
            <w:r>
              <w:t>离开</w:t>
            </w:r>
            <w:r>
              <w:rPr>
                <w:bCs/>
              </w:rPr>
              <w:t>。</w:t>
            </w:r>
          </w:p>
          <w:p w14:paraId="1F057236">
            <w:pPr>
              <w:ind w:firstLine="482"/>
            </w:pPr>
            <w:r>
              <w:rPr>
                <w:b/>
                <w:bCs/>
              </w:rPr>
              <w:t>锶-89</w:t>
            </w:r>
            <w:r>
              <w:t>：锶-89药物为成品针剂，不需再次分装。</w:t>
            </w:r>
            <w:r>
              <w:rPr>
                <w:bCs/>
              </w:rPr>
              <w:t>病人在注射前，先</w:t>
            </w:r>
            <w:r>
              <w:t>在候诊大厅登记并提前如厕，在</w:t>
            </w:r>
            <w:r>
              <w:rPr>
                <w:rFonts w:hint="eastAsia"/>
                <w:lang w:val="en-US" w:eastAsia="zh-CN"/>
              </w:rPr>
              <w:t>Sr-89注射室的</w:t>
            </w:r>
            <w:r>
              <w:rPr>
                <w:bCs/>
                <w:spacing w:val="-2"/>
              </w:rPr>
              <w:t>注射</w:t>
            </w:r>
            <w:r>
              <w:rPr>
                <w:rFonts w:hint="eastAsia"/>
                <w:bCs/>
                <w:spacing w:val="-2"/>
                <w:lang w:val="en-US" w:eastAsia="zh-CN"/>
              </w:rPr>
              <w:t>窗口</w:t>
            </w:r>
            <w:r>
              <w:rPr>
                <w:bCs/>
                <w:spacing w:val="-2"/>
              </w:rPr>
              <w:t>接受注射（</w:t>
            </w:r>
            <w:r>
              <w:t>单个病人注射时间约0.5min</w:t>
            </w:r>
            <w:r>
              <w:rPr>
                <w:bCs/>
                <w:spacing w:val="-2"/>
              </w:rPr>
              <w:t>），注射后</w:t>
            </w:r>
            <w:r>
              <w:rPr>
                <w:bCs/>
              </w:rPr>
              <w:t>经北侧患者专用出口通道可直接</w:t>
            </w:r>
            <w:r>
              <w:t>离开</w:t>
            </w:r>
            <w:r>
              <w:rPr>
                <w:bCs/>
              </w:rPr>
              <w:t>。</w:t>
            </w:r>
          </w:p>
          <w:p w14:paraId="036DFB7E">
            <w:pPr>
              <w:ind w:firstLine="480"/>
              <w:rPr>
                <w:bCs/>
              </w:rPr>
            </w:pPr>
            <w:r>
              <w:rPr>
                <w:rFonts w:hint="eastAsia"/>
                <w:bCs/>
              </w:rPr>
              <w:t>碘-131甲亢治疗及锶-89肿瘤骨转移治疗</w:t>
            </w:r>
            <w:r>
              <w:rPr>
                <w:bCs/>
              </w:rPr>
              <w:t>流程及产污环节见图9-</w:t>
            </w:r>
            <w:r>
              <w:rPr>
                <w:rFonts w:hint="eastAsia"/>
                <w:bCs/>
                <w:lang w:val="en-US" w:eastAsia="zh-CN"/>
              </w:rPr>
              <w:t>3</w:t>
            </w:r>
            <w:r>
              <w:rPr>
                <w:bCs/>
              </w:rPr>
              <w:t>。</w:t>
            </w:r>
          </w:p>
          <w:p w14:paraId="4886417B">
            <w:pPr>
              <w:pStyle w:val="20"/>
              <w:jc w:val="center"/>
              <w:rPr>
                <w:rFonts w:hint="eastAsia" w:eastAsia="宋体"/>
                <w:b/>
                <w:bCs/>
                <w:lang w:eastAsia="zh-CN"/>
              </w:rPr>
            </w:pPr>
            <w:r>
              <w:rPr>
                <w:rFonts w:hint="eastAsia" w:eastAsia="宋体"/>
                <w:b/>
                <w:bCs/>
                <w:lang w:eastAsia="zh-CN"/>
              </w:rPr>
              <w:drawing>
                <wp:inline distT="0" distB="0" distL="114300" distR="114300">
                  <wp:extent cx="5238115" cy="4839335"/>
                  <wp:effectExtent l="0" t="0" r="635" b="18415"/>
                  <wp:docPr id="26" name="E657119C-6982-421D-8BA7-E74DEB70A7D9-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657119C-6982-421D-8BA7-E74DEB70A7D9-3" descr="wps"/>
                          <pic:cNvPicPr>
                            <a:picLocks noChangeAspect="1"/>
                          </pic:cNvPicPr>
                        </pic:nvPicPr>
                        <pic:blipFill>
                          <a:blip r:embed="rId18"/>
                          <a:srcRect l="2175" t="2960" r="1714" b="2988"/>
                          <a:stretch>
                            <a:fillRect/>
                          </a:stretch>
                        </pic:blipFill>
                        <pic:spPr>
                          <a:xfrm>
                            <a:off x="0" y="0"/>
                            <a:ext cx="5238115" cy="4839335"/>
                          </a:xfrm>
                          <a:prstGeom prst="rect">
                            <a:avLst/>
                          </a:prstGeom>
                        </pic:spPr>
                      </pic:pic>
                    </a:graphicData>
                  </a:graphic>
                </wp:inline>
              </w:drawing>
            </w:r>
          </w:p>
          <w:p w14:paraId="2300B08B">
            <w:pPr>
              <w:pStyle w:val="55"/>
              <w:ind w:firstLine="210"/>
              <w:jc w:val="center"/>
            </w:pPr>
            <w:r>
              <w:rPr>
                <w:rFonts w:eastAsia="黑体"/>
                <w:bCs/>
                <w:sz w:val="21"/>
                <w:szCs w:val="21"/>
                <w:lang w:val="zh-CN"/>
              </w:rPr>
              <w:t>图9-</w:t>
            </w:r>
            <w:r>
              <w:rPr>
                <w:rFonts w:hint="eastAsia" w:eastAsia="黑体"/>
                <w:bCs/>
                <w:sz w:val="21"/>
                <w:szCs w:val="21"/>
                <w:lang w:val="en-US" w:eastAsia="zh-CN"/>
              </w:rPr>
              <w:t>3</w:t>
            </w:r>
            <w:r>
              <w:rPr>
                <w:rFonts w:eastAsia="黑体"/>
                <w:bCs/>
                <w:sz w:val="21"/>
                <w:szCs w:val="21"/>
                <w:lang w:val="zh-CN"/>
              </w:rPr>
              <w:t xml:space="preserve">  </w:t>
            </w:r>
            <w:r>
              <w:rPr>
                <w:rFonts w:hint="eastAsia" w:eastAsia="黑体"/>
                <w:bCs/>
                <w:sz w:val="21"/>
                <w:szCs w:val="21"/>
                <w:lang w:val="en-US" w:eastAsia="zh-CN"/>
              </w:rPr>
              <w:t>碘-131甲亢治疗及锶-89肿瘤骨转移治疗流程</w:t>
            </w:r>
            <w:r>
              <w:rPr>
                <w:rFonts w:eastAsia="黑体"/>
                <w:bCs/>
                <w:sz w:val="21"/>
                <w:szCs w:val="21"/>
                <w:lang w:val="zh-CN"/>
              </w:rPr>
              <w:t>及产污环节图</w:t>
            </w:r>
          </w:p>
          <w:p w14:paraId="27BAE5F0">
            <w:pPr>
              <w:rPr>
                <w:rFonts w:hint="eastAsia"/>
                <w:lang w:eastAsia="zh-CN"/>
              </w:rPr>
            </w:pPr>
          </w:p>
          <w:p w14:paraId="4226CC1B">
            <w:pPr>
              <w:rPr>
                <w:rFonts w:hint="eastAsia" w:eastAsia="宋体"/>
                <w:b/>
                <w:bCs/>
                <w:lang w:eastAsia="zh-CN"/>
              </w:rPr>
            </w:pPr>
            <w:r>
              <w:rPr>
                <w:rFonts w:hint="eastAsia"/>
                <w:b/>
                <w:bCs/>
                <w:lang w:eastAsia="zh-CN"/>
              </w:rPr>
              <w:t>（</w:t>
            </w:r>
            <w:r>
              <w:rPr>
                <w:rFonts w:hint="eastAsia"/>
                <w:b/>
                <w:bCs/>
                <w:lang w:val="en-US" w:eastAsia="zh-CN"/>
              </w:rPr>
              <w:t>5</w:t>
            </w:r>
            <w:r>
              <w:rPr>
                <w:rFonts w:hint="eastAsia"/>
                <w:b/>
                <w:bCs/>
                <w:lang w:eastAsia="zh-CN"/>
              </w:rPr>
              <w:t>）</w:t>
            </w:r>
            <w:r>
              <w:rPr>
                <w:rFonts w:hint="eastAsia"/>
                <w:b/>
                <w:bCs/>
                <w:lang w:val="en-US" w:eastAsia="zh-CN"/>
              </w:rPr>
              <w:t>磷-32敷贴治疗</w:t>
            </w:r>
            <w:r>
              <w:rPr>
                <w:b/>
                <w:bCs/>
              </w:rPr>
              <w:t>流程及产污环节</w:t>
            </w:r>
            <w:r>
              <w:rPr>
                <w:rFonts w:hint="eastAsia"/>
                <w:b/>
                <w:bCs/>
                <w:lang w:val="en-US" w:eastAsia="zh-CN"/>
              </w:rPr>
              <w:t>：</w:t>
            </w:r>
          </w:p>
          <w:p w14:paraId="6B7C7326">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敷贴治疗场所拟使用的放射性药物</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购自有资质供货商，其操作流程如下：医院根据患者预约情况，确定当天所使用的药物剂量，向专业供应商订购，供应商根据医院预约的时间和用量定时（患者就诊前）将药物送达敷贴治疗场所的制备区内，医院指定专人负责药物的接收和登记。敷贴治疗具体工作流程如下：</w:t>
            </w:r>
            <w:r>
              <w:rPr>
                <w:rFonts w:hint="default" w:ascii="Times New Roman" w:hAnsi="Times New Roman" w:eastAsia="宋体" w:cs="Times New Roman"/>
                <w:sz w:val="24"/>
                <w:szCs w:val="24"/>
                <w:lang w:val="en-US" w:eastAsia="zh-CN"/>
              </w:rPr>
              <w:t>①</w:t>
            </w:r>
            <w:r>
              <w:rPr>
                <w:rFonts w:hint="default" w:ascii="Times New Roman" w:hAnsi="Times New Roman" w:eastAsia="宋体" w:cs="Times New Roman"/>
                <w:sz w:val="24"/>
                <w:szCs w:val="24"/>
              </w:rPr>
              <w:t>订药：由于</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P敷贴器需要在使用前进行制作，医院需要根据预约情况提前订药，在约定的时间由药物供应单位将药物运送至医院，</w:t>
            </w:r>
            <w:r>
              <w:rPr>
                <w:rFonts w:hint="default" w:ascii="Times New Roman" w:hAnsi="Times New Roman" w:eastAsia="宋体" w:cs="Times New Roman"/>
                <w:sz w:val="24"/>
                <w:szCs w:val="24"/>
                <w:vertAlign w:val="superscript"/>
              </w:rPr>
              <w:t>32</w:t>
            </w:r>
            <w:r>
              <w:rPr>
                <w:rFonts w:hint="default" w:ascii="Times New Roman" w:hAnsi="Times New Roman" w:eastAsia="宋体" w:cs="Times New Roman"/>
                <w:sz w:val="24"/>
                <w:szCs w:val="24"/>
              </w:rPr>
              <w:t>P为外购药物，药物状态为液态，密封于内层有机玻璃、外层铅的铅罐中以单个货包的形式送达，医院安排专人接收药物，采取必要的防护措施，经确认无误完成相关交接、登记手续后，暂存在</w:t>
            </w:r>
            <w:r>
              <w:rPr>
                <w:rFonts w:hint="default" w:ascii="Times New Roman" w:hAnsi="Times New Roman" w:eastAsia="宋体" w:cs="Times New Roman"/>
                <w:sz w:val="24"/>
                <w:szCs w:val="24"/>
                <w:highlight w:val="none"/>
              </w:rPr>
              <w:t>核医学</w:t>
            </w:r>
            <w:r>
              <w:rPr>
                <w:rFonts w:hint="eastAsia" w:cs="Times New Roman"/>
                <w:sz w:val="24"/>
                <w:szCs w:val="24"/>
                <w:highlight w:val="none"/>
                <w:lang w:val="en-US" w:eastAsia="zh-CN"/>
              </w:rPr>
              <w:t>科储源室1#</w:t>
            </w:r>
            <w:r>
              <w:rPr>
                <w:rFonts w:hint="default" w:ascii="Times New Roman" w:hAnsi="Times New Roman" w:eastAsia="宋体" w:cs="Times New Roman"/>
                <w:sz w:val="24"/>
                <w:szCs w:val="24"/>
                <w:highlight w:val="none"/>
              </w:rPr>
              <w:t>内。</w:t>
            </w:r>
            <w:r>
              <w:rPr>
                <w:rFonts w:hint="default" w:ascii="Times New Roman" w:hAnsi="Times New Roman" w:eastAsia="宋体" w:cs="Times New Roman"/>
                <w:sz w:val="24"/>
                <w:szCs w:val="24"/>
                <w:highlight w:val="none"/>
                <w:lang w:val="en-US" w:eastAsia="zh-CN"/>
              </w:rPr>
              <w:t>②</w:t>
            </w:r>
            <w:r>
              <w:rPr>
                <w:rFonts w:hint="default" w:ascii="Times New Roman" w:hAnsi="Times New Roman" w:eastAsia="宋体" w:cs="Times New Roman"/>
                <w:sz w:val="24"/>
                <w:szCs w:val="24"/>
                <w:highlight w:val="none"/>
              </w:rPr>
              <w:t>制作</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P敷贴器：</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P药物密封于专用屏蔽容器中，使用前由工作人员</w:t>
            </w:r>
            <w:r>
              <w:rPr>
                <w:rFonts w:hint="eastAsia" w:cs="Times New Roman"/>
                <w:sz w:val="24"/>
                <w:szCs w:val="24"/>
                <w:highlight w:val="none"/>
                <w:lang w:val="en-US" w:eastAsia="zh-CN"/>
              </w:rPr>
              <w:t>从储源室1#取出至分装室1#的有机玻璃</w:t>
            </w:r>
            <w:r>
              <w:rPr>
                <w:rFonts w:hint="default" w:ascii="Times New Roman" w:hAnsi="Times New Roman" w:eastAsia="宋体" w:cs="Times New Roman"/>
                <w:sz w:val="24"/>
                <w:szCs w:val="24"/>
                <w:highlight w:val="none"/>
              </w:rPr>
              <w:t>手套箱中进行制作。</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P敷贴器制作方法如下：</w:t>
            </w:r>
            <w:r>
              <w:rPr>
                <w:rFonts w:hint="default" w:ascii="Times New Roman" w:hAnsi="Times New Roman" w:eastAsia="宋体" w:cs="Times New Roman"/>
                <w:sz w:val="24"/>
                <w:szCs w:val="24"/>
                <w:highlight w:val="none"/>
                <w:lang w:val="en-US" w:eastAsia="zh-CN"/>
              </w:rPr>
              <w:t>A、</w:t>
            </w:r>
            <w:r>
              <w:rPr>
                <w:rFonts w:hint="default" w:ascii="Times New Roman" w:hAnsi="Times New Roman" w:eastAsia="宋体" w:cs="Times New Roman"/>
                <w:sz w:val="24"/>
                <w:szCs w:val="24"/>
                <w:highlight w:val="none"/>
              </w:rPr>
              <w:t>采用优质滤纸按病变形状要求剪成规格大小及形状不同的纸片，作为</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P溶液的支持物，滤纸上画有格子；</w:t>
            </w:r>
            <w:r>
              <w:rPr>
                <w:rFonts w:hint="default" w:ascii="Times New Roman" w:hAnsi="Times New Roman" w:eastAsia="宋体" w:cs="Times New Roman"/>
                <w:sz w:val="24"/>
                <w:szCs w:val="24"/>
                <w:highlight w:val="none"/>
                <w:lang w:val="en-US" w:eastAsia="zh-CN"/>
              </w:rPr>
              <w:t>B、</w:t>
            </w:r>
            <w:r>
              <w:rPr>
                <w:rFonts w:hint="default" w:ascii="Times New Roman" w:hAnsi="Times New Roman" w:eastAsia="宋体" w:cs="Times New Roman"/>
                <w:sz w:val="24"/>
                <w:szCs w:val="24"/>
                <w:highlight w:val="none"/>
              </w:rPr>
              <w:t>用生理盐水分别将不同大小与形状的滤纸做一次吸水试验以确定滴加</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P溶液的毫升数；</w:t>
            </w:r>
            <w:r>
              <w:rPr>
                <w:rFonts w:hint="default" w:ascii="Times New Roman" w:hAnsi="Times New Roman" w:eastAsia="宋体" w:cs="Times New Roman"/>
                <w:sz w:val="24"/>
                <w:szCs w:val="24"/>
                <w:highlight w:val="none"/>
                <w:lang w:val="en-US" w:eastAsia="zh-CN"/>
              </w:rPr>
              <w:t>C、</w:t>
            </w:r>
            <w:r>
              <w:rPr>
                <w:rFonts w:hint="default" w:ascii="Times New Roman" w:hAnsi="Times New Roman" w:eastAsia="宋体" w:cs="Times New Roman"/>
                <w:sz w:val="24"/>
                <w:szCs w:val="24"/>
                <w:highlight w:val="none"/>
              </w:rPr>
              <w:t>将铅罐从手套箱取出，在</w:t>
            </w:r>
            <w:r>
              <w:rPr>
                <w:rFonts w:hint="eastAsia" w:cs="Times New Roman"/>
                <w:sz w:val="24"/>
                <w:szCs w:val="24"/>
                <w:highlight w:val="none"/>
                <w:lang w:val="en-US" w:eastAsia="zh-CN"/>
              </w:rPr>
              <w:t>分装室1#</w:t>
            </w:r>
            <w:r>
              <w:rPr>
                <w:rFonts w:hint="default" w:ascii="Times New Roman" w:hAnsi="Times New Roman" w:eastAsia="宋体" w:cs="Times New Roman"/>
                <w:sz w:val="24"/>
                <w:szCs w:val="24"/>
                <w:highlight w:val="none"/>
              </w:rPr>
              <w:t>的有机玻璃手套箱中进行</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P敷贴器的制作，装有</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P溶液的铅罐只有放到手套箱中才允许被打开；</w:t>
            </w:r>
            <w:r>
              <w:rPr>
                <w:rFonts w:hint="default" w:ascii="Times New Roman" w:hAnsi="Times New Roman" w:eastAsia="宋体" w:cs="Times New Roman"/>
                <w:sz w:val="24"/>
                <w:szCs w:val="24"/>
                <w:highlight w:val="none"/>
                <w:lang w:val="en-US" w:eastAsia="zh-CN"/>
              </w:rPr>
              <w:t>D、</w:t>
            </w:r>
            <w:r>
              <w:rPr>
                <w:rFonts w:hint="default" w:ascii="Times New Roman" w:hAnsi="Times New Roman" w:eastAsia="宋体" w:cs="Times New Roman"/>
                <w:sz w:val="24"/>
                <w:szCs w:val="24"/>
                <w:highlight w:val="none"/>
              </w:rPr>
              <w:t>用1ml注射器吸取预先计算好的混有色剂的</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P溶液，按每张滤纸的吸水量分格滴加</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P溶液，通过颜色的深浅来调整</w:t>
            </w:r>
            <w:r>
              <w:rPr>
                <w:rFonts w:hint="default" w:ascii="Times New Roman" w:hAnsi="Times New Roman" w:eastAsia="宋体" w:cs="Times New Roman"/>
                <w:sz w:val="24"/>
                <w:szCs w:val="24"/>
                <w:highlight w:val="none"/>
                <w:vertAlign w:val="superscript"/>
              </w:rPr>
              <w:t>32</w:t>
            </w:r>
            <w:r>
              <w:rPr>
                <w:rFonts w:hint="default" w:ascii="Times New Roman" w:hAnsi="Times New Roman" w:eastAsia="宋体" w:cs="Times New Roman"/>
                <w:sz w:val="24"/>
                <w:szCs w:val="24"/>
                <w:highlight w:val="none"/>
              </w:rPr>
              <w:t>P活度的分布均匀性；</w:t>
            </w:r>
            <w:r>
              <w:rPr>
                <w:rFonts w:hint="default" w:ascii="Times New Roman" w:hAnsi="Times New Roman" w:eastAsia="宋体" w:cs="Times New Roman"/>
                <w:sz w:val="24"/>
                <w:szCs w:val="24"/>
                <w:highlight w:val="none"/>
                <w:lang w:val="en-US" w:eastAsia="zh-CN"/>
              </w:rPr>
              <w:t>E、</w:t>
            </w:r>
            <w:r>
              <w:rPr>
                <w:rFonts w:hint="default" w:ascii="Times New Roman" w:hAnsi="Times New Roman" w:eastAsia="宋体" w:cs="Times New Roman"/>
                <w:sz w:val="24"/>
                <w:szCs w:val="24"/>
                <w:highlight w:val="none"/>
              </w:rPr>
              <w:t>调整色剂均匀分布后，用优质塑料薄膜与胶布等套封，保证其密封性。在胶布上注明敷贴器的名称、制作日期、放射性活度等。</w:t>
            </w:r>
            <w:r>
              <w:rPr>
                <w:rFonts w:hint="eastAsia" w:cs="Times New Roman"/>
                <w:sz w:val="24"/>
                <w:szCs w:val="24"/>
                <w:highlight w:val="none"/>
                <w:lang w:val="en-US" w:eastAsia="zh-CN"/>
              </w:rPr>
              <w:t>F、</w:t>
            </w:r>
            <w:r>
              <w:rPr>
                <w:rFonts w:hint="default" w:ascii="Times New Roman" w:hAnsi="Times New Roman" w:eastAsia="宋体" w:cs="Times New Roman"/>
                <w:sz w:val="24"/>
                <w:szCs w:val="24"/>
                <w:highlight w:val="none"/>
              </w:rPr>
              <w:t>经检测表面无放射性污染后即可</w:t>
            </w:r>
            <w:r>
              <w:rPr>
                <w:rFonts w:hint="eastAsia" w:cs="Times New Roman"/>
                <w:sz w:val="24"/>
                <w:szCs w:val="24"/>
                <w:highlight w:val="none"/>
                <w:lang w:val="en-US" w:eastAsia="zh-CN"/>
              </w:rPr>
              <w:t>暂存在敷贴室</w:t>
            </w:r>
            <w:r>
              <w:rPr>
                <w:rFonts w:hint="eastAsia" w:cs="Times New Roman"/>
                <w:sz w:val="24"/>
                <w:szCs w:val="24"/>
                <w:highlight w:val="none"/>
                <w:lang w:eastAsia="zh-CN"/>
              </w:rPr>
              <w:t>（</w:t>
            </w:r>
            <w:r>
              <w:rPr>
                <w:rFonts w:hint="eastAsia" w:cs="Times New Roman"/>
                <w:sz w:val="24"/>
                <w:szCs w:val="24"/>
                <w:highlight w:val="none"/>
                <w:lang w:val="en-US" w:eastAsia="zh-CN"/>
              </w:rPr>
              <w:t>1#、2#</w:t>
            </w:r>
            <w:r>
              <w:rPr>
                <w:rFonts w:hint="eastAsia" w:cs="Times New Roman"/>
                <w:sz w:val="24"/>
                <w:szCs w:val="24"/>
                <w:highlight w:val="none"/>
                <w:lang w:eastAsia="zh-CN"/>
              </w:rPr>
              <w:t>）</w:t>
            </w:r>
            <w:r>
              <w:rPr>
                <w:rFonts w:hint="eastAsia" w:cs="Times New Roman"/>
                <w:sz w:val="24"/>
                <w:szCs w:val="24"/>
                <w:highlight w:val="none"/>
                <w:lang w:val="en-US" w:eastAsia="zh-CN"/>
              </w:rPr>
              <w:t>的保险箱内待用</w:t>
            </w: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③</w:t>
            </w:r>
            <w:r>
              <w:rPr>
                <w:rFonts w:hint="default" w:ascii="Times New Roman" w:hAnsi="Times New Roman" w:eastAsia="宋体" w:cs="Times New Roman"/>
                <w:sz w:val="24"/>
                <w:szCs w:val="24"/>
                <w:highlight w:val="none"/>
              </w:rPr>
              <w:t>治疗：医务人员提前了解患者瘤、痣、疤痕疙瘩等需要治疗部位的形状和情况，进而确定采用的敷贴治疗方案，根据病人预约情况安排治疗。治疗前，医生先根据敷贴治疗的适应症和禁忌症，对具有正当理由的患者开具敷贴治疗申请单，并预约登记，医生根据病情制定治疗方案；治疗时，治疗人员</w:t>
            </w:r>
            <w:r>
              <w:rPr>
                <w:rFonts w:hint="eastAsia" w:cs="Times New Roman"/>
                <w:sz w:val="24"/>
                <w:szCs w:val="24"/>
                <w:highlight w:val="none"/>
                <w:lang w:val="en-US" w:eastAsia="zh-CN"/>
              </w:rPr>
              <w:t>从保险箱内</w:t>
            </w:r>
            <w:r>
              <w:rPr>
                <w:rFonts w:hint="default" w:ascii="Times New Roman" w:hAnsi="Times New Roman" w:eastAsia="宋体" w:cs="Times New Roman"/>
                <w:sz w:val="24"/>
                <w:szCs w:val="24"/>
                <w:highlight w:val="none"/>
              </w:rPr>
              <w:t>将敷贴器</w:t>
            </w:r>
            <w:r>
              <w:rPr>
                <w:rFonts w:hint="eastAsia" w:cs="Times New Roman"/>
                <w:sz w:val="24"/>
                <w:szCs w:val="24"/>
                <w:highlight w:val="none"/>
                <w:lang w:val="en-US" w:eastAsia="zh-CN"/>
              </w:rPr>
              <w:t>取出并</w:t>
            </w:r>
            <w:r>
              <w:rPr>
                <w:rFonts w:hint="default" w:ascii="Times New Roman" w:hAnsi="Times New Roman" w:eastAsia="宋体" w:cs="Times New Roman"/>
                <w:sz w:val="24"/>
                <w:szCs w:val="24"/>
                <w:highlight w:val="none"/>
              </w:rPr>
              <w:t>摆放至治疗部位后，在不接触患者皮肤的面用3mm厚的橡皮泥覆盖屏蔽，本项目敷贴治疗时间约为1h左右，</w:t>
            </w:r>
            <w:r>
              <w:rPr>
                <w:rFonts w:hint="eastAsia" w:cs="Times New Roman"/>
                <w:sz w:val="24"/>
                <w:szCs w:val="24"/>
                <w:highlight w:val="none"/>
                <w:lang w:val="en-US" w:eastAsia="zh-CN"/>
              </w:rPr>
              <w:t>2个敷贴</w:t>
            </w:r>
            <w:r>
              <w:rPr>
                <w:rFonts w:hint="default" w:ascii="Times New Roman" w:hAnsi="Times New Roman" w:eastAsia="宋体" w:cs="Times New Roman"/>
                <w:sz w:val="24"/>
                <w:szCs w:val="24"/>
                <w:highlight w:val="none"/>
              </w:rPr>
              <w:t>室内</w:t>
            </w:r>
            <w:r>
              <w:rPr>
                <w:rFonts w:hint="eastAsia" w:cs="Times New Roman"/>
                <w:sz w:val="24"/>
                <w:szCs w:val="24"/>
                <w:highlight w:val="none"/>
                <w:lang w:val="en-US" w:eastAsia="zh-CN"/>
              </w:rPr>
              <w:t>分别最多接诊1</w:t>
            </w:r>
            <w:r>
              <w:rPr>
                <w:rFonts w:hint="default" w:ascii="Times New Roman" w:hAnsi="Times New Roman" w:eastAsia="宋体" w:cs="Times New Roman"/>
                <w:sz w:val="24"/>
                <w:szCs w:val="24"/>
                <w:highlight w:val="none"/>
              </w:rPr>
              <w:t>名患者</w:t>
            </w:r>
            <w:r>
              <w:rPr>
                <w:rFonts w:hint="eastAsia" w:cs="Times New Roman"/>
                <w:sz w:val="24"/>
                <w:szCs w:val="24"/>
                <w:highlight w:val="none"/>
                <w:lang w:eastAsia="zh-CN"/>
              </w:rPr>
              <w:t>，</w:t>
            </w:r>
            <w:r>
              <w:rPr>
                <w:rFonts w:hint="default" w:ascii="Times New Roman" w:hAnsi="Times New Roman" w:eastAsia="宋体" w:cs="Times New Roman"/>
                <w:sz w:val="24"/>
                <w:szCs w:val="24"/>
                <w:highlight w:val="none"/>
              </w:rPr>
              <w:t>敷贴</w:t>
            </w:r>
            <w:r>
              <w:rPr>
                <w:rFonts w:hint="eastAsia" w:cs="Times New Roman"/>
                <w:sz w:val="24"/>
                <w:szCs w:val="24"/>
                <w:highlight w:val="none"/>
                <w:lang w:val="en-US" w:eastAsia="zh-CN"/>
              </w:rPr>
              <w:t>治疗结束</w:t>
            </w:r>
            <w:r>
              <w:rPr>
                <w:rFonts w:hint="default" w:ascii="Times New Roman" w:hAnsi="Times New Roman" w:eastAsia="宋体" w:cs="Times New Roman"/>
                <w:sz w:val="24"/>
                <w:szCs w:val="24"/>
                <w:highlight w:val="none"/>
              </w:rPr>
              <w:t>后病人由患者专用通道离开，不留观。工作人员清点敷贴器，将使用后</w:t>
            </w:r>
            <w:r>
              <w:rPr>
                <w:rFonts w:hint="default" w:ascii="Times New Roman" w:hAnsi="Times New Roman" w:eastAsia="宋体" w:cs="Times New Roman"/>
                <w:sz w:val="24"/>
                <w:szCs w:val="24"/>
              </w:rPr>
              <w:t>的敷贴器放入装有专用塑料袋的放射性废物桶中进行衰变处理，并做好记录。</w:t>
            </w:r>
          </w:p>
          <w:p w14:paraId="37D0A3B9">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drawing>
                <wp:inline distT="0" distB="0" distL="114300" distR="114300">
                  <wp:extent cx="3953510" cy="4233545"/>
                  <wp:effectExtent l="0" t="0" r="8890" b="14605"/>
                  <wp:docPr id="27" name="E657119C-6982-421D-8BA7-E74DEB70A7D9-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657119C-6982-421D-8BA7-E74DEB70A7D9-4" descr="wps"/>
                          <pic:cNvPicPr>
                            <a:picLocks noChangeAspect="1"/>
                          </pic:cNvPicPr>
                        </pic:nvPicPr>
                        <pic:blipFill>
                          <a:blip r:embed="rId19"/>
                          <a:srcRect l="4149" t="3392" r="3734" b="4285"/>
                          <a:stretch>
                            <a:fillRect/>
                          </a:stretch>
                        </pic:blipFill>
                        <pic:spPr>
                          <a:xfrm>
                            <a:off x="0" y="0"/>
                            <a:ext cx="3953510" cy="4233545"/>
                          </a:xfrm>
                          <a:prstGeom prst="rect">
                            <a:avLst/>
                          </a:prstGeom>
                        </pic:spPr>
                      </pic:pic>
                    </a:graphicData>
                  </a:graphic>
                </wp:inline>
              </w:drawing>
            </w:r>
          </w:p>
          <w:p w14:paraId="00E8413C">
            <w:pPr>
              <w:pStyle w:val="55"/>
              <w:ind w:firstLine="210"/>
              <w:jc w:val="center"/>
            </w:pPr>
            <w:r>
              <w:rPr>
                <w:rFonts w:eastAsia="黑体"/>
                <w:bCs/>
                <w:sz w:val="21"/>
                <w:szCs w:val="21"/>
                <w:lang w:val="zh-CN"/>
              </w:rPr>
              <w:t>图9-</w:t>
            </w:r>
            <w:r>
              <w:rPr>
                <w:rFonts w:hint="eastAsia" w:eastAsia="黑体"/>
                <w:bCs/>
                <w:sz w:val="21"/>
                <w:szCs w:val="21"/>
                <w:lang w:val="en-US" w:eastAsia="zh-CN"/>
              </w:rPr>
              <w:t>4</w:t>
            </w:r>
            <w:r>
              <w:rPr>
                <w:rFonts w:eastAsia="黑体"/>
                <w:bCs/>
                <w:sz w:val="21"/>
                <w:szCs w:val="21"/>
                <w:lang w:val="zh-CN"/>
              </w:rPr>
              <w:t xml:space="preserve">  </w:t>
            </w:r>
            <w:r>
              <w:rPr>
                <w:rFonts w:hint="eastAsia" w:eastAsia="黑体"/>
                <w:bCs/>
                <w:sz w:val="21"/>
                <w:szCs w:val="21"/>
                <w:lang w:val="en-US" w:eastAsia="zh-CN"/>
              </w:rPr>
              <w:t>磷-32敷贴治疗流程</w:t>
            </w:r>
            <w:r>
              <w:rPr>
                <w:rFonts w:eastAsia="黑体"/>
                <w:bCs/>
                <w:sz w:val="21"/>
                <w:szCs w:val="21"/>
                <w:lang w:val="zh-CN"/>
              </w:rPr>
              <w:t>及产污环节图</w:t>
            </w:r>
          </w:p>
          <w:p w14:paraId="066CCCCE">
            <w:pPr>
              <w:ind w:firstLine="482"/>
              <w:rPr>
                <w:b/>
                <w:bCs/>
                <w:highlight w:val="none"/>
              </w:rPr>
            </w:pPr>
            <w:r>
              <w:rPr>
                <w:b/>
                <w:bCs/>
                <w:highlight w:val="none"/>
              </w:rPr>
              <w:t>3、人流、物流路径</w:t>
            </w:r>
          </w:p>
          <w:p w14:paraId="05B1ECF1">
            <w:pPr>
              <w:ind w:firstLine="480"/>
              <w:rPr>
                <w:rFonts w:hint="default" w:eastAsia="宋体"/>
                <w:lang w:val="en-US" w:eastAsia="zh-CN"/>
              </w:rPr>
            </w:pPr>
            <w:r>
              <w:rPr>
                <w:rFonts w:hint="eastAsia"/>
                <w:lang w:val="en-US" w:eastAsia="zh-CN"/>
              </w:rPr>
              <w:t>核素治疗和射线装置操作的</w:t>
            </w:r>
            <w:r>
              <w:t>医护人员通过</w:t>
            </w:r>
            <w:r>
              <w:rPr>
                <w:rFonts w:hint="eastAsia"/>
                <w:lang w:val="en-US" w:eastAsia="zh-CN"/>
              </w:rPr>
              <w:t>南</w:t>
            </w:r>
            <w:r>
              <w:t>侧</w:t>
            </w:r>
            <w:r>
              <w:rPr>
                <w:rFonts w:hint="eastAsia"/>
                <w:lang w:val="en-US" w:eastAsia="zh-CN"/>
              </w:rPr>
              <w:t>下沉广场入口西部医护入口</w:t>
            </w:r>
            <w:r>
              <w:t>进入负一层</w:t>
            </w:r>
            <w:r>
              <w:rPr>
                <w:rFonts w:hint="eastAsia"/>
                <w:lang w:val="en-US" w:eastAsia="zh-CN"/>
              </w:rPr>
              <w:t>核医学科办公区域、分装室2#以及机房控制室</w:t>
            </w:r>
            <w:r>
              <w:t>，核素操作人员经</w:t>
            </w:r>
            <w:r>
              <w:rPr>
                <w:rFonts w:hint="eastAsia"/>
                <w:lang w:val="en-US" w:eastAsia="zh-CN"/>
              </w:rPr>
              <w:t>西</w:t>
            </w:r>
            <w:r>
              <w:t>侧卫生通过间进入可到达分装室</w:t>
            </w:r>
            <w:r>
              <w:rPr>
                <w:rFonts w:hint="eastAsia"/>
                <w:lang w:val="en-US" w:eastAsia="zh-CN"/>
              </w:rPr>
              <w:t>2#</w:t>
            </w:r>
            <w:r>
              <w:t>、储源室</w:t>
            </w:r>
            <w:r>
              <w:rPr>
                <w:rFonts w:hint="eastAsia"/>
                <w:lang w:val="en-US" w:eastAsia="zh-CN"/>
              </w:rPr>
              <w:t>2#</w:t>
            </w:r>
            <w:r>
              <w:t>，射线装置操作人员经</w:t>
            </w:r>
            <w:r>
              <w:rPr>
                <w:rFonts w:hint="eastAsia"/>
                <w:lang w:val="en-US" w:eastAsia="zh-CN"/>
              </w:rPr>
              <w:t>患者候诊大厅</w:t>
            </w:r>
            <w:r>
              <w:t>可到达PET/CT机房和</w:t>
            </w:r>
            <w:r>
              <w:rPr>
                <w:rFonts w:hint="eastAsia"/>
                <w:lang w:val="en-US" w:eastAsia="zh-CN"/>
              </w:rPr>
              <w:t>SPECT/CT</w:t>
            </w:r>
            <w:r>
              <w:t>机房共用的控制</w:t>
            </w:r>
            <w:r>
              <w:rPr>
                <w:rFonts w:hint="eastAsia"/>
                <w:lang w:val="en-US" w:eastAsia="zh-CN"/>
              </w:rPr>
              <w:t>室</w:t>
            </w:r>
            <w:r>
              <w:t>，工作结束后按原路离开</w:t>
            </w:r>
            <w:r>
              <w:rPr>
                <w:rFonts w:hint="eastAsia"/>
                <w:lang w:eastAsia="zh-CN"/>
              </w:rPr>
              <w:t>；</w:t>
            </w:r>
            <w:r>
              <w:rPr>
                <w:rFonts w:hint="eastAsia"/>
                <w:lang w:val="en-US" w:eastAsia="zh-CN"/>
              </w:rPr>
              <w:t>显像核素操作的医护人员通过核医学科北侧东部的医护入口经卫生通过间进入可达分装室1#、敷贴室（1#、2#），工作结束后按原路离开。</w:t>
            </w:r>
          </w:p>
          <w:p w14:paraId="2405C879">
            <w:pPr>
              <w:ind w:firstLine="480"/>
              <w:rPr>
                <w:rFonts w:hint="default"/>
                <w:lang w:val="en-US"/>
              </w:rPr>
            </w:pPr>
            <w:r>
              <w:t>患者通过</w:t>
            </w:r>
            <w:r>
              <w:rPr>
                <w:rFonts w:hint="eastAsia"/>
                <w:lang w:val="en-US" w:eastAsia="zh-CN"/>
              </w:rPr>
              <w:t>南</w:t>
            </w:r>
            <w:r>
              <w:t>侧</w:t>
            </w:r>
            <w:r>
              <w:rPr>
                <w:rFonts w:hint="eastAsia"/>
                <w:lang w:val="en-US" w:eastAsia="zh-CN"/>
              </w:rPr>
              <w:t>下沉广场入口中部大厅</w:t>
            </w:r>
            <w:r>
              <w:t>进入负一层</w:t>
            </w:r>
            <w:r>
              <w:rPr>
                <w:rFonts w:hint="eastAsia"/>
                <w:lang w:val="en-US" w:eastAsia="zh-CN"/>
              </w:rPr>
              <w:t>核医学科候诊大厅</w:t>
            </w:r>
            <w:r>
              <w:t>，</w:t>
            </w:r>
            <w:r>
              <w:rPr>
                <w:rFonts w:hint="eastAsia"/>
                <w:lang w:val="en-US" w:eastAsia="zh-CN"/>
              </w:rPr>
              <w:t>核素治疗的患者可经西侧缓冲后进入I-131服药室和Sr-89注射室接受治疗，留观后从北侧西部的出口离开</w:t>
            </w:r>
            <w:r>
              <w:rPr>
                <w:rFonts w:hint="eastAsia"/>
                <w:bCs/>
                <w:lang w:eastAsia="zh-CN"/>
              </w:rPr>
              <w:t>；</w:t>
            </w:r>
            <w:r>
              <w:rPr>
                <w:rFonts w:hint="eastAsia"/>
                <w:bCs/>
                <w:lang w:val="en-US" w:eastAsia="zh-CN"/>
              </w:rPr>
              <w:t>显像检查的</w:t>
            </w:r>
            <w:r>
              <w:rPr>
                <w:bCs/>
              </w:rPr>
              <w:t>患者</w:t>
            </w:r>
            <w:r>
              <w:rPr>
                <w:rFonts w:hint="eastAsia"/>
                <w:lang w:val="en-US" w:eastAsia="zh-CN"/>
              </w:rPr>
              <w:t>可经东侧缓冲后进入PET</w:t>
            </w:r>
            <w:r>
              <w:t>注射室</w:t>
            </w:r>
            <w:r>
              <w:rPr>
                <w:rFonts w:hint="eastAsia"/>
                <w:lang w:val="en-US" w:eastAsia="zh-CN"/>
              </w:rPr>
              <w:t>或SPECT注射室</w:t>
            </w:r>
            <w:r>
              <w:t>进行药物注射后，在注射后等候室内观察，再进入PET/</w:t>
            </w:r>
            <w:r>
              <w:rPr>
                <w:rFonts w:hint="eastAsia"/>
                <w:lang w:val="en-US" w:eastAsia="zh-CN"/>
              </w:rPr>
              <w:t>CT机房</w:t>
            </w:r>
            <w:r>
              <w:t>或</w:t>
            </w:r>
            <w:r>
              <w:rPr>
                <w:rFonts w:hint="eastAsia"/>
                <w:lang w:val="en-US" w:eastAsia="zh-CN"/>
              </w:rPr>
              <w:t>S</w:t>
            </w:r>
            <w:r>
              <w:t>PE</w:t>
            </w:r>
            <w:r>
              <w:rPr>
                <w:rFonts w:hint="eastAsia"/>
                <w:lang w:val="en-US" w:eastAsia="zh-CN"/>
              </w:rPr>
              <w:t>C</w:t>
            </w:r>
            <w:r>
              <w:t>T/CT机房显像诊断，之后进入留观室留观，留观结束后经</w:t>
            </w:r>
            <w:r>
              <w:rPr>
                <w:rFonts w:hint="eastAsia"/>
                <w:lang w:val="en-US" w:eastAsia="zh-CN"/>
              </w:rPr>
              <w:t>北侧</w:t>
            </w:r>
            <w:r>
              <w:t>西</w:t>
            </w:r>
            <w:r>
              <w:rPr>
                <w:rFonts w:hint="eastAsia"/>
                <w:lang w:val="en-US" w:eastAsia="zh-CN"/>
              </w:rPr>
              <w:t>部</w:t>
            </w:r>
            <w:r>
              <w:t>患者出口离开</w:t>
            </w:r>
            <w:r>
              <w:rPr>
                <w:rFonts w:hint="eastAsia"/>
                <w:lang w:eastAsia="zh-CN"/>
              </w:rPr>
              <w:t>；</w:t>
            </w:r>
            <w:r>
              <w:rPr>
                <w:rFonts w:hint="eastAsia"/>
                <w:bCs/>
                <w:lang w:val="en-US" w:eastAsia="zh-CN"/>
              </w:rPr>
              <w:t>敷贴治疗的患者</w:t>
            </w:r>
            <w:r>
              <w:rPr>
                <w:rFonts w:hint="eastAsia"/>
                <w:lang w:val="en-US" w:eastAsia="zh-CN"/>
              </w:rPr>
              <w:t>可经东侧缓冲后进入敷贴室（1#、2#）接受治疗，</w:t>
            </w:r>
            <w:r>
              <w:t>结束后经</w:t>
            </w:r>
            <w:r>
              <w:rPr>
                <w:rFonts w:hint="eastAsia"/>
                <w:lang w:val="en-US" w:eastAsia="zh-CN"/>
              </w:rPr>
              <w:t>北侧</w:t>
            </w:r>
            <w:r>
              <w:t>西</w:t>
            </w:r>
            <w:r>
              <w:rPr>
                <w:rFonts w:hint="eastAsia"/>
                <w:lang w:val="en-US" w:eastAsia="zh-CN"/>
              </w:rPr>
              <w:t>部</w:t>
            </w:r>
            <w:r>
              <w:t>患者出口离开</w:t>
            </w:r>
            <w:r>
              <w:rPr>
                <w:rFonts w:hint="eastAsia"/>
                <w:lang w:eastAsia="zh-CN"/>
              </w:rPr>
              <w:t>。</w:t>
            </w:r>
          </w:p>
          <w:p w14:paraId="52652BDA">
            <w:pPr>
              <w:ind w:firstLine="480"/>
              <w:rPr>
                <w:b/>
                <w:bCs/>
              </w:rPr>
            </w:pPr>
            <w:r>
              <w:rPr>
                <w:bCs/>
              </w:rPr>
              <w:t>医院</w:t>
            </w:r>
            <w:r>
              <w:rPr>
                <w:rFonts w:hint="eastAsia"/>
                <w:bCs/>
                <w:lang w:val="en-US" w:eastAsia="zh-CN"/>
              </w:rPr>
              <w:t>外购</w:t>
            </w:r>
            <w:r>
              <w:rPr>
                <w:bCs/>
              </w:rPr>
              <w:t>的</w:t>
            </w:r>
            <w:r>
              <w:rPr>
                <w:rFonts w:hint="eastAsia"/>
                <w:bCs/>
                <w:lang w:val="en-US" w:eastAsia="zh-CN"/>
              </w:rPr>
              <w:t>显像和敷贴用</w:t>
            </w:r>
            <w:r>
              <w:rPr>
                <w:bCs/>
              </w:rPr>
              <w:t>核素</w:t>
            </w:r>
            <w:r>
              <w:rPr>
                <w:rFonts w:hint="eastAsia"/>
                <w:bCs/>
                <w:lang w:val="en-US" w:eastAsia="zh-CN"/>
              </w:rPr>
              <w:t>药物通过东侧北部的药物通道送至</w:t>
            </w:r>
            <w:r>
              <w:t>储源室</w:t>
            </w:r>
            <w:r>
              <w:rPr>
                <w:rFonts w:hint="eastAsia"/>
                <w:lang w:val="en-US" w:eastAsia="zh-CN"/>
              </w:rPr>
              <w:t>1#备用；</w:t>
            </w:r>
            <w:r>
              <w:rPr>
                <w:bCs/>
              </w:rPr>
              <w:t>医院</w:t>
            </w:r>
            <w:r>
              <w:rPr>
                <w:rFonts w:hint="eastAsia"/>
                <w:bCs/>
                <w:lang w:val="en-US" w:eastAsia="zh-CN"/>
              </w:rPr>
              <w:t>外购</w:t>
            </w:r>
            <w:r>
              <w:rPr>
                <w:bCs/>
              </w:rPr>
              <w:t>的</w:t>
            </w:r>
            <w:r>
              <w:rPr>
                <w:rFonts w:hint="eastAsia"/>
                <w:bCs/>
                <w:lang w:val="en-US" w:eastAsia="zh-CN"/>
              </w:rPr>
              <w:t>治疗用</w:t>
            </w:r>
            <w:r>
              <w:rPr>
                <w:bCs/>
              </w:rPr>
              <w:t>核素</w:t>
            </w:r>
            <w:r>
              <w:rPr>
                <w:rFonts w:hint="eastAsia"/>
                <w:bCs/>
                <w:lang w:val="en-US" w:eastAsia="zh-CN"/>
              </w:rPr>
              <w:t>药物通过西侧中部部的药物通道送至</w:t>
            </w:r>
            <w:r>
              <w:t>储源室</w:t>
            </w:r>
            <w:r>
              <w:rPr>
                <w:rFonts w:hint="eastAsia"/>
                <w:lang w:val="en-US" w:eastAsia="zh-CN"/>
              </w:rPr>
              <w:t>2#备用</w:t>
            </w:r>
            <w:r>
              <w:rPr>
                <w:bCs/>
              </w:rPr>
              <w:t>，</w:t>
            </w:r>
            <w:r>
              <w:rPr>
                <w:rFonts w:hint="eastAsia"/>
                <w:bCs/>
                <w:lang w:val="en-US" w:eastAsia="zh-CN"/>
              </w:rPr>
              <w:t>工作时医护人员可直接从</w:t>
            </w:r>
            <w:r>
              <w:t>储源室</w:t>
            </w:r>
            <w:r>
              <w:rPr>
                <w:rFonts w:hint="eastAsia"/>
                <w:lang w:val="en-US" w:eastAsia="zh-CN"/>
              </w:rPr>
              <w:t>领用至</w:t>
            </w:r>
            <w:r>
              <w:rPr>
                <w:bCs/>
              </w:rPr>
              <w:t>分装室。</w:t>
            </w:r>
            <w:r>
              <w:t>放射性药物能以最短距离进入非密封放射性物质工作场所内</w:t>
            </w:r>
            <w:r>
              <w:rPr>
                <w:bCs/>
              </w:rPr>
              <w:t>，从而有效限制了</w:t>
            </w:r>
            <w:r>
              <w:t>放射性药物</w:t>
            </w:r>
            <w:r>
              <w:rPr>
                <w:bCs/>
              </w:rPr>
              <w:t>运送影响的范围。从布局来说，</w:t>
            </w:r>
            <w:r>
              <w:t>放射性药物</w:t>
            </w:r>
            <w:r>
              <w:rPr>
                <w:bCs/>
              </w:rPr>
              <w:t>路径设置合理。</w:t>
            </w:r>
          </w:p>
          <w:p w14:paraId="347A73D2">
            <w:pPr>
              <w:ind w:firstLine="480"/>
            </w:pPr>
            <w:r>
              <w:t>负一层设置</w:t>
            </w:r>
            <w:r>
              <w:rPr>
                <w:rFonts w:hint="eastAsia"/>
                <w:lang w:val="en-US" w:eastAsia="zh-CN"/>
              </w:rPr>
              <w:t>1</w:t>
            </w:r>
            <w:r>
              <w:t>间放废暂存间</w:t>
            </w:r>
            <w:r>
              <w:rPr>
                <w:rFonts w:hint="eastAsia"/>
                <w:lang w:val="en-US" w:eastAsia="zh-CN"/>
              </w:rPr>
              <w:t>用于</w:t>
            </w:r>
            <w:r>
              <w:t>暂存医护区域产生的放射性固废（分装注射过程中产生的一次性注射器、</w:t>
            </w:r>
            <w:r>
              <w:rPr>
                <w:bCs/>
              </w:rPr>
              <w:t>针头、手套、药瓶</w:t>
            </w:r>
            <w:r>
              <w:rPr>
                <w:rFonts w:hint="eastAsia"/>
                <w:bCs/>
                <w:lang w:eastAsia="zh-CN"/>
              </w:rPr>
              <w:t>、</w:t>
            </w:r>
            <w:r>
              <w:rPr>
                <w:rFonts w:hint="eastAsia"/>
                <w:bCs/>
                <w:lang w:val="en-US" w:eastAsia="zh-CN"/>
              </w:rPr>
              <w:t>口服纸杯</w:t>
            </w:r>
            <w:r>
              <w:rPr>
                <w:bCs/>
              </w:rPr>
              <w:t>等</w:t>
            </w:r>
            <w:r>
              <w:t>），暂存一定时间后，经监测达标后按医疗废物处理，由工作人员在下班后、无患者时从</w:t>
            </w:r>
            <w:r>
              <w:rPr>
                <w:rFonts w:hint="eastAsia"/>
                <w:lang w:val="en-US" w:eastAsia="zh-CN"/>
              </w:rPr>
              <w:t>北</w:t>
            </w:r>
            <w:r>
              <w:t>侧</w:t>
            </w:r>
            <w:r>
              <w:rPr>
                <w:rFonts w:hint="eastAsia"/>
                <w:lang w:val="en-US" w:eastAsia="zh-CN"/>
              </w:rPr>
              <w:t>西部的</w:t>
            </w:r>
            <w:r>
              <w:t>患者通道出口运出。放射性废物在场所内部的流程路径较短，避免了对其他人员的二次照射，同时该区域人员流动少，降低了对医护及公众照射的可能性，废物路径设置合理。</w:t>
            </w:r>
          </w:p>
          <w:p w14:paraId="658F0A0B">
            <w:pPr>
              <w:rPr>
                <w:rFonts w:hint="eastAsia" w:eastAsia="宋体"/>
                <w:lang w:eastAsia="zh-CN"/>
              </w:rPr>
            </w:pPr>
            <w:r>
              <w:rPr>
                <w:sz w:val="24"/>
              </w:rPr>
              <mc:AlternateContent>
                <mc:Choice Requires="wps">
                  <w:drawing>
                    <wp:anchor distT="0" distB="0" distL="114300" distR="114300" simplePos="0" relativeHeight="251669504" behindDoc="0" locked="0" layoutInCell="1" allowOverlap="1">
                      <wp:simplePos x="0" y="0"/>
                      <wp:positionH relativeFrom="column">
                        <wp:posOffset>1653540</wp:posOffset>
                      </wp:positionH>
                      <wp:positionV relativeFrom="paragraph">
                        <wp:posOffset>153670</wp:posOffset>
                      </wp:positionV>
                      <wp:extent cx="145415" cy="427355"/>
                      <wp:effectExtent l="38100" t="0" r="6985" b="29845"/>
                      <wp:wrapNone/>
                      <wp:docPr id="37" name="任意多边形 37"/>
                      <wp:cNvGraphicFramePr/>
                      <a:graphic xmlns:a="http://schemas.openxmlformats.org/drawingml/2006/main">
                        <a:graphicData uri="http://schemas.microsoft.com/office/word/2010/wordprocessingShape">
                          <wps:wsp>
                            <wps:cNvSpPr/>
                            <wps:spPr>
                              <a:xfrm>
                                <a:off x="2847975" y="4559300"/>
                                <a:ext cx="145415" cy="427355"/>
                              </a:xfrm>
                              <a:custGeom>
                                <a:avLst/>
                                <a:gdLst>
                                  <a:gd name="connisteX0" fmla="*/ 145415 w 145415"/>
                                  <a:gd name="connsiteY0" fmla="*/ 427355 h 427355"/>
                                  <a:gd name="connisteX1" fmla="*/ 0 w 145415"/>
                                  <a:gd name="connsiteY1" fmla="*/ 427355 h 427355"/>
                                  <a:gd name="connisteX2" fmla="*/ 0 w 145415"/>
                                  <a:gd name="connsiteY2" fmla="*/ 0 h 427355"/>
                                </a:gdLst>
                                <a:ahLst/>
                                <a:cxnLst>
                                  <a:cxn ang="0">
                                    <a:pos x="connisteX0" y="connsiteY0"/>
                                  </a:cxn>
                                  <a:cxn ang="0">
                                    <a:pos x="connisteX1" y="connsiteY1"/>
                                  </a:cxn>
                                  <a:cxn ang="0">
                                    <a:pos x="connisteX2" y="connsiteY2"/>
                                  </a:cxn>
                                </a:cxnLst>
                                <a:rect l="l" t="t" r="r" b="b"/>
                                <a:pathLst>
                                  <a:path w="145415" h="427355">
                                    <a:moveTo>
                                      <a:pt x="145415" y="427355"/>
                                    </a:moveTo>
                                    <a:lnTo>
                                      <a:pt x="0" y="427355"/>
                                    </a:lnTo>
                                    <a:lnTo>
                                      <a:pt x="0" y="0"/>
                                    </a:lnTo>
                                  </a:path>
                                </a:pathLst>
                              </a:custGeom>
                              <a:ln>
                                <a:solidFill>
                                  <a:srgbClr val="7030A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30.2pt;margin-top:12.1pt;height:33.65pt;width:11.45pt;z-index:251669504;mso-width-relative:page;mso-height-relative:page;" filled="f" stroked="t" coordsize="145415,427355" o:gfxdata="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" path="m145415,427355l0,427355,0,0e">
                      <v:path o:connectlocs="145415,427355;0,427355;0,0" o:connectangles="0,0,0"/>
                      <v:fill on="f" focussize="0,0"/>
                      <v:stroke weight="2pt" color="#7030A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column">
                        <wp:posOffset>4204335</wp:posOffset>
                      </wp:positionH>
                      <wp:positionV relativeFrom="paragraph">
                        <wp:posOffset>139700</wp:posOffset>
                      </wp:positionV>
                      <wp:extent cx="168910" cy="1311910"/>
                      <wp:effectExtent l="37465" t="0" r="41275" b="2540"/>
                      <wp:wrapNone/>
                      <wp:docPr id="29" name="任意多边形 29"/>
                      <wp:cNvGraphicFramePr/>
                      <a:graphic xmlns:a="http://schemas.openxmlformats.org/drawingml/2006/main">
                        <a:graphicData uri="http://schemas.microsoft.com/office/word/2010/wordprocessingShape">
                          <wps:wsp>
                            <wps:cNvSpPr/>
                            <wps:spPr>
                              <a:xfrm>
                                <a:off x="5941695" y="4441190"/>
                                <a:ext cx="168910" cy="1311910"/>
                              </a:xfrm>
                              <a:custGeom>
                                <a:avLst/>
                                <a:gdLst>
                                  <a:gd name="connisteX0" fmla="*/ 0 w 149860"/>
                                  <a:gd name="connsiteY0" fmla="*/ 0 h 1520190"/>
                                  <a:gd name="connisteX1" fmla="*/ 4445 w 149860"/>
                                  <a:gd name="connsiteY1" fmla="*/ 635000 h 1520190"/>
                                  <a:gd name="connisteX2" fmla="*/ 149860 w 149860"/>
                                  <a:gd name="connsiteY2" fmla="*/ 635000 h 1520190"/>
                                  <a:gd name="connisteX3" fmla="*/ 149860 w 149860"/>
                                  <a:gd name="connsiteY3" fmla="*/ 1520190 h 1520190"/>
                                </a:gdLst>
                                <a:ahLst/>
                                <a:cxnLst>
                                  <a:cxn ang="0">
                                    <a:pos x="connisteX0" y="connsiteY0"/>
                                  </a:cxn>
                                  <a:cxn ang="0">
                                    <a:pos x="connisteX1" y="connsiteY1"/>
                                  </a:cxn>
                                  <a:cxn ang="0">
                                    <a:pos x="connisteX2" y="connsiteY2"/>
                                  </a:cxn>
                                  <a:cxn ang="0">
                                    <a:pos x="connisteX3" y="connsiteY3"/>
                                  </a:cxn>
                                </a:cxnLst>
                                <a:rect l="l" t="t" r="r" b="b"/>
                                <a:pathLst>
                                  <a:path w="149860" h="1520190">
                                    <a:moveTo>
                                      <a:pt x="0" y="0"/>
                                    </a:moveTo>
                                    <a:lnTo>
                                      <a:pt x="4445" y="635000"/>
                                    </a:lnTo>
                                    <a:lnTo>
                                      <a:pt x="149860" y="635000"/>
                                    </a:lnTo>
                                    <a:lnTo>
                                      <a:pt x="149860" y="1520190"/>
                                    </a:lnTo>
                                  </a:path>
                                </a:pathLst>
                              </a:custGeom>
                              <a:ln>
                                <a:solidFill>
                                  <a:schemeClr val="accent6"/>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331.05pt;margin-top:11pt;height:103.3pt;width:13.3pt;z-index:251663360;mso-width-relative:page;mso-height-relative:page;" filled="f" stroked="t" coordsize="149860,1520190" o:gfxdata="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" path="m0,0l4445,635000,149860,635000,149860,1520190e">
                      <v:path o:connectlocs="0,0;5010,547999;168910,547999;168910,1311910" o:connectangles="0,0,0,0"/>
                      <v:fill on="f" focussize="0,0"/>
                      <v:stroke weight="2pt" color="#4EA72E [3209]" miterlimit="8" joinstyle="miter" startarrow="block" endarrow="block"/>
                      <v:imagedata o:title=""/>
                      <o:lock v:ext="edit" aspectratio="f"/>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4374515</wp:posOffset>
                      </wp:positionH>
                      <wp:positionV relativeFrom="paragraph">
                        <wp:posOffset>367665</wp:posOffset>
                      </wp:positionV>
                      <wp:extent cx="285750" cy="0"/>
                      <wp:effectExtent l="0" t="38100" r="0" b="38100"/>
                      <wp:wrapNone/>
                      <wp:docPr id="33" name="直接箭头连接符 33"/>
                      <wp:cNvGraphicFramePr/>
                      <a:graphic xmlns:a="http://schemas.openxmlformats.org/drawingml/2006/main">
                        <a:graphicData uri="http://schemas.microsoft.com/office/word/2010/wordprocessingShape">
                          <wps:wsp>
                            <wps:cNvCnPr/>
                            <wps:spPr>
                              <a:xfrm flipH="1">
                                <a:off x="6445250" y="4773295"/>
                                <a:ext cx="285750" cy="0"/>
                              </a:xfrm>
                              <a:prstGeom prst="straightConnector1">
                                <a:avLst/>
                              </a:prstGeom>
                              <a:ln>
                                <a:solidFill>
                                  <a:srgbClr val="00B0F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44.45pt;margin-top:28.95pt;height:0pt;width:22.5pt;z-index:251666432;mso-width-relative:page;mso-height-relative:page;" filled="f" stroked="t" coordsize="21600,21600" o:gfxdata="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9+FnL1wAAAAkBAAAPAAAAAAAAAAEAIAAAACIAAABkcnMvZG93bnJldi54bWxQ&#10;SwECFAAUAAAACACHTuJA24hqHDECAAAjBAAADgAAAAAAAAABACAAAAAmAQAAZHJzL2Uyb0RvYy54&#10;bWxQSwUGAAAAAAYABgBZAQAAyQUAAAAA&#10;">
                      <v:fill on="f" focussize="0,0"/>
                      <v:stroke weight="2pt" color="#00B0F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288925</wp:posOffset>
                      </wp:positionH>
                      <wp:positionV relativeFrom="paragraph">
                        <wp:posOffset>1685290</wp:posOffset>
                      </wp:positionV>
                      <wp:extent cx="372110" cy="0"/>
                      <wp:effectExtent l="0" t="38100" r="8890" b="38100"/>
                      <wp:wrapNone/>
                      <wp:docPr id="32" name="直接箭头连接符 32"/>
                      <wp:cNvGraphicFramePr/>
                      <a:graphic xmlns:a="http://schemas.openxmlformats.org/drawingml/2006/main">
                        <a:graphicData uri="http://schemas.microsoft.com/office/word/2010/wordprocessingShape">
                          <wps:wsp>
                            <wps:cNvCnPr/>
                            <wps:spPr>
                              <a:xfrm>
                                <a:off x="1283335" y="6329045"/>
                                <a:ext cx="372110" cy="0"/>
                              </a:xfrm>
                              <a:prstGeom prst="straightConnector1">
                                <a:avLst/>
                              </a:prstGeom>
                              <a:ln>
                                <a:solidFill>
                                  <a:srgbClr val="00B0F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75pt;margin-top:132.7pt;height:0pt;width:29.3pt;z-index:251665408;mso-width-relative:page;mso-height-relative:page;" filled="f" stroked="t" coordsize="21600,21600" o:gfxdata="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LiQNv1wAAAAoBAAAPAAAAAAAAAAEAIAAAACIAAABkcnMvZG93bnJldi54bWxQSwECFAAU&#10;AAAACACHTuJAzriRcSsCAAAZBAAADgAAAAAAAAABACAAAAAmAQAAZHJzL2Uyb0RvYy54bWxQSwUG&#10;AAAAAAYABgBZAQAAwwUAAAAA&#10;">
                      <v:fill on="f" focussize="0,0"/>
                      <v:stroke weight="2pt" color="#00B0F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64384" behindDoc="0" locked="0" layoutInCell="1" allowOverlap="1">
                      <wp:simplePos x="0" y="0"/>
                      <wp:positionH relativeFrom="column">
                        <wp:posOffset>823595</wp:posOffset>
                      </wp:positionH>
                      <wp:positionV relativeFrom="paragraph">
                        <wp:posOffset>1946275</wp:posOffset>
                      </wp:positionV>
                      <wp:extent cx="603250" cy="279400"/>
                      <wp:effectExtent l="36195" t="0" r="8255" b="25400"/>
                      <wp:wrapNone/>
                      <wp:docPr id="31" name="任意多边形 31"/>
                      <wp:cNvGraphicFramePr/>
                      <a:graphic xmlns:a="http://schemas.openxmlformats.org/drawingml/2006/main">
                        <a:graphicData uri="http://schemas.microsoft.com/office/word/2010/wordprocessingShape">
                          <wps:wsp>
                            <wps:cNvSpPr/>
                            <wps:spPr>
                              <a:xfrm>
                                <a:off x="1900555" y="6623050"/>
                                <a:ext cx="603250" cy="279400"/>
                              </a:xfrm>
                              <a:custGeom>
                                <a:avLst/>
                                <a:gdLst>
                                  <a:gd name="connisteX0" fmla="*/ 739140 w 739140"/>
                                  <a:gd name="connsiteY0" fmla="*/ 332105 h 332105"/>
                                  <a:gd name="connisteX1" fmla="*/ 8890 w 739140"/>
                                  <a:gd name="connsiteY1" fmla="*/ 332105 h 332105"/>
                                  <a:gd name="connisteX2" fmla="*/ 0 w 739140"/>
                                  <a:gd name="connsiteY2" fmla="*/ 0 h 332105"/>
                                </a:gdLst>
                                <a:ahLst/>
                                <a:cxnLst>
                                  <a:cxn ang="0">
                                    <a:pos x="connisteX0" y="connsiteY0"/>
                                  </a:cxn>
                                  <a:cxn ang="0">
                                    <a:pos x="connisteX1" y="connsiteY1"/>
                                  </a:cxn>
                                  <a:cxn ang="0">
                                    <a:pos x="connisteX2" y="connsiteY2"/>
                                  </a:cxn>
                                </a:cxnLst>
                                <a:rect l="l" t="t" r="r" b="b"/>
                                <a:pathLst>
                                  <a:path w="739140" h="332105">
                                    <a:moveTo>
                                      <a:pt x="739140" y="332105"/>
                                    </a:moveTo>
                                    <a:lnTo>
                                      <a:pt x="8890" y="332105"/>
                                    </a:lnTo>
                                    <a:lnTo>
                                      <a:pt x="0" y="0"/>
                                    </a:lnTo>
                                  </a:path>
                                </a:pathLst>
                              </a:custGeom>
                              <a:ln>
                                <a:solidFill>
                                  <a:schemeClr val="accent6"/>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64.85pt;margin-top:153.25pt;height:22pt;width:47.5pt;z-index:251664384;mso-width-relative:page;mso-height-relative:page;" filled="f" stroked="t" coordsize="739140,332105" o:gfxdata="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AMtCV3VAAAACwEAAA8AAAAA&#10;AAAAAQAgAAAAIgAAAGRycy9kb3ducmV2LnhtbFBLAQIUABQAAAAIAIdO4kBZfr1u+wIAAO4GAAAO&#10;AAAAAAAAAAEAIAAAACQBAABkcnMvZTJvRG9jLnhtbFBLBQYAAAAABgAGAFkBAACRBgAAAAA=&#10;" path="m739140,332105l8890,332105,0,0e">
                      <v:path o:connectlocs="603250,279400;7255,279400;0,0" o:connectangles="0,0,0"/>
                      <v:fill on="f" focussize="0,0"/>
                      <v:stroke weight="2pt" color="#4EA72E [3209]"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1434465</wp:posOffset>
                      </wp:positionH>
                      <wp:positionV relativeFrom="paragraph">
                        <wp:posOffset>1724660</wp:posOffset>
                      </wp:positionV>
                      <wp:extent cx="1381760" cy="1143635"/>
                      <wp:effectExtent l="31115" t="0" r="53975" b="18415"/>
                      <wp:wrapNone/>
                      <wp:docPr id="28" name="任意多边形 28"/>
                      <wp:cNvGraphicFramePr/>
                      <a:graphic xmlns:a="http://schemas.openxmlformats.org/drawingml/2006/main">
                        <a:graphicData uri="http://schemas.microsoft.com/office/word/2010/wordprocessingShape">
                          <wps:wsp>
                            <wps:cNvSpPr/>
                            <wps:spPr>
                              <a:xfrm>
                                <a:off x="2648585" y="6349365"/>
                                <a:ext cx="1381760" cy="1143635"/>
                              </a:xfrm>
                              <a:custGeom>
                                <a:avLst/>
                                <a:gdLst>
                                  <a:gd name="connisteX0" fmla="*/ 9525 w 1628775"/>
                                  <a:gd name="connsiteY0" fmla="*/ 1438275 h 1438275"/>
                                  <a:gd name="connisteX1" fmla="*/ 0 w 1628775"/>
                                  <a:gd name="connsiteY1" fmla="*/ 561975 h 1438275"/>
                                  <a:gd name="connisteX2" fmla="*/ 0 w 1628775"/>
                                  <a:gd name="connsiteY2" fmla="*/ 390525 h 1438275"/>
                                  <a:gd name="connisteX3" fmla="*/ 1628775 w 1628775"/>
                                  <a:gd name="connsiteY3" fmla="*/ 390525 h 1438275"/>
                                  <a:gd name="connisteX4" fmla="*/ 1628775 w 1628775"/>
                                  <a:gd name="connsiteY4" fmla="*/ 0 h 14382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628775" h="1438275">
                                    <a:moveTo>
                                      <a:pt x="9525" y="1438275"/>
                                    </a:moveTo>
                                    <a:lnTo>
                                      <a:pt x="0" y="561975"/>
                                    </a:lnTo>
                                    <a:lnTo>
                                      <a:pt x="0" y="390525"/>
                                    </a:lnTo>
                                    <a:lnTo>
                                      <a:pt x="1628775" y="390525"/>
                                    </a:lnTo>
                                    <a:lnTo>
                                      <a:pt x="1628775" y="0"/>
                                    </a:lnTo>
                                  </a:path>
                                </a:pathLst>
                              </a:custGeom>
                              <a:ln>
                                <a:solidFill>
                                  <a:schemeClr val="accent6"/>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12.95pt;margin-top:135.8pt;height:90.05pt;width:108.8pt;z-index:251662336;mso-width-relative:page;mso-height-relative:page;" filled="f" stroked="t" coordsize="1628775,1438275" o:gfxdata="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" path="m9525,1438275l0,561975,0,390525,1628775,390525,1628775,0e">
                      <v:path o:connectlocs="8080,1143635;0,446850;0,310523;1381760,310523;1381760,0" o:connectangles="0,0,0,0,0"/>
                      <v:fill on="f" focussize="0,0"/>
                      <v:stroke weight="2pt" color="#4EA72E [3209]" miterlimit="8" joinstyle="miter" startarrow="block" endarrow="block"/>
                      <v:imagedata o:title=""/>
                      <o:lock v:ext="edit" aspectratio="f"/>
                    </v:shape>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1484630</wp:posOffset>
                      </wp:positionH>
                      <wp:positionV relativeFrom="paragraph">
                        <wp:posOffset>860425</wp:posOffset>
                      </wp:positionV>
                      <wp:extent cx="1344930" cy="1226185"/>
                      <wp:effectExtent l="12700" t="5715" r="13970" b="25400"/>
                      <wp:wrapNone/>
                      <wp:docPr id="36" name="任意多边形 36"/>
                      <wp:cNvGraphicFramePr/>
                      <a:graphic xmlns:a="http://schemas.openxmlformats.org/drawingml/2006/main">
                        <a:graphicData uri="http://schemas.microsoft.com/office/word/2010/wordprocessingShape">
                          <wps:wsp>
                            <wps:cNvSpPr/>
                            <wps:spPr>
                              <a:xfrm>
                                <a:off x="2716530" y="5313045"/>
                                <a:ext cx="1344930" cy="1226185"/>
                              </a:xfrm>
                              <a:custGeom>
                                <a:avLst/>
                                <a:gdLst>
                                  <a:gd name="connisteX0" fmla="*/ 1193165 w 1193165"/>
                                  <a:gd name="connsiteY0" fmla="*/ 1455420 h 1455420"/>
                                  <a:gd name="connisteX1" fmla="*/ 0 w 1193165"/>
                                  <a:gd name="connsiteY1" fmla="*/ 1455420 h 1455420"/>
                                  <a:gd name="connisteX2" fmla="*/ 0 w 1193165"/>
                                  <a:gd name="connsiteY2" fmla="*/ 80645 h 1455420"/>
                                  <a:gd name="connisteX3" fmla="*/ 31750 w 1193165"/>
                                  <a:gd name="connsiteY3" fmla="*/ 0 h 1455420"/>
                                </a:gdLst>
                                <a:ahLst/>
                                <a:cxnLst>
                                  <a:cxn ang="0">
                                    <a:pos x="connisteX0" y="connsiteY0"/>
                                  </a:cxn>
                                  <a:cxn ang="0">
                                    <a:pos x="connisteX1" y="connsiteY1"/>
                                  </a:cxn>
                                  <a:cxn ang="0">
                                    <a:pos x="connisteX2" y="connsiteY2"/>
                                  </a:cxn>
                                  <a:cxn ang="0">
                                    <a:pos x="connisteX3" y="connsiteY3"/>
                                  </a:cxn>
                                </a:cxnLst>
                                <a:rect l="l" t="t" r="r" b="b"/>
                                <a:pathLst>
                                  <a:path w="1193165" h="1455420">
                                    <a:moveTo>
                                      <a:pt x="1193165" y="1455420"/>
                                    </a:moveTo>
                                    <a:lnTo>
                                      <a:pt x="0" y="1455420"/>
                                    </a:lnTo>
                                    <a:lnTo>
                                      <a:pt x="0" y="80645"/>
                                    </a:lnTo>
                                    <a:lnTo>
                                      <a:pt x="31750" y="0"/>
                                    </a:lnTo>
                                  </a:path>
                                </a:pathLst>
                              </a:custGeom>
                              <a:ln>
                                <a:solidFill>
                                  <a:srgbClr val="FF0000"/>
                                </a:solidFill>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16.9pt;margin-top:67.75pt;height:96.55pt;width:105.9pt;z-index:251668480;mso-width-relative:page;mso-height-relative:page;" filled="f" stroked="t" coordsize="1193165,1455420" o:gfxdata="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" path="m1193165,1455420l0,1455420,0,80645,31750,0e">
                      <v:path o:connectlocs="1344930,1226185;0,1226185;0,67943;35788,0" o:connectangles="0,0,0,0"/>
                      <v:fill on="f" focussize="0,0"/>
                      <v:stroke weight="2pt" color="#FF0000 [3204]" miterlimit="8" joinstyle="miter"/>
                      <v:imagedata o:title=""/>
                      <o:lock v:ext="edit" aspectratio="f"/>
                    </v:shape>
                  </w:pict>
                </mc:Fallback>
              </mc:AlternateContent>
            </w:r>
            <w:r>
              <w:rPr>
                <w:sz w:val="24"/>
              </w:rPr>
              <mc:AlternateContent>
                <mc:Choice Requires="wps">
                  <w:drawing>
                    <wp:anchor distT="0" distB="0" distL="114300" distR="114300" simplePos="0" relativeHeight="251670528" behindDoc="0" locked="0" layoutInCell="1" allowOverlap="1">
                      <wp:simplePos x="0" y="0"/>
                      <wp:positionH relativeFrom="column">
                        <wp:posOffset>839470</wp:posOffset>
                      </wp:positionH>
                      <wp:positionV relativeFrom="paragraph">
                        <wp:posOffset>1420495</wp:posOffset>
                      </wp:positionV>
                      <wp:extent cx="635000" cy="0"/>
                      <wp:effectExtent l="0" t="38100" r="12700" b="38100"/>
                      <wp:wrapNone/>
                      <wp:docPr id="38" name="直接箭头连接符 38"/>
                      <wp:cNvGraphicFramePr/>
                      <a:graphic xmlns:a="http://schemas.openxmlformats.org/drawingml/2006/main">
                        <a:graphicData uri="http://schemas.microsoft.com/office/word/2010/wordprocessingShape">
                          <wps:wsp>
                            <wps:cNvCnPr/>
                            <wps:spPr>
                              <a:xfrm flipH="1">
                                <a:off x="2716530" y="5988050"/>
                                <a:ext cx="635000" cy="0"/>
                              </a:xfrm>
                              <a:prstGeom prst="straightConnector1">
                                <a:avLst/>
                              </a:pr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66.1pt;margin-top:111.85pt;height:0pt;width:50pt;z-index:251670528;mso-width-relative:page;mso-height-relative:page;" filled="f" stroked="t" coordsize="21600,21600" o:gfxdata="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Mw72vVAAAACwEAAA8AAAAAAAAAAQAgAAAAIgAAAGRycy9kb3ducmV2LnhtbFBLAQIU&#10;ABQAAAAIAIdO4kC/YzYlLwIAACMEAAAOAAAAAAAAAAEAIAAAACQBAABkcnMvZTJvRG9jLnhtbFBL&#10;BQYAAAAABgAGAFkBAADFBQAAAAA=&#10;">
                      <v:fill on="f" focussize="0,0"/>
                      <v:stroke weight="2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2626995</wp:posOffset>
                      </wp:positionH>
                      <wp:positionV relativeFrom="paragraph">
                        <wp:posOffset>916305</wp:posOffset>
                      </wp:positionV>
                      <wp:extent cx="0" cy="245110"/>
                      <wp:effectExtent l="38100" t="0" r="38100" b="2540"/>
                      <wp:wrapNone/>
                      <wp:docPr id="39" name="直接箭头连接符 39"/>
                      <wp:cNvGraphicFramePr/>
                      <a:graphic xmlns:a="http://schemas.openxmlformats.org/drawingml/2006/main">
                        <a:graphicData uri="http://schemas.microsoft.com/office/word/2010/wordprocessingShape">
                          <wps:wsp>
                            <wps:cNvCnPr/>
                            <wps:spPr>
                              <a:xfrm>
                                <a:off x="4059555" y="5452745"/>
                                <a:ext cx="0" cy="245110"/>
                              </a:xfrm>
                              <a:prstGeom prst="straightConnector1">
                                <a:avLst/>
                              </a:pr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6.85pt;margin-top:72.15pt;height:19.3pt;width:0pt;z-index:251671552;mso-width-relative:page;mso-height-relative:page;" filled="f" stroked="t" coordsize="21600,21600" o:gfxdata="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iSLM9gAAAALAQAADwAAAAAAAAABACAAAAAiAAAAZHJzL2Rvd25yZXYueG1sUEsBAhQA&#10;FAAAAAgAh07iQFh6N8grAgAAGQQAAA4AAAAAAAAAAQAgAAAAJwEAAGRycy9lMm9Eb2MueG1sUEsF&#10;BgAAAAAGAAYAWQEAAMQFAAAAAA==&#10;">
                      <v:fill on="f" focussize="0,0"/>
                      <v:stroke weight="2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72576" behindDoc="0" locked="0" layoutInCell="1" allowOverlap="1">
                      <wp:simplePos x="0" y="0"/>
                      <wp:positionH relativeFrom="column">
                        <wp:posOffset>3192145</wp:posOffset>
                      </wp:positionH>
                      <wp:positionV relativeFrom="paragraph">
                        <wp:posOffset>913765</wp:posOffset>
                      </wp:positionV>
                      <wp:extent cx="0" cy="245110"/>
                      <wp:effectExtent l="38100" t="0" r="38100" b="2540"/>
                      <wp:wrapNone/>
                      <wp:docPr id="40" name="直接箭头连接符 40"/>
                      <wp:cNvGraphicFramePr/>
                      <a:graphic xmlns:a="http://schemas.openxmlformats.org/drawingml/2006/main">
                        <a:graphicData uri="http://schemas.microsoft.com/office/word/2010/wordprocessingShape">
                          <wps:wsp>
                            <wps:cNvCnPr/>
                            <wps:spPr>
                              <a:xfrm>
                                <a:off x="0" y="0"/>
                                <a:ext cx="0" cy="245110"/>
                              </a:xfrm>
                              <a:prstGeom prst="straightConnector1">
                                <a:avLst/>
                              </a:pr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1.35pt;margin-top:71.95pt;height:19.3pt;width:0pt;z-index:251672576;mso-width-relative:page;mso-height-relative:page;" filled="f" stroked="t" coordsize="21600,21600" o:gfxdata="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X1Y9SdcAAAALAQAA&#10;DwAAAAAAAAABACAAAAAiAAAAZHJzL2Rvd25yZXYueG1sUEsBAhQAFAAAAAgAh07iQJWoD3UaAgAA&#10;DQQAAA4AAAAAAAAAAQAgAAAAJgEAAGRycy9lMm9Eb2MueG1sUEsFBgAAAAAGAAYAWQEAALIFAAAA&#10;AA==&#10;">
                      <v:fill on="f" focussize="0,0"/>
                      <v:stroke weight="2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3730625</wp:posOffset>
                      </wp:positionH>
                      <wp:positionV relativeFrom="paragraph">
                        <wp:posOffset>612775</wp:posOffset>
                      </wp:positionV>
                      <wp:extent cx="4445" cy="232410"/>
                      <wp:effectExtent l="36830" t="0" r="34925" b="15240"/>
                      <wp:wrapNone/>
                      <wp:docPr id="42" name="直接箭头连接符 42"/>
                      <wp:cNvGraphicFramePr/>
                      <a:graphic xmlns:a="http://schemas.openxmlformats.org/drawingml/2006/main">
                        <a:graphicData uri="http://schemas.microsoft.com/office/word/2010/wordprocessingShape">
                          <wps:wsp>
                            <wps:cNvCnPr/>
                            <wps:spPr>
                              <a:xfrm flipH="1" flipV="1">
                                <a:off x="0" y="0"/>
                                <a:ext cx="4445" cy="232410"/>
                              </a:xfrm>
                              <a:prstGeom prst="straightConnector1">
                                <a:avLst/>
                              </a:pr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93.75pt;margin-top:48.25pt;height:18.3pt;width:0.35pt;z-index:251674624;mso-width-relative:page;mso-height-relative:page;" filled="f" stroked="t" coordsize="21600,21600" o:gfxdata="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PpXI93AAAAAoBAAAPAAAAAAAAAAEAIAAAACIAAABkcnMvZG93bnJldi54bWxQ&#10;SwECFAAUAAAACACHTuJAtHBVdywCAAAkBAAADgAAAAAAAAABACAAAAArAQAAZHJzL2Uyb0RvYy54&#10;bWxQSwUGAAAAAAYABgBZAQAAyQUAAAAA&#10;">
                      <v:fill on="f" focussize="0,0"/>
                      <v:stroke weight="2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3879850</wp:posOffset>
                      </wp:positionH>
                      <wp:positionV relativeFrom="paragraph">
                        <wp:posOffset>1539875</wp:posOffset>
                      </wp:positionV>
                      <wp:extent cx="290195" cy="1270"/>
                      <wp:effectExtent l="0" t="37465" r="14605" b="37465"/>
                      <wp:wrapNone/>
                      <wp:docPr id="41" name="直接箭头连接符 41"/>
                      <wp:cNvGraphicFramePr/>
                      <a:graphic xmlns:a="http://schemas.openxmlformats.org/drawingml/2006/main">
                        <a:graphicData uri="http://schemas.microsoft.com/office/word/2010/wordprocessingShape">
                          <wps:wsp>
                            <wps:cNvCnPr/>
                            <wps:spPr>
                              <a:xfrm>
                                <a:off x="0" y="0"/>
                                <a:ext cx="290195" cy="1270"/>
                              </a:xfrm>
                              <a:prstGeom prst="straightConnector1">
                                <a:avLst/>
                              </a:pr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05.5pt;margin-top:121.25pt;height:0.1pt;width:22.85pt;z-index:251673600;mso-width-relative:page;mso-height-relative:page;" filled="f" stroked="t" coordsize="21600,21600" o:gfxdata="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9MDDH&#10;2QAAAAsBAAAPAAAAAAAAAAEAIAAAACIAAABkcnMvZG93bnJldi54bWxQSwECFAAUAAAACACHTuJA&#10;CnN74CACAAAQBAAADgAAAAAAAAABACAAAAAoAQAAZHJzL2Uyb0RvYy54bWxQSwUGAAAAAAYABgBZ&#10;AQAAugUAAAAA&#10;">
                      <v:fill on="f" focussize="0,0"/>
                      <v:stroke weight="2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1572895</wp:posOffset>
                      </wp:positionH>
                      <wp:positionV relativeFrom="paragraph">
                        <wp:posOffset>-19685</wp:posOffset>
                      </wp:positionV>
                      <wp:extent cx="2312670" cy="3023235"/>
                      <wp:effectExtent l="12700" t="0" r="17780" b="5715"/>
                      <wp:wrapNone/>
                      <wp:docPr id="35" name="任意多边形 35"/>
                      <wp:cNvGraphicFramePr/>
                      <a:graphic xmlns:a="http://schemas.openxmlformats.org/drawingml/2006/main">
                        <a:graphicData uri="http://schemas.microsoft.com/office/word/2010/wordprocessingShape">
                          <wps:wsp>
                            <wps:cNvSpPr/>
                            <wps:spPr>
                              <a:xfrm>
                                <a:off x="2748280" y="4424045"/>
                                <a:ext cx="2312670" cy="3023235"/>
                              </a:xfrm>
                              <a:custGeom>
                                <a:avLst/>
                                <a:gdLst>
                                  <a:gd name="connisteX0" fmla="*/ 1161415 w 2816860"/>
                                  <a:gd name="connsiteY0" fmla="*/ 3365500 h 3365500"/>
                                  <a:gd name="connisteX1" fmla="*/ 1156970 w 2816860"/>
                                  <a:gd name="connsiteY1" fmla="*/ 2344420 h 3365500"/>
                                  <a:gd name="connisteX2" fmla="*/ 2816860 w 2816860"/>
                                  <a:gd name="connsiteY2" fmla="*/ 2344420 h 3365500"/>
                                  <a:gd name="connisteX3" fmla="*/ 2816860 w 2816860"/>
                                  <a:gd name="connsiteY3" fmla="*/ 979170 h 3365500"/>
                                  <a:gd name="connisteX4" fmla="*/ 0 w 2816860"/>
                                  <a:gd name="connsiteY4" fmla="*/ 979170 h 3365500"/>
                                  <a:gd name="connisteX5" fmla="*/ 0 w 2816860"/>
                                  <a:gd name="connsiteY5" fmla="*/ 385445 h 3365500"/>
                                  <a:gd name="connisteX6" fmla="*/ 99695 w 2816860"/>
                                  <a:gd name="connsiteY6" fmla="*/ 0 h 33655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2816860" h="3365500">
                                    <a:moveTo>
                                      <a:pt x="1161415" y="3365500"/>
                                    </a:moveTo>
                                    <a:lnTo>
                                      <a:pt x="1156970" y="2344420"/>
                                    </a:lnTo>
                                    <a:lnTo>
                                      <a:pt x="2816860" y="2344420"/>
                                    </a:lnTo>
                                    <a:lnTo>
                                      <a:pt x="2816860" y="979170"/>
                                    </a:lnTo>
                                    <a:lnTo>
                                      <a:pt x="0" y="979170"/>
                                    </a:lnTo>
                                    <a:lnTo>
                                      <a:pt x="0" y="385445"/>
                                    </a:lnTo>
                                    <a:lnTo>
                                      <a:pt x="99695" y="0"/>
                                    </a:lnTo>
                                  </a:path>
                                </a:pathLst>
                              </a:cu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23.85pt;margin-top:-1.55pt;height:238.05pt;width:182.1pt;z-index:251667456;mso-width-relative:page;mso-height-relative:page;" filled="f" stroked="t" coordsize="2816860,3365500" o:gfxdata="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" path="m1161415,3365500l1156970,2344420,2816860,2344420,2816860,979170,0,979170,0,385445,99695,0e">
                      <v:path o:connectlocs="953533,3023235;949883,2105996;2312670,2105996;2312670,879590;0,879590;0,346245;81850,0" o:connectangles="0,0,0,0,0,0,0"/>
                      <v:fill on="f" focussize="0,0"/>
                      <v:stroke weight="2pt" color="#FF0000 [3204]" miterlimit="8" joinstyle="miter" endarrow="block"/>
                      <v:imagedata o:title=""/>
                      <o:lock v:ext="edit" aspectratio="f"/>
                    </v:shape>
                  </w:pict>
                </mc:Fallback>
              </mc:AlternateContent>
            </w:r>
            <w:r>
              <w:rPr>
                <w:rFonts w:hint="eastAsia" w:eastAsia="宋体"/>
                <w:lang w:eastAsia="zh-CN"/>
              </w:rPr>
              <w:drawing>
                <wp:inline distT="0" distB="0" distL="114300" distR="114300">
                  <wp:extent cx="3945890" cy="5581015"/>
                  <wp:effectExtent l="0" t="0" r="635" b="16510"/>
                  <wp:docPr id="3" name="图片 3" descr="负一层核医学科平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负一层核医学科平面-1"/>
                          <pic:cNvPicPr>
                            <a:picLocks noChangeAspect="1"/>
                          </pic:cNvPicPr>
                        </pic:nvPicPr>
                        <pic:blipFill>
                          <a:blip r:embed="rId20"/>
                          <a:stretch>
                            <a:fillRect/>
                          </a:stretch>
                        </pic:blipFill>
                        <pic:spPr>
                          <a:xfrm rot="16200000">
                            <a:off x="0" y="0"/>
                            <a:ext cx="3945890" cy="5581015"/>
                          </a:xfrm>
                          <a:prstGeom prst="rect">
                            <a:avLst/>
                          </a:prstGeom>
                        </pic:spPr>
                      </pic:pic>
                    </a:graphicData>
                  </a:graphic>
                </wp:inline>
              </w:drawing>
            </w:r>
          </w:p>
          <w:tbl>
            <w:tblPr>
              <w:tblStyle w:val="57"/>
              <w:tblW w:w="0" w:type="auto"/>
              <w:jc w:val="center"/>
              <w:tblLayout w:type="autofit"/>
              <w:tblCellMar>
                <w:top w:w="0" w:type="dxa"/>
                <w:left w:w="108" w:type="dxa"/>
                <w:bottom w:w="0" w:type="dxa"/>
                <w:right w:w="108" w:type="dxa"/>
              </w:tblCellMar>
            </w:tblPr>
            <w:tblGrid>
              <w:gridCol w:w="805"/>
              <w:gridCol w:w="1142"/>
              <w:gridCol w:w="883"/>
              <w:gridCol w:w="1215"/>
              <w:gridCol w:w="870"/>
              <w:gridCol w:w="1170"/>
              <w:gridCol w:w="855"/>
              <w:gridCol w:w="1155"/>
            </w:tblGrid>
            <w:tr w14:paraId="7D537CBB">
              <w:tblPrEx>
                <w:tblCellMar>
                  <w:top w:w="0" w:type="dxa"/>
                  <w:left w:w="108" w:type="dxa"/>
                  <w:bottom w:w="0" w:type="dxa"/>
                  <w:right w:w="108" w:type="dxa"/>
                </w:tblCellMar>
              </w:tblPrEx>
              <w:trPr>
                <w:trHeight w:val="317" w:hRule="atLeast"/>
                <w:jc w:val="center"/>
              </w:trPr>
              <w:tc>
                <w:tcPr>
                  <w:tcW w:w="805" w:type="dxa"/>
                  <w:noWrap w:val="0"/>
                  <w:vAlign w:val="top"/>
                </w:tcPr>
                <w:p w14:paraId="3B2200A7">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75648" behindDoc="0" locked="0" layoutInCell="1" allowOverlap="1">
                            <wp:simplePos x="0" y="0"/>
                            <wp:positionH relativeFrom="column">
                              <wp:posOffset>-41910</wp:posOffset>
                            </wp:positionH>
                            <wp:positionV relativeFrom="paragraph">
                              <wp:posOffset>105410</wp:posOffset>
                            </wp:positionV>
                            <wp:extent cx="420370" cy="4445"/>
                            <wp:effectExtent l="0" t="37465" r="17780" b="34290"/>
                            <wp:wrapNone/>
                            <wp:docPr id="43" name="直线 134"/>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00B05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4" o:spid="_x0000_s1026" o:spt="20" style="position:absolute;left:0pt;flip:y;margin-left:-3.3pt;margin-top:8.3pt;height:0.35pt;width:33.1pt;z-index:251675648;mso-width-relative:page;mso-height-relative:page;" filled="f" stroked="t" coordsize="21600,21600" o:gfxdata="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EBJ+PUAAAABwEAAA8AAAAAAAAA&#10;AQAgAAAAIgAAAGRycy9kb3ducmV2LnhtbFBLAQIUABQAAAAIAIdO4kANn/w8FQIAABwEAAAOAAAA&#10;AAAAAAEAIAAAACMBAABkcnMvZTJvRG9jLnhtbFBLBQYAAAAABgAGAFkBAACqBQAAAAA=&#10;">
                            <v:fill on="f" focussize="0,0"/>
                            <v:stroke weight="1.5pt" color="#00B050 [3204]" miterlimit="8" joinstyle="miter" endarrow="block"/>
                            <v:imagedata o:title=""/>
                            <o:lock v:ext="edit" aspectratio="f"/>
                          </v:line>
                        </w:pict>
                      </mc:Fallback>
                    </mc:AlternateContent>
                  </w:r>
                </w:p>
              </w:tc>
              <w:tc>
                <w:tcPr>
                  <w:tcW w:w="1142" w:type="dxa"/>
                  <w:noWrap w:val="0"/>
                  <w:vAlign w:val="top"/>
                </w:tcPr>
                <w:p w14:paraId="59AC840A">
                  <w:pPr>
                    <w:pStyle w:val="79"/>
                    <w:spacing w:line="360" w:lineRule="auto"/>
                    <w:ind w:left="0"/>
                    <w:rPr>
                      <w:rFonts w:ascii="Times New Roman"/>
                      <w:sz w:val="21"/>
                      <w:szCs w:val="21"/>
                    </w:rPr>
                  </w:pPr>
                  <w:r>
                    <w:rPr>
                      <w:rFonts w:hint="eastAsia" w:ascii="Times New Roman"/>
                      <w:sz w:val="21"/>
                      <w:szCs w:val="21"/>
                      <w:lang w:val="en-US" w:eastAsia="zh-CN"/>
                    </w:rPr>
                    <w:t>医护</w:t>
                  </w:r>
                  <w:r>
                    <w:rPr>
                      <w:rFonts w:ascii="Times New Roman"/>
                      <w:sz w:val="21"/>
                      <w:szCs w:val="21"/>
                    </w:rPr>
                    <w:t>通道</w:t>
                  </w:r>
                </w:p>
              </w:tc>
              <w:tc>
                <w:tcPr>
                  <w:tcW w:w="883" w:type="dxa"/>
                  <w:noWrap w:val="0"/>
                  <w:vAlign w:val="top"/>
                </w:tcPr>
                <w:p w14:paraId="7FE1BAF7">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76672" behindDoc="0" locked="0" layoutInCell="1" allowOverlap="1">
                            <wp:simplePos x="0" y="0"/>
                            <wp:positionH relativeFrom="column">
                              <wp:posOffset>-17145</wp:posOffset>
                            </wp:positionH>
                            <wp:positionV relativeFrom="paragraph">
                              <wp:posOffset>99695</wp:posOffset>
                            </wp:positionV>
                            <wp:extent cx="420370" cy="4445"/>
                            <wp:effectExtent l="0" t="37465" r="17780" b="34290"/>
                            <wp:wrapNone/>
                            <wp:docPr id="44" name="直线 135"/>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FF000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5" o:spid="_x0000_s1026" o:spt="20" style="position:absolute;left:0pt;flip:y;margin-left:-1.35pt;margin-top:7.85pt;height:0.35pt;width:33.1pt;z-index:251676672;mso-width-relative:page;mso-height-relative:page;" filled="f" stroked="t" coordsize="21600,21600" o:gfxdata="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10eS/XAAAABwEAAA8AAAAA&#10;AAAAAQAgAAAAIgAAAGRycy9kb3ducmV2LnhtbFBLAQIUABQAAAAIAIdO4kD5qUD1FQIAABwEAAAO&#10;AAAAAAAAAAEAIAAAACYBAABkcnMvZTJvRG9jLnhtbFBLBQYAAAAABgAGAFkBAACtBQAAAAA=&#10;">
                            <v:fill on="f" focussize="0,0"/>
                            <v:stroke weight="1.5pt" color="#FF0000 [3204]" miterlimit="8" joinstyle="miter" endarrow="block"/>
                            <v:imagedata o:title=""/>
                            <o:lock v:ext="edit" aspectratio="f"/>
                          </v:line>
                        </w:pict>
                      </mc:Fallback>
                    </mc:AlternateContent>
                  </w:r>
                </w:p>
              </w:tc>
              <w:tc>
                <w:tcPr>
                  <w:tcW w:w="1215" w:type="dxa"/>
                  <w:noWrap w:val="0"/>
                  <w:vAlign w:val="top"/>
                </w:tcPr>
                <w:p w14:paraId="107A9397">
                  <w:pPr>
                    <w:pStyle w:val="79"/>
                    <w:spacing w:line="360" w:lineRule="auto"/>
                    <w:ind w:left="0"/>
                    <w:rPr>
                      <w:rFonts w:ascii="Times New Roman"/>
                      <w:sz w:val="21"/>
                      <w:szCs w:val="21"/>
                    </w:rPr>
                  </w:pPr>
                  <w:r>
                    <w:rPr>
                      <w:rFonts w:hint="eastAsia" w:ascii="Times New Roman"/>
                      <w:sz w:val="21"/>
                      <w:szCs w:val="21"/>
                      <w:lang w:val="en-US" w:eastAsia="zh-CN"/>
                    </w:rPr>
                    <w:t>患者</w:t>
                  </w:r>
                  <w:r>
                    <w:rPr>
                      <w:rFonts w:ascii="Times New Roman"/>
                      <w:sz w:val="21"/>
                      <w:szCs w:val="21"/>
                    </w:rPr>
                    <w:t>通道</w:t>
                  </w:r>
                </w:p>
              </w:tc>
              <w:tc>
                <w:tcPr>
                  <w:tcW w:w="870" w:type="dxa"/>
                  <w:noWrap w:val="0"/>
                  <w:vAlign w:val="top"/>
                </w:tcPr>
                <w:p w14:paraId="5AB0E6E2">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77696" behindDoc="0" locked="0" layoutInCell="1" allowOverlap="1">
                            <wp:simplePos x="0" y="0"/>
                            <wp:positionH relativeFrom="column">
                              <wp:posOffset>-27940</wp:posOffset>
                            </wp:positionH>
                            <wp:positionV relativeFrom="paragraph">
                              <wp:posOffset>106045</wp:posOffset>
                            </wp:positionV>
                            <wp:extent cx="387985" cy="1905"/>
                            <wp:effectExtent l="0" t="37465" r="12065" b="36830"/>
                            <wp:wrapNone/>
                            <wp:docPr id="45" name="直线 136"/>
                            <wp:cNvGraphicFramePr/>
                            <a:graphic xmlns:a="http://schemas.openxmlformats.org/drawingml/2006/main">
                              <a:graphicData uri="http://schemas.microsoft.com/office/word/2010/wordprocessingShape">
                                <wps:wsp>
                                  <wps:cNvCnPr/>
                                  <wps:spPr>
                                    <a:xfrm flipV="1">
                                      <a:off x="0" y="0"/>
                                      <a:ext cx="387985" cy="1905"/>
                                    </a:xfrm>
                                    <a:prstGeom prst="line">
                                      <a:avLst/>
                                    </a:prstGeom>
                                    <a:ln>
                                      <a:solidFill>
                                        <a:srgbClr val="00B0F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6" o:spid="_x0000_s1026" o:spt="20" style="position:absolute;left:0pt;flip:y;margin-left:-2.2pt;margin-top:8.35pt;height:0.15pt;width:30.55pt;z-index:251677696;mso-width-relative:page;mso-height-relative:page;" filled="f" stroked="t" coordsize="21600,21600" o:gfxdata="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Ftp9YAAAAHAQAADwAAAAAA&#10;AAABACAAAAAiAAAAZHJzL2Rvd25yZXYueG1sUEsBAhQAFAAAAAgAh07iQMqxFh4VAgAAHAQAAA4A&#10;AAAAAAAAAQAgAAAAJQEAAGRycy9lMm9Eb2MueG1sUEsFBgAAAAAGAAYAWQEAAKwFAAAAAA==&#10;">
                            <v:fill on="f" focussize="0,0"/>
                            <v:stroke weight="1.5pt" color="#00B0F0 [3204]" miterlimit="8" joinstyle="miter" endarrow="block"/>
                            <v:imagedata o:title=""/>
                            <o:lock v:ext="edit" aspectratio="f"/>
                          </v:line>
                        </w:pict>
                      </mc:Fallback>
                    </mc:AlternateContent>
                  </w:r>
                </w:p>
              </w:tc>
              <w:tc>
                <w:tcPr>
                  <w:tcW w:w="1170" w:type="dxa"/>
                  <w:noWrap w:val="0"/>
                  <w:vAlign w:val="top"/>
                </w:tcPr>
                <w:p w14:paraId="29B65374">
                  <w:pPr>
                    <w:pStyle w:val="79"/>
                    <w:spacing w:line="360" w:lineRule="auto"/>
                    <w:ind w:left="0"/>
                    <w:rPr>
                      <w:rFonts w:ascii="Times New Roman"/>
                      <w:sz w:val="21"/>
                      <w:szCs w:val="21"/>
                    </w:rPr>
                  </w:pPr>
                  <w:r>
                    <w:rPr>
                      <w:rFonts w:hint="eastAsia" w:ascii="Times New Roman"/>
                      <w:sz w:val="21"/>
                      <w:szCs w:val="21"/>
                      <w:lang w:val="en-US" w:eastAsia="zh-CN"/>
                    </w:rPr>
                    <w:t>药物</w:t>
                  </w:r>
                  <w:r>
                    <w:rPr>
                      <w:rFonts w:ascii="Times New Roman"/>
                      <w:sz w:val="21"/>
                      <w:szCs w:val="21"/>
                    </w:rPr>
                    <w:t>通道</w:t>
                  </w:r>
                </w:p>
              </w:tc>
              <w:tc>
                <w:tcPr>
                  <w:tcW w:w="855" w:type="dxa"/>
                  <w:noWrap w:val="0"/>
                  <w:vAlign w:val="top"/>
                </w:tcPr>
                <w:p w14:paraId="42FD88C4">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78720" behindDoc="0" locked="0" layoutInCell="1" allowOverlap="1">
                            <wp:simplePos x="0" y="0"/>
                            <wp:positionH relativeFrom="column">
                              <wp:posOffset>19685</wp:posOffset>
                            </wp:positionH>
                            <wp:positionV relativeFrom="paragraph">
                              <wp:posOffset>96520</wp:posOffset>
                            </wp:positionV>
                            <wp:extent cx="387985" cy="1905"/>
                            <wp:effectExtent l="0" t="37465" r="12065" b="36830"/>
                            <wp:wrapNone/>
                            <wp:docPr id="46" name="直线 136"/>
                            <wp:cNvGraphicFramePr/>
                            <a:graphic xmlns:a="http://schemas.openxmlformats.org/drawingml/2006/main">
                              <a:graphicData uri="http://schemas.microsoft.com/office/word/2010/wordprocessingShape">
                                <wps:wsp>
                                  <wps:cNvCnPr/>
                                  <wps:spPr>
                                    <a:xfrm flipV="1">
                                      <a:off x="0" y="0"/>
                                      <a:ext cx="387985" cy="1905"/>
                                    </a:xfrm>
                                    <a:prstGeom prst="line">
                                      <a:avLst/>
                                    </a:prstGeom>
                                    <a:ln>
                                      <a:solidFill>
                                        <a:srgbClr val="7030A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6" o:spid="_x0000_s1026" o:spt="20" style="position:absolute;left:0pt;flip:y;margin-left:1.55pt;margin-top:7.6pt;height:0.15pt;width:30.55pt;z-index:251678720;mso-width-relative:page;mso-height-relative:page;" filled="f" stroked="t" coordsize="21600,21600" o:gfxdata="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fQYLVAAAABgEAAA8AAAAA&#10;AAAAAQAgAAAAIgAAAGRycy9kb3ducmV2LnhtbFBLAQIUABQAAAAIAIdO4kBBSFe+FwIAABwEAAAO&#10;AAAAAAAAAAEAIAAAACQBAABkcnMvZTJvRG9jLnhtbFBLBQYAAAAABgAGAFkBAACtBQAAAAA=&#10;">
                            <v:fill on="f" focussize="0,0"/>
                            <v:stroke weight="1.5pt" color="#7030A0 [3204]" miterlimit="8" joinstyle="miter" endarrow="block"/>
                            <v:imagedata o:title=""/>
                            <o:lock v:ext="edit" aspectratio="f"/>
                          </v:line>
                        </w:pict>
                      </mc:Fallback>
                    </mc:AlternateContent>
                  </w:r>
                </w:p>
              </w:tc>
              <w:tc>
                <w:tcPr>
                  <w:tcW w:w="1155" w:type="dxa"/>
                  <w:noWrap w:val="0"/>
                  <w:vAlign w:val="top"/>
                </w:tcPr>
                <w:p w14:paraId="6D8D3067">
                  <w:pPr>
                    <w:pStyle w:val="79"/>
                    <w:spacing w:line="360" w:lineRule="auto"/>
                    <w:ind w:left="0"/>
                    <w:rPr>
                      <w:rFonts w:hint="default" w:ascii="Times New Roman" w:eastAsia="宋体"/>
                      <w:sz w:val="21"/>
                      <w:szCs w:val="21"/>
                      <w:lang w:val="en-US" w:eastAsia="zh-CN"/>
                    </w:rPr>
                  </w:pPr>
                  <w:r>
                    <w:rPr>
                      <w:rFonts w:hint="eastAsia" w:ascii="Times New Roman"/>
                      <w:sz w:val="21"/>
                      <w:szCs w:val="21"/>
                      <w:lang w:val="en-US" w:eastAsia="zh-CN"/>
                    </w:rPr>
                    <w:t>放废通道</w:t>
                  </w:r>
                </w:p>
              </w:tc>
            </w:tr>
          </w:tbl>
          <w:p w14:paraId="4F335A6E">
            <w:pPr>
              <w:pStyle w:val="55"/>
              <w:ind w:firstLine="210"/>
              <w:jc w:val="center"/>
              <w:rPr>
                <w:rFonts w:hint="eastAsia" w:eastAsia="黑体"/>
                <w:bCs/>
                <w:sz w:val="21"/>
                <w:szCs w:val="21"/>
                <w:lang w:val="zh-CN" w:eastAsia="zh-CN"/>
              </w:rPr>
            </w:pPr>
            <w:r>
              <w:rPr>
                <w:rFonts w:eastAsia="黑体"/>
                <w:bCs/>
                <w:sz w:val="21"/>
                <w:szCs w:val="21"/>
                <w:lang w:val="zh-CN"/>
              </w:rPr>
              <w:t>图9-</w:t>
            </w:r>
            <w:r>
              <w:rPr>
                <w:rFonts w:hint="eastAsia" w:eastAsia="黑体"/>
                <w:bCs/>
                <w:sz w:val="21"/>
                <w:szCs w:val="21"/>
                <w:lang w:val="en-US" w:eastAsia="zh-CN"/>
              </w:rPr>
              <w:t>5</w:t>
            </w:r>
            <w:r>
              <w:rPr>
                <w:rFonts w:eastAsia="黑体"/>
                <w:bCs/>
                <w:sz w:val="21"/>
                <w:szCs w:val="21"/>
                <w:lang w:val="zh-CN"/>
              </w:rPr>
              <w:t xml:space="preserve">  本项目</w:t>
            </w:r>
            <w:r>
              <w:rPr>
                <w:rFonts w:hint="eastAsia" w:eastAsia="黑体"/>
                <w:bCs/>
                <w:sz w:val="21"/>
                <w:szCs w:val="21"/>
                <w:lang w:val="en-US" w:eastAsia="zh-CN"/>
              </w:rPr>
              <w:t>核医学科</w:t>
            </w:r>
            <w:r>
              <w:rPr>
                <w:rFonts w:eastAsia="黑体"/>
                <w:bCs/>
                <w:sz w:val="21"/>
                <w:szCs w:val="21"/>
                <w:lang w:val="zh-CN"/>
              </w:rPr>
              <w:t>区域</w:t>
            </w:r>
            <w:r>
              <w:rPr>
                <w:rFonts w:hint="eastAsia" w:eastAsia="黑体"/>
                <w:bCs/>
                <w:sz w:val="21"/>
                <w:szCs w:val="21"/>
                <w:lang w:val="zh-CN"/>
              </w:rPr>
              <w:t>患者、医护、污物</w:t>
            </w:r>
            <w:r>
              <w:rPr>
                <w:rFonts w:hint="eastAsia" w:eastAsia="黑体"/>
                <w:bCs/>
                <w:sz w:val="21"/>
                <w:szCs w:val="21"/>
                <w:highlight w:val="none"/>
                <w:lang w:val="zh-CN"/>
              </w:rPr>
              <w:t>流通路径图</w:t>
            </w:r>
          </w:p>
          <w:p w14:paraId="58BA0F89">
            <w:pPr>
              <w:ind w:firstLine="480"/>
              <w:rPr>
                <w:b/>
                <w:bCs/>
              </w:rPr>
            </w:pPr>
            <w:r>
              <w:t>本项目</w:t>
            </w:r>
            <w:r>
              <w:rPr>
                <w:bCs/>
              </w:rPr>
              <w:t>负一层</w:t>
            </w:r>
            <w:r>
              <w:rPr>
                <w:rFonts w:hint="eastAsia"/>
                <w:lang w:val="en-US" w:eastAsia="zh-CN"/>
              </w:rPr>
              <w:t>核医学科</w:t>
            </w:r>
            <w:r>
              <w:t>工作场所相关配套布局能够保证各项工作程序沿着相关房间单向开展，最大限度地减少了人员的流动性，有助于实施工作程序；医护人员与患者有各自独立的通道，非密封放射性物质工作场所布局满足《核医学辐射防护与安全要求》（HJ1188-2021）中关于临床核医学工作场所的要求。</w:t>
            </w:r>
          </w:p>
          <w:p w14:paraId="26027999">
            <w:pPr>
              <w:rPr>
                <w:rFonts w:eastAsia="黑体"/>
              </w:rPr>
            </w:pPr>
            <w:r>
              <w:rPr>
                <w:rFonts w:hint="eastAsia" w:eastAsia="黑体"/>
                <w:lang w:val="en-US" w:eastAsia="zh-CN"/>
              </w:rPr>
              <w:t>二</w:t>
            </w:r>
            <w:r>
              <w:rPr>
                <w:rFonts w:eastAsia="黑体"/>
              </w:rPr>
              <w:t>、</w:t>
            </w:r>
            <w:r>
              <w:rPr>
                <w:rFonts w:hint="eastAsia" w:eastAsia="黑体"/>
                <w:lang w:val="en-US" w:eastAsia="zh-CN"/>
              </w:rPr>
              <w:t>四</w:t>
            </w:r>
            <w:r>
              <w:rPr>
                <w:rFonts w:eastAsia="黑体"/>
              </w:rPr>
              <w:t>层</w:t>
            </w:r>
            <w:r>
              <w:rPr>
                <w:rFonts w:hint="eastAsia" w:eastAsia="黑体"/>
                <w:lang w:val="en-US" w:eastAsia="zh-CN"/>
              </w:rPr>
              <w:t>手术部和内镜中心</w:t>
            </w:r>
            <w:r>
              <w:rPr>
                <w:rFonts w:eastAsia="黑体"/>
              </w:rPr>
              <w:t>工艺分析</w:t>
            </w:r>
          </w:p>
          <w:p w14:paraId="47FF9A7A">
            <w:pPr>
              <w:ind w:firstLine="480"/>
            </w:pPr>
            <w:r>
              <w:rPr>
                <w:rFonts w:hint="eastAsia"/>
                <w:lang w:val="en-US" w:eastAsia="zh-CN"/>
              </w:rPr>
              <w:t>四</w:t>
            </w:r>
            <w:r>
              <w:t>层</w:t>
            </w:r>
            <w:r>
              <w:rPr>
                <w:rFonts w:hint="eastAsia"/>
                <w:lang w:val="en-US" w:eastAsia="zh-CN"/>
              </w:rPr>
              <w:t>手术部和内镜中心涉及1台DSA+CT复合设置、3台DSA和1台ERCP，均属于</w:t>
            </w:r>
            <w:r>
              <w:rPr>
                <w:rFonts w:hint="default" w:ascii="Times New Roman" w:hAnsi="Times New Roman" w:cs="Times New Roman"/>
                <w:lang w:val="en-US" w:eastAsia="zh-CN"/>
              </w:rPr>
              <w:t>Ⅱ</w:t>
            </w:r>
            <w:r>
              <w:rPr>
                <w:rFonts w:hint="eastAsia"/>
                <w:lang w:val="en-US" w:eastAsia="zh-CN"/>
              </w:rPr>
              <w:t>类射线装置，用于介入治疗</w:t>
            </w:r>
            <w:r>
              <w:t>。</w:t>
            </w:r>
          </w:p>
          <w:p w14:paraId="33D6277E">
            <w:pPr>
              <w:ind w:firstLine="482"/>
              <w:rPr>
                <w:b/>
                <w:bCs/>
              </w:rPr>
            </w:pPr>
            <w:r>
              <w:rPr>
                <w:b/>
                <w:bCs/>
              </w:rPr>
              <w:t>1、工艺原理</w:t>
            </w:r>
          </w:p>
          <w:p w14:paraId="145FBD41">
            <w:pPr>
              <w:ind w:firstLine="480" w:firstLineChars="200"/>
              <w:rPr>
                <w:rFonts w:hint="default" w:eastAsia="宋体"/>
                <w:lang w:val="en-US" w:eastAsia="zh-CN"/>
              </w:rPr>
            </w:pPr>
            <w:r>
              <w:rPr>
                <w:rFonts w:hint="eastAsia"/>
                <w:lang w:eastAsia="zh-CN"/>
              </w:rPr>
              <w:t>（</w:t>
            </w:r>
            <w:r>
              <w:rPr>
                <w:rFonts w:hint="eastAsia"/>
                <w:lang w:val="en-US" w:eastAsia="zh-CN"/>
              </w:rPr>
              <w:t>1</w:t>
            </w:r>
            <w:r>
              <w:rPr>
                <w:rFonts w:hint="eastAsia"/>
                <w:lang w:eastAsia="zh-CN"/>
              </w:rPr>
              <w:t>）</w:t>
            </w:r>
            <w:r>
              <w:rPr>
                <w:rFonts w:hint="eastAsia"/>
                <w:lang w:val="en-US" w:eastAsia="zh-CN"/>
              </w:rPr>
              <w:t>DSA工艺原理</w:t>
            </w:r>
          </w:p>
          <w:p w14:paraId="1AEBB5DA">
            <w:pPr>
              <w:ind w:firstLine="480" w:firstLineChars="200"/>
            </w:pPr>
            <w:r>
              <w:t>DSA是通过电子计算机进行辅助成像的血管造影方法，它是应用计算机程序进行两次成像完成的。在注入造影剂之前，首先进行第一次成像，并用计算机将图像转换成数字信号储存起来。注入造影剂后，再次成像并转换成数字信号。两次数字相减，消除相同的信号，得知一个只有造影剂的血管图像。这种图像较以往所用的常规血管造影所显示的图像更清晰和直观，一些精细的血管结构亦能显示出来。且对比度分辨率高，减去了血管以外的背景，尤其使与骨骼重叠的血管能清</w:t>
            </w:r>
            <w:r>
              <w:rPr>
                <w:rFonts w:hint="eastAsia"/>
                <w:lang w:eastAsia="zh-CN"/>
              </w:rPr>
              <w:t>楚地</w:t>
            </w:r>
            <w:r>
              <w:t>显示</w:t>
            </w:r>
            <w:r>
              <w:rPr>
                <w:rFonts w:hint="eastAsia"/>
              </w:rPr>
              <w:t>。</w:t>
            </w:r>
            <w:r>
              <w:t>通过减影处理的图像，使血管的影像更为清晰，在进行介入手术时更为安全。</w:t>
            </w:r>
          </w:p>
          <w:p w14:paraId="1A115451">
            <w:pPr>
              <w:ind w:firstLine="480" w:firstLineChars="200"/>
              <w:rPr>
                <w:rFonts w:hint="default" w:eastAsia="宋体"/>
                <w:lang w:val="en-US" w:eastAsia="zh-CN"/>
              </w:rPr>
            </w:pPr>
            <w:r>
              <w:rPr>
                <w:rFonts w:hint="eastAsia"/>
                <w:lang w:eastAsia="zh-CN"/>
              </w:rPr>
              <w:t>（</w:t>
            </w:r>
            <w:r>
              <w:rPr>
                <w:rFonts w:hint="eastAsia"/>
                <w:lang w:val="en-US" w:eastAsia="zh-CN"/>
              </w:rPr>
              <w:t>2</w:t>
            </w:r>
            <w:r>
              <w:rPr>
                <w:rFonts w:hint="eastAsia"/>
                <w:lang w:eastAsia="zh-CN"/>
              </w:rPr>
              <w:t>）</w:t>
            </w:r>
            <w:r>
              <w:rPr>
                <w:rFonts w:hint="eastAsia"/>
                <w:lang w:val="en-US" w:eastAsia="zh-CN"/>
              </w:rPr>
              <w:t>DSA+CT复合工艺原理</w:t>
            </w:r>
          </w:p>
          <w:p w14:paraId="6E9CBF21">
            <w:pPr>
              <w:ind w:firstLine="480" w:firstLineChars="200"/>
            </w:pPr>
            <w:r>
              <w:rPr>
                <w:rFonts w:hint="eastAsia"/>
                <w:lang w:eastAsia="zh-CN"/>
              </w:rPr>
              <w:t>DSA+CT</w:t>
            </w:r>
            <w:r>
              <w:t>复合手术</w:t>
            </w:r>
            <w:r>
              <w:rPr>
                <w:rFonts w:hint="eastAsia"/>
              </w:rPr>
              <w:t>时</w:t>
            </w:r>
            <w:r>
              <w:rPr>
                <w:color w:val="000000"/>
              </w:rPr>
              <w:t>CT</w:t>
            </w:r>
            <w:r>
              <w:rPr>
                <w:rFonts w:hint="eastAsia"/>
                <w:color w:val="000000"/>
              </w:rPr>
              <w:t>配合</w:t>
            </w:r>
            <w:r>
              <w:rPr>
                <w:rFonts w:hint="eastAsia"/>
              </w:rPr>
              <w:t>DSA使用，是利用CT的三维重建功能和快速扫描优势：三维重建功能可以将多个横断面图像进行三维重建，使医生能够更直观地了解病变的形态、大小和与周围组织的关系，为手术方案的制定提供更准确的依据；CT的快速扫描，能够在短时间内完成全身扫描，对于急诊患者和需要快速诊断的情况非常有利。本项目在医疗综合楼1F抢救中心建设</w:t>
            </w:r>
            <w:r>
              <w:rPr>
                <w:rFonts w:hint="eastAsia"/>
                <w:lang w:eastAsia="zh-CN"/>
              </w:rPr>
              <w:t>DSA+CT</w:t>
            </w:r>
            <w:r>
              <w:t>复合手术</w:t>
            </w:r>
            <w:r>
              <w:rPr>
                <w:rFonts w:hint="eastAsia"/>
              </w:rPr>
              <w:t>室，当对患者的病变部位图像要求比较立体时和需要对患者进行全身扫描时，可以直接快速使用CT进行扫描，实现手术的一体化流程，从诊断、治疗到术后评估都可以在同一手术室内完成，减少了患者的转运和等待时间，提高了手术效率和安全性。</w:t>
            </w:r>
          </w:p>
          <w:p w14:paraId="4FA2AC7A">
            <w:pPr>
              <w:widowControl/>
              <w:numPr>
                <w:ilvl w:val="0"/>
                <w:numId w:val="7"/>
              </w:numPr>
              <w:ind w:firstLine="480"/>
              <w:rPr>
                <w:rFonts w:hint="eastAsia"/>
                <w:lang w:val="en-US" w:eastAsia="zh-CN"/>
              </w:rPr>
            </w:pPr>
            <w:r>
              <w:rPr>
                <w:rFonts w:hint="eastAsia"/>
                <w:lang w:val="en-US" w:eastAsia="zh-CN"/>
              </w:rPr>
              <w:t>ERCP工艺原理</w:t>
            </w:r>
          </w:p>
          <w:p w14:paraId="4DE3C5B2">
            <w:pPr>
              <w:pStyle w:val="20"/>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lang w:val="en-US" w:eastAsia="zh-CN"/>
              </w:rPr>
            </w:pPr>
            <w:r>
              <w:rPr>
                <w:rFonts w:hint="default"/>
                <w:lang w:val="en-US" w:eastAsia="zh-CN"/>
              </w:rPr>
              <w:t>ERCP是经内镜逆行胰胆管造影的英文简称，是指将十二指肠镜插至十二指肠降部，找到十二指肠乳头，由活检管道内插入造影导管至乳头开口部注入造影剂后进行X线摄片，以显示胰胆管的技术。在ERCP机的基础上，可以进行十二指肠乳头括约肌切开术（EST）、内镜下鼻胆汁引流术（ENBD）、内镜下胆汁内引流术（ERBD）等介入治疗。</w:t>
            </w:r>
          </w:p>
          <w:p w14:paraId="4810B3B2">
            <w:pPr>
              <w:pStyle w:val="20"/>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lang w:val="en-US" w:eastAsia="zh-CN"/>
              </w:rPr>
            </w:pPr>
            <w:r>
              <w:rPr>
                <w:rFonts w:hint="default"/>
                <w:lang w:val="en-US" w:eastAsia="zh-CN"/>
              </w:rPr>
              <w:t>ERCP机手术造影过程中需要医生在手术室根据手术检查情况等，进行踩踏式曝光。其治疗方式属于介入治疗，介入治疗是在医学影像设备的引导下，通过置入体内的各种导管（约1.5-2毫米粗）的体外操作和独特的处理方法，对体内病变进行治疗。介入治疗具有不开刀、创伤小、恢复快、效果好的特点。</w:t>
            </w:r>
          </w:p>
          <w:p w14:paraId="105A5DDC">
            <w:pPr>
              <w:ind w:firstLine="482"/>
              <w:rPr>
                <w:b/>
                <w:bCs/>
              </w:rPr>
            </w:pPr>
            <w:r>
              <w:rPr>
                <w:b/>
                <w:bCs/>
              </w:rPr>
              <w:t>2、工艺流程及产污环节</w:t>
            </w:r>
          </w:p>
          <w:p w14:paraId="0EE66C73">
            <w:pPr>
              <w:ind w:firstLine="480" w:firstLineChars="200"/>
              <w:rPr>
                <w:color w:val="auto"/>
                <w:highlight w:val="none"/>
              </w:rPr>
            </w:pPr>
            <w:r>
              <w:rPr>
                <w:rFonts w:hint="eastAsia"/>
                <w:bCs/>
                <w:color w:val="auto"/>
                <w:highlight w:val="none"/>
              </w:rPr>
              <w:t>本项目</w:t>
            </w:r>
            <w:r>
              <w:rPr>
                <w:rFonts w:hint="eastAsia"/>
                <w:bCs/>
                <w:color w:val="auto"/>
                <w:highlight w:val="none"/>
                <w:lang w:val="en-US" w:eastAsia="zh-CN"/>
              </w:rPr>
              <w:t>门诊医技楼四层手术部</w:t>
            </w:r>
            <w:r>
              <w:rPr>
                <w:rFonts w:hint="eastAsia"/>
                <w:color w:val="auto"/>
                <w:highlight w:val="none"/>
                <w:lang w:eastAsia="zh-CN"/>
              </w:rPr>
              <w:t>DSA+CT</w:t>
            </w:r>
            <w:r>
              <w:rPr>
                <w:color w:val="auto"/>
                <w:highlight w:val="none"/>
              </w:rPr>
              <w:t>复合手术室</w:t>
            </w:r>
            <w:r>
              <w:rPr>
                <w:rFonts w:hint="eastAsia"/>
                <w:color w:val="auto"/>
                <w:highlight w:val="none"/>
              </w:rPr>
              <w:t>可以仅使用DSA功能（</w:t>
            </w:r>
            <w:r>
              <w:rPr>
                <w:rFonts w:hint="eastAsia"/>
                <w:color w:val="auto"/>
                <w:highlight w:val="none"/>
                <w:lang w:eastAsia="zh-CN"/>
              </w:rPr>
              <w:t>DSA影像</w:t>
            </w:r>
            <w:r>
              <w:rPr>
                <w:rFonts w:hint="eastAsia"/>
                <w:color w:val="auto"/>
                <w:highlight w:val="none"/>
              </w:rPr>
              <w:t>功能可以满足要求时），也可以</w:t>
            </w:r>
            <w:r>
              <w:rPr>
                <w:color w:val="auto"/>
                <w:highlight w:val="none"/>
              </w:rPr>
              <w:t>CT</w:t>
            </w:r>
            <w:r>
              <w:rPr>
                <w:rFonts w:hint="eastAsia"/>
                <w:color w:val="auto"/>
                <w:highlight w:val="none"/>
              </w:rPr>
              <w:t>配合DSA使用（病变部位图像要求比较立体或要求对患者进行全身快速扫描时）；</w:t>
            </w:r>
            <w:r>
              <w:rPr>
                <w:rFonts w:hint="eastAsia"/>
                <w:bCs/>
                <w:color w:val="auto"/>
                <w:highlight w:val="none"/>
                <w:lang w:val="en-US" w:eastAsia="zh-CN"/>
              </w:rPr>
              <w:t>3</w:t>
            </w:r>
            <w:r>
              <w:rPr>
                <w:rFonts w:hint="eastAsia"/>
                <w:color w:val="auto"/>
                <w:highlight w:val="none"/>
              </w:rPr>
              <w:t>间</w:t>
            </w:r>
            <w:r>
              <w:rPr>
                <w:color w:val="auto"/>
                <w:highlight w:val="none"/>
              </w:rPr>
              <w:t>DSA手术室</w:t>
            </w:r>
            <w:r>
              <w:rPr>
                <w:rFonts w:hint="eastAsia"/>
                <w:color w:val="auto"/>
                <w:highlight w:val="none"/>
              </w:rPr>
              <w:t>仅使用DSA功能</w:t>
            </w:r>
            <w:r>
              <w:rPr>
                <w:rFonts w:hint="eastAsia"/>
                <w:color w:val="auto"/>
                <w:highlight w:val="none"/>
                <w:lang w:eastAsia="zh-CN"/>
              </w:rPr>
              <w:t>；</w:t>
            </w:r>
            <w:r>
              <w:rPr>
                <w:rFonts w:hint="eastAsia"/>
                <w:color w:val="auto"/>
                <w:highlight w:val="none"/>
                <w:lang w:val="en-US" w:eastAsia="zh-CN"/>
              </w:rPr>
              <w:t>内镜中心ERCP室仅使用ERCP功能</w:t>
            </w:r>
            <w:r>
              <w:rPr>
                <w:rFonts w:hint="eastAsia"/>
                <w:color w:val="auto"/>
                <w:highlight w:val="none"/>
              </w:rPr>
              <w:t>。下面分</w:t>
            </w:r>
            <w:r>
              <w:rPr>
                <w:rFonts w:hint="eastAsia"/>
                <w:color w:val="auto"/>
                <w:highlight w:val="none"/>
                <w:lang w:val="en-US" w:eastAsia="zh-CN"/>
              </w:rPr>
              <w:t>别</w:t>
            </w:r>
            <w:r>
              <w:rPr>
                <w:rFonts w:hint="eastAsia"/>
                <w:color w:val="auto"/>
                <w:highlight w:val="none"/>
              </w:rPr>
              <w:t>对操作流程进行叙述。</w:t>
            </w:r>
          </w:p>
          <w:p w14:paraId="007C52D5">
            <w:pPr>
              <w:ind w:firstLine="482" w:firstLineChars="200"/>
              <w:rPr>
                <w:rFonts w:hint="eastAsia"/>
                <w:b/>
                <w:bCs/>
                <w:color w:val="000000"/>
              </w:rPr>
            </w:pPr>
            <w:r>
              <w:rPr>
                <w:rFonts w:hint="eastAsia"/>
                <w:b/>
                <w:bCs/>
                <w:color w:val="000000"/>
                <w:lang w:eastAsia="zh-CN"/>
              </w:rPr>
              <w:t>（</w:t>
            </w:r>
            <w:r>
              <w:rPr>
                <w:rFonts w:hint="eastAsia"/>
                <w:b/>
                <w:bCs/>
                <w:color w:val="000000"/>
                <w:lang w:val="en-US" w:eastAsia="zh-CN"/>
              </w:rPr>
              <w:t>1</w:t>
            </w:r>
            <w:r>
              <w:rPr>
                <w:rFonts w:hint="eastAsia"/>
                <w:b/>
                <w:bCs/>
                <w:color w:val="000000"/>
                <w:lang w:eastAsia="zh-CN"/>
              </w:rPr>
              <w:t>）</w:t>
            </w:r>
            <w:r>
              <w:rPr>
                <w:rFonts w:hint="eastAsia"/>
                <w:b/>
                <w:bCs/>
                <w:color w:val="000000"/>
              </w:rPr>
              <w:t>DSA</w:t>
            </w:r>
            <w:r>
              <w:rPr>
                <w:b/>
                <w:bCs/>
              </w:rPr>
              <w:t>工艺流程及产污环节</w:t>
            </w:r>
          </w:p>
          <w:p w14:paraId="7502CFB8">
            <w:pPr>
              <w:ind w:firstLine="480" w:firstLineChars="200"/>
              <w:rPr>
                <w:bCs/>
              </w:rPr>
            </w:pPr>
            <w:r>
              <w:rPr>
                <w:bCs/>
              </w:rPr>
              <w:fldChar w:fldCharType="begin"/>
            </w:r>
            <w:r>
              <w:rPr>
                <w:bCs/>
              </w:rPr>
              <w:instrText xml:space="preserve"> = 1 \* GB3 \* MERGEFORMAT </w:instrText>
            </w:r>
            <w:r>
              <w:rPr>
                <w:bCs/>
              </w:rPr>
              <w:fldChar w:fldCharType="separate"/>
            </w:r>
            <w:r>
              <w:rPr>
                <w:rFonts w:hint="eastAsia" w:ascii="Cambria Math" w:hAnsi="Cambria Math" w:cs="Cambria Math"/>
              </w:rPr>
              <w:t>①</w:t>
            </w:r>
            <w:r>
              <w:rPr>
                <w:bCs/>
              </w:rPr>
              <w:fldChar w:fldCharType="end"/>
            </w:r>
            <w:r>
              <w:rPr>
                <w:bCs/>
              </w:rPr>
              <w:t>接诊病人后，向病人告知可能受到的辐射危害；</w:t>
            </w:r>
            <w:r>
              <w:rPr>
                <w:bCs/>
              </w:rPr>
              <w:fldChar w:fldCharType="begin"/>
            </w:r>
            <w:r>
              <w:rPr>
                <w:bCs/>
              </w:rPr>
              <w:instrText xml:space="preserve"> = 2 \* GB3 \* MERGEFORMAT </w:instrText>
            </w:r>
            <w:r>
              <w:rPr>
                <w:bCs/>
              </w:rPr>
              <w:fldChar w:fldCharType="separate"/>
            </w:r>
            <w:r>
              <w:rPr>
                <w:rFonts w:hint="eastAsia" w:ascii="Cambria Math" w:hAnsi="Cambria Math" w:cs="Cambria Math"/>
              </w:rPr>
              <w:t>②</w:t>
            </w:r>
            <w:r>
              <w:rPr>
                <w:bCs/>
              </w:rPr>
              <w:fldChar w:fldCharType="end"/>
            </w:r>
            <w:r>
              <w:rPr>
                <w:bCs/>
              </w:rPr>
              <w:t>病人准备完毕</w:t>
            </w:r>
            <w:r>
              <w:rPr>
                <w:rFonts w:hint="eastAsia"/>
                <w:bCs/>
              </w:rPr>
              <w:t>推进</w:t>
            </w:r>
            <w:r>
              <w:rPr>
                <w:bCs/>
              </w:rPr>
              <w:t>手术室摆位、固定，</w:t>
            </w:r>
            <w:r>
              <w:rPr>
                <w:rFonts w:hint="eastAsia"/>
                <w:bCs/>
              </w:rPr>
              <w:t>医生</w:t>
            </w:r>
            <w:r>
              <w:rPr>
                <w:bCs/>
              </w:rPr>
              <w:t>对病人进行局部消毒处理和局部防护处理；</w:t>
            </w:r>
            <w:r>
              <w:rPr>
                <w:bCs/>
              </w:rPr>
              <w:fldChar w:fldCharType="begin"/>
            </w:r>
            <w:r>
              <w:rPr>
                <w:bCs/>
              </w:rPr>
              <w:instrText xml:space="preserve"> = 3 \* GB3 \* MERGEFORMAT </w:instrText>
            </w:r>
            <w:r>
              <w:rPr>
                <w:bCs/>
              </w:rPr>
              <w:fldChar w:fldCharType="separate"/>
            </w:r>
            <w:r>
              <w:rPr>
                <w:rFonts w:hint="eastAsia" w:ascii="Cambria Math" w:hAnsi="Cambria Math" w:cs="Cambria Math"/>
              </w:rPr>
              <w:t>③</w:t>
            </w:r>
            <w:r>
              <w:rPr>
                <w:bCs/>
              </w:rPr>
              <w:fldChar w:fldCharType="end"/>
            </w:r>
            <w:r>
              <w:rPr>
                <w:bCs/>
              </w:rPr>
              <w:t>医生退出手术室，通过控制室操作台对病人进行拍片；</w:t>
            </w:r>
            <w:r>
              <w:rPr>
                <w:bCs/>
              </w:rPr>
              <w:fldChar w:fldCharType="begin"/>
            </w:r>
            <w:r>
              <w:rPr>
                <w:bCs/>
              </w:rPr>
              <w:instrText xml:space="preserve"> = 4 \* GB3 \* MERGEFORMAT </w:instrText>
            </w:r>
            <w:r>
              <w:rPr>
                <w:bCs/>
              </w:rPr>
              <w:fldChar w:fldCharType="separate"/>
            </w:r>
            <w:r>
              <w:rPr>
                <w:rFonts w:hint="eastAsia" w:ascii="Cambria Math" w:hAnsi="Cambria Math" w:cs="Cambria Math"/>
              </w:rPr>
              <w:t>④</w:t>
            </w:r>
            <w:r>
              <w:rPr>
                <w:bCs/>
              </w:rPr>
              <w:fldChar w:fldCharType="end"/>
            </w:r>
            <w:r>
              <w:rPr>
                <w:bCs/>
              </w:rPr>
              <w:t>医生穿着</w:t>
            </w:r>
            <w:r>
              <w:rPr>
                <w:rFonts w:hint="eastAsia"/>
                <w:bCs/>
              </w:rPr>
              <w:t>铅</w:t>
            </w:r>
            <w:r>
              <w:rPr>
                <w:bCs/>
              </w:rPr>
              <w:t>防护服进入</w:t>
            </w:r>
            <w:r>
              <w:rPr>
                <w:rFonts w:hint="eastAsia"/>
                <w:bCs/>
              </w:rPr>
              <w:t>手术</w:t>
            </w:r>
            <w:r>
              <w:rPr>
                <w:bCs/>
              </w:rPr>
              <w:t>室，经皮穿刺静脉，送入引导钢丝及扩张管与外鞘，退出钢丝及扩张管将外鞘保留于静脉内，经鞘插入导管；</w:t>
            </w:r>
            <w:r>
              <w:rPr>
                <w:bCs/>
              </w:rPr>
              <w:fldChar w:fldCharType="begin"/>
            </w:r>
            <w:r>
              <w:rPr>
                <w:bCs/>
              </w:rPr>
              <w:instrText xml:space="preserve"> = 5 \* GB3 \* MERGEFORMAT </w:instrText>
            </w:r>
            <w:r>
              <w:rPr>
                <w:bCs/>
              </w:rPr>
              <w:fldChar w:fldCharType="separate"/>
            </w:r>
            <w:r>
              <w:rPr>
                <w:rFonts w:hint="eastAsia" w:ascii="Cambria Math" w:hAnsi="Cambria Math" w:cs="Cambria Math"/>
              </w:rPr>
              <w:t>⑤</w:t>
            </w:r>
            <w:r>
              <w:rPr>
                <w:bCs/>
              </w:rPr>
              <w:fldChar w:fldCharType="end"/>
            </w:r>
            <w:r>
              <w:rPr>
                <w:bCs/>
              </w:rPr>
              <w:t>配合射线装置透视推送导管，并将导管送入指定位置；</w:t>
            </w:r>
            <w:r>
              <w:rPr>
                <w:bCs/>
              </w:rPr>
              <w:fldChar w:fldCharType="begin"/>
            </w:r>
            <w:r>
              <w:rPr>
                <w:bCs/>
              </w:rPr>
              <w:instrText xml:space="preserve"> = 6 \* GB3 \* MERGEFORMAT </w:instrText>
            </w:r>
            <w:r>
              <w:rPr>
                <w:bCs/>
              </w:rPr>
              <w:fldChar w:fldCharType="separate"/>
            </w:r>
            <w:r>
              <w:rPr>
                <w:rFonts w:hint="eastAsia" w:ascii="Cambria Math" w:hAnsi="Cambria Math" w:cs="Cambria Math"/>
              </w:rPr>
              <w:t>⑥</w:t>
            </w:r>
            <w:r>
              <w:rPr>
                <w:bCs/>
              </w:rPr>
              <w:fldChar w:fldCharType="end"/>
            </w:r>
            <w:r>
              <w:rPr>
                <w:bCs/>
              </w:rPr>
              <w:t>完成后进行导管加压，将造影剂注入病人体内；</w:t>
            </w:r>
            <w:r>
              <w:rPr>
                <w:bCs/>
              </w:rPr>
              <w:fldChar w:fldCharType="begin"/>
            </w:r>
            <w:r>
              <w:rPr>
                <w:bCs/>
              </w:rPr>
              <w:instrText xml:space="preserve"> = 7 \* GB3 \* MERGEFORMAT </w:instrText>
            </w:r>
            <w:r>
              <w:rPr>
                <w:bCs/>
              </w:rPr>
              <w:fldChar w:fldCharType="separate"/>
            </w:r>
            <w:r>
              <w:rPr>
                <w:rFonts w:hint="eastAsia" w:ascii="Cambria Math" w:hAnsi="Cambria Math" w:cs="Cambria Math"/>
              </w:rPr>
              <w:t>⑦</w:t>
            </w:r>
            <w:r>
              <w:rPr>
                <w:bCs/>
              </w:rPr>
              <w:fldChar w:fldCharType="end"/>
            </w:r>
            <w:r>
              <w:rPr>
                <w:bCs/>
              </w:rPr>
              <w:t>完成造影剂注入后，医生退出手术室，通过控制室操作台对病人进行拍片，并进行减影处理后，得到最终病人的高清血管影像资料；</w:t>
            </w:r>
            <w:r>
              <w:rPr>
                <w:bCs/>
              </w:rPr>
              <w:fldChar w:fldCharType="begin"/>
            </w:r>
            <w:r>
              <w:rPr>
                <w:bCs/>
              </w:rPr>
              <w:instrText xml:space="preserve"> = 8 \* GB3 \* MERGEFORMAT </w:instrText>
            </w:r>
            <w:r>
              <w:rPr>
                <w:bCs/>
              </w:rPr>
              <w:fldChar w:fldCharType="separate"/>
            </w:r>
            <w:r>
              <w:rPr>
                <w:rFonts w:hint="eastAsia" w:ascii="Cambria Math" w:hAnsi="Cambria Math" w:cs="Cambria Math"/>
              </w:rPr>
              <w:t>⑧</w:t>
            </w:r>
            <w:r>
              <w:rPr>
                <w:bCs/>
              </w:rPr>
              <w:fldChar w:fldCharType="end"/>
            </w:r>
            <w:r>
              <w:rPr>
                <w:bCs/>
              </w:rPr>
              <w:t>完成减影后，医生再次进入手术室内并配合射线装置透视对病人病灶部位进行相应介入治疗。</w:t>
            </w:r>
          </w:p>
          <w:p w14:paraId="37F5AD69">
            <w:pPr>
              <w:ind w:firstLine="480" w:firstLineChars="200"/>
              <w:rPr>
                <w:bCs/>
              </w:rPr>
            </w:pPr>
            <w:r>
              <w:rPr>
                <w:rFonts w:hint="eastAsia"/>
                <w:bCs/>
              </w:rPr>
              <w:t>此处</w:t>
            </w:r>
            <w:r>
              <w:rPr>
                <w:bCs/>
              </w:rPr>
              <w:t>DSA进行出束曝光时分为两种情况：</w:t>
            </w:r>
          </w:p>
          <w:p w14:paraId="3DB88344">
            <w:pPr>
              <w:ind w:firstLine="480" w:firstLineChars="200"/>
              <w:rPr>
                <w:bCs/>
              </w:rPr>
            </w:pPr>
            <w:r>
              <w:rPr>
                <w:bCs/>
              </w:rPr>
              <w:fldChar w:fldCharType="begin"/>
            </w:r>
            <w:r>
              <w:rPr>
                <w:bCs/>
              </w:rPr>
              <w:instrText xml:space="preserve"> = 1 \* GB3 \* MERGEFORMAT </w:instrText>
            </w:r>
            <w:r>
              <w:rPr>
                <w:bCs/>
              </w:rPr>
              <w:fldChar w:fldCharType="separate"/>
            </w:r>
            <w:r>
              <w:rPr>
                <w:rFonts w:hint="eastAsia" w:ascii="Cambria Math" w:hAnsi="Cambria Math" w:cs="Cambria Math"/>
                <w:bCs/>
              </w:rPr>
              <w:t>①</w:t>
            </w:r>
            <w:r>
              <w:rPr>
                <w:bCs/>
              </w:rPr>
              <w:fldChar w:fldCharType="end"/>
            </w:r>
            <w:r>
              <w:rPr>
                <w:bCs/>
              </w:rPr>
              <w:t>拍片：操作人员采取隔室操作的方式（即操作</w:t>
            </w:r>
            <w:r>
              <w:rPr>
                <w:rFonts w:hint="eastAsia"/>
                <w:bCs/>
              </w:rPr>
              <w:t>技师</w:t>
            </w:r>
            <w:r>
              <w:rPr>
                <w:bCs/>
              </w:rPr>
              <w:t>在控制室内对病人进行曝光），医生通过铅玻璃观察窗和操作台观察手术室内病人情况，并通过对讲系统与病人交流。</w:t>
            </w:r>
          </w:p>
          <w:p w14:paraId="6117AB14">
            <w:pPr>
              <w:ind w:firstLine="480" w:firstLineChars="200"/>
              <w:rPr>
                <w:bCs/>
              </w:rPr>
            </w:pPr>
            <w:r>
              <w:rPr>
                <w:bCs/>
              </w:rPr>
              <w:fldChar w:fldCharType="begin"/>
            </w:r>
            <w:r>
              <w:rPr>
                <w:bCs/>
              </w:rPr>
              <w:instrText xml:space="preserve"> = 2 \* GB3 \* MERGEFORMAT </w:instrText>
            </w:r>
            <w:r>
              <w:rPr>
                <w:bCs/>
              </w:rPr>
              <w:fldChar w:fldCharType="separate"/>
            </w:r>
            <w:r>
              <w:rPr>
                <w:rFonts w:hint="eastAsia" w:ascii="Cambria Math" w:hAnsi="Cambria Math" w:cs="Cambria Math"/>
                <w:bCs/>
              </w:rPr>
              <w:t>②</w:t>
            </w:r>
            <w:r>
              <w:rPr>
                <w:bCs/>
              </w:rPr>
              <w:fldChar w:fldCharType="end"/>
            </w:r>
            <w:r>
              <w:rPr>
                <w:bCs/>
              </w:rPr>
              <w:t>透视：病人需进行介入手术治疗时，为更清楚的了解病人情况时会有间歇或连续曝光，并采用连续脉冲透视，此时医生位于射线装置配备的铅防护吊</w:t>
            </w:r>
            <w:r>
              <w:rPr>
                <w:rFonts w:hint="eastAsia"/>
                <w:bCs/>
              </w:rPr>
              <w:t>帘/床侧防护帘</w:t>
            </w:r>
            <w:r>
              <w:rPr>
                <w:bCs/>
              </w:rPr>
              <w:t>后面，并穿戴铅</w:t>
            </w:r>
            <w:r>
              <w:rPr>
                <w:rFonts w:hint="eastAsia"/>
                <w:bCs/>
              </w:rPr>
              <w:t>衣</w:t>
            </w:r>
            <w:r>
              <w:rPr>
                <w:bCs/>
              </w:rPr>
              <w:t>、铅眼镜等在手术室内进行同室介入手术室操作。</w:t>
            </w:r>
          </w:p>
          <w:p w14:paraId="5EC1B3BD">
            <w:pPr>
              <w:ind w:firstLine="482" w:firstLineChars="200"/>
              <w:rPr>
                <w:b/>
                <w:bCs/>
                <w:color w:val="000000"/>
              </w:rPr>
            </w:pPr>
            <w:r>
              <w:rPr>
                <w:rFonts w:hint="eastAsia"/>
                <w:b/>
                <w:bCs/>
                <w:color w:val="000000"/>
                <w:lang w:eastAsia="zh-CN"/>
              </w:rPr>
              <w:t>（</w:t>
            </w:r>
            <w:r>
              <w:rPr>
                <w:rFonts w:hint="eastAsia"/>
                <w:b/>
                <w:bCs/>
                <w:color w:val="000000"/>
                <w:lang w:val="en-US" w:eastAsia="zh-CN"/>
              </w:rPr>
              <w:t>2</w:t>
            </w:r>
            <w:r>
              <w:rPr>
                <w:rFonts w:hint="eastAsia"/>
                <w:b/>
                <w:bCs/>
                <w:color w:val="000000"/>
                <w:lang w:eastAsia="zh-CN"/>
              </w:rPr>
              <w:t>）DSA+CT</w:t>
            </w:r>
            <w:r>
              <w:rPr>
                <w:b/>
                <w:bCs/>
                <w:color w:val="000000"/>
              </w:rPr>
              <w:t>复合</w:t>
            </w:r>
            <w:r>
              <w:rPr>
                <w:b/>
                <w:bCs/>
              </w:rPr>
              <w:t>工艺流程及产污环节</w:t>
            </w:r>
          </w:p>
          <w:p w14:paraId="3BF5DE41">
            <w:pPr>
              <w:ind w:firstLine="480" w:firstLineChars="200"/>
            </w:pPr>
            <w:r>
              <w:rPr>
                <w:rFonts w:hint="eastAsia"/>
                <w:bCs/>
              </w:rPr>
              <w:t>本项目</w:t>
            </w:r>
            <w:r>
              <w:rPr>
                <w:color w:val="000000"/>
              </w:rPr>
              <w:t>CT</w:t>
            </w:r>
            <w:r>
              <w:rPr>
                <w:rFonts w:hint="eastAsia"/>
                <w:color w:val="000000"/>
              </w:rPr>
              <w:t>配合</w:t>
            </w:r>
            <w:r>
              <w:rPr>
                <w:rFonts w:hint="eastAsia"/>
              </w:rPr>
              <w:t>DSA使用时，最不利的情况是</w:t>
            </w:r>
            <w:r>
              <w:rPr>
                <w:rFonts w:hint="eastAsia"/>
                <w:color w:val="000000"/>
              </w:rPr>
              <w:t>每台手术均采用CT扫描，且介入手术前、中、后各扫描1次；</w:t>
            </w:r>
            <w:r>
              <w:rPr>
                <w:rFonts w:hint="eastAsia"/>
              </w:rPr>
              <w:t>术前在CT机房内对患者进行扫描、术中用滑轨将CT移至DSA手术室内对患者进行扫描、术后可能在DSA手术室内或者CT机房内对患者进行扫描。</w:t>
            </w:r>
            <w:r>
              <w:rPr>
                <w:rFonts w:hint="eastAsia"/>
                <w:bCs/>
              </w:rPr>
              <w:t>本项目</w:t>
            </w:r>
            <w:r>
              <w:rPr>
                <w:color w:val="000000"/>
              </w:rPr>
              <w:t>CT</w:t>
            </w:r>
            <w:r>
              <w:rPr>
                <w:rFonts w:hint="eastAsia"/>
                <w:color w:val="000000"/>
              </w:rPr>
              <w:t>机房有洁净度要求，不单独开展</w:t>
            </w:r>
            <w:r>
              <w:rPr>
                <w:rFonts w:hint="eastAsia"/>
              </w:rPr>
              <w:t>普通患者的诊断扫描工作；若介入手术没有CT扫描需求，CT不工作，CT通道门常闭；DSA和CT不会同时使用，不存在同时出束的情况。</w:t>
            </w:r>
            <w:r>
              <w:rPr>
                <w:rFonts w:hint="eastAsia"/>
                <w:lang w:eastAsia="zh-CN"/>
              </w:rPr>
              <w:t>DSA+CT</w:t>
            </w:r>
            <w:r>
              <w:t>复合</w:t>
            </w:r>
            <w:r>
              <w:rPr>
                <w:rFonts w:hint="eastAsia"/>
              </w:rPr>
              <w:t>手术具体操作流程如下：</w:t>
            </w:r>
          </w:p>
          <w:p w14:paraId="2D7FFDAF">
            <w:pPr>
              <w:pStyle w:val="1260"/>
              <w:ind w:firstLine="480" w:firstLineChars="200"/>
              <w:rPr>
                <w:bCs/>
              </w:rPr>
            </w:pPr>
            <w:r>
              <w:rPr>
                <w:rFonts w:hint="eastAsia"/>
                <w:bCs/>
              </w:rPr>
              <w:t>在上述普通DSA的操作流程基础上，增加CT的操作：</w:t>
            </w:r>
            <w:r>
              <w:rPr>
                <w:bCs/>
              </w:rPr>
              <w:fldChar w:fldCharType="begin"/>
            </w:r>
            <w:r>
              <w:rPr>
                <w:bCs/>
              </w:rPr>
              <w:instrText xml:space="preserve"> = 1 \* GB3 \* MERGEFORMAT </w:instrText>
            </w:r>
            <w:r>
              <w:rPr>
                <w:bCs/>
              </w:rPr>
              <w:fldChar w:fldCharType="separate"/>
            </w:r>
            <w:r>
              <w:rPr>
                <w:rFonts w:hint="eastAsia"/>
              </w:rPr>
              <w:t>①</w:t>
            </w:r>
            <w:r>
              <w:rPr>
                <w:bCs/>
              </w:rPr>
              <w:fldChar w:fldCharType="end"/>
            </w:r>
            <w:r>
              <w:rPr>
                <w:rFonts w:hint="eastAsia"/>
                <w:bCs/>
              </w:rPr>
              <w:t>术前病人由患者缓冲间推进CT机房，</w:t>
            </w:r>
            <w:r>
              <w:rPr>
                <w:bCs/>
              </w:rPr>
              <w:t>医生退出</w:t>
            </w:r>
            <w:r>
              <w:rPr>
                <w:rFonts w:hint="eastAsia"/>
                <w:bCs/>
              </w:rPr>
              <w:t>机房</w:t>
            </w:r>
            <w:r>
              <w:rPr>
                <w:bCs/>
              </w:rPr>
              <w:t>，通过控制室操作台</w:t>
            </w:r>
            <w:r>
              <w:rPr>
                <w:rFonts w:hint="eastAsia"/>
                <w:bCs/>
              </w:rPr>
              <w:t>对病人进行全身扫描，确定是否需要进行DSA手术或者确定手术部位；</w:t>
            </w:r>
            <w:r>
              <w:rPr>
                <w:bCs/>
              </w:rPr>
              <w:fldChar w:fldCharType="begin"/>
            </w:r>
            <w:r>
              <w:rPr>
                <w:bCs/>
              </w:rPr>
              <w:instrText xml:space="preserve"> = 2 \* GB3 \* MERGEFORMAT </w:instrText>
            </w:r>
            <w:r>
              <w:rPr>
                <w:bCs/>
              </w:rPr>
              <w:fldChar w:fldCharType="separate"/>
            </w:r>
            <w:r>
              <w:rPr>
                <w:rFonts w:hint="eastAsia"/>
              </w:rPr>
              <w:t>②</w:t>
            </w:r>
            <w:r>
              <w:rPr>
                <w:bCs/>
              </w:rPr>
              <w:fldChar w:fldCharType="end"/>
            </w:r>
            <w:r>
              <w:rPr>
                <w:rFonts w:hint="eastAsia"/>
                <w:bCs/>
              </w:rPr>
              <w:t>若病人不需要进行DSA手术，则病人由CT机房患者缓冲间推出，进入普通手术室进行普通手术；</w:t>
            </w:r>
            <w:r>
              <w:rPr>
                <w:bCs/>
              </w:rPr>
              <w:fldChar w:fldCharType="begin"/>
            </w:r>
            <w:r>
              <w:rPr>
                <w:bCs/>
              </w:rPr>
              <w:instrText xml:space="preserve"> = 3 \* GB3 \* MERGEFORMAT </w:instrText>
            </w:r>
            <w:r>
              <w:rPr>
                <w:bCs/>
              </w:rPr>
              <w:fldChar w:fldCharType="separate"/>
            </w:r>
            <w:r>
              <w:rPr>
                <w:rFonts w:hint="eastAsia"/>
              </w:rPr>
              <w:t>③</w:t>
            </w:r>
            <w:r>
              <w:rPr>
                <w:bCs/>
              </w:rPr>
              <w:fldChar w:fldCharType="end"/>
            </w:r>
            <w:r>
              <w:rPr>
                <w:rFonts w:hint="eastAsia"/>
                <w:bCs/>
              </w:rPr>
              <w:t>若病人需要进行DSA手术，则病人由</w:t>
            </w:r>
            <w:r>
              <w:rPr>
                <w:rFonts w:hint="eastAsia"/>
              </w:rPr>
              <w:t>CT通道门推进DSA手术室，进行DSA手术，操作流程同上；</w:t>
            </w:r>
            <w:r>
              <w:rPr>
                <w:bCs/>
              </w:rPr>
              <w:fldChar w:fldCharType="begin"/>
            </w:r>
            <w:r>
              <w:rPr>
                <w:bCs/>
              </w:rPr>
              <w:instrText xml:space="preserve"> = 4 \* GB3 \* MERGEFORMAT </w:instrText>
            </w:r>
            <w:r>
              <w:rPr>
                <w:bCs/>
              </w:rPr>
              <w:fldChar w:fldCharType="separate"/>
            </w:r>
            <w:r>
              <w:rPr>
                <w:rFonts w:hint="eastAsia"/>
              </w:rPr>
              <w:t>④</w:t>
            </w:r>
            <w:r>
              <w:rPr>
                <w:bCs/>
              </w:rPr>
              <w:fldChar w:fldCharType="end"/>
            </w:r>
            <w:r>
              <w:rPr>
                <w:rFonts w:hint="eastAsia"/>
                <w:bCs/>
              </w:rPr>
              <w:t>术中若需对病人进行再次CT扫描，则</w:t>
            </w:r>
            <w:r>
              <w:rPr>
                <w:rFonts w:hint="eastAsia"/>
              </w:rPr>
              <w:t>用滑轨将CT移至DSA手术室，</w:t>
            </w:r>
            <w:r>
              <w:rPr>
                <w:bCs/>
              </w:rPr>
              <w:t>医生退出手术室，通过控制室操作台对</w:t>
            </w:r>
            <w:r>
              <w:rPr>
                <w:rFonts w:hint="eastAsia"/>
                <w:bCs/>
              </w:rPr>
              <w:t>病人进行扫描；</w:t>
            </w:r>
            <w:r>
              <w:rPr>
                <w:bCs/>
              </w:rPr>
              <w:fldChar w:fldCharType="begin"/>
            </w:r>
            <w:r>
              <w:rPr>
                <w:bCs/>
              </w:rPr>
              <w:instrText xml:space="preserve"> = 5 \* GB3 \* MERGEFORMAT </w:instrText>
            </w:r>
            <w:r>
              <w:rPr>
                <w:bCs/>
              </w:rPr>
              <w:fldChar w:fldCharType="separate"/>
            </w:r>
            <w:r>
              <w:rPr>
                <w:rFonts w:hint="eastAsia"/>
              </w:rPr>
              <w:t>⑤</w:t>
            </w:r>
            <w:r>
              <w:rPr>
                <w:bCs/>
              </w:rPr>
              <w:fldChar w:fldCharType="end"/>
            </w:r>
            <w:r>
              <w:rPr>
                <w:rFonts w:hint="eastAsia"/>
                <w:bCs/>
              </w:rPr>
              <w:t>术后若需对病人进行再次CT扫描评估，病人由</w:t>
            </w:r>
            <w:r>
              <w:rPr>
                <w:rFonts w:hint="eastAsia"/>
              </w:rPr>
              <w:t>CT通道门推进</w:t>
            </w:r>
            <w:r>
              <w:rPr>
                <w:rFonts w:hint="eastAsia"/>
                <w:bCs/>
              </w:rPr>
              <w:t>CT机房或者</w:t>
            </w:r>
            <w:r>
              <w:rPr>
                <w:rFonts w:hint="eastAsia"/>
              </w:rPr>
              <w:t>用滑轨将CT移至DSA手术室，</w:t>
            </w:r>
            <w:r>
              <w:rPr>
                <w:bCs/>
              </w:rPr>
              <w:t>医生退出</w:t>
            </w:r>
            <w:r>
              <w:rPr>
                <w:rFonts w:hint="eastAsia"/>
                <w:bCs/>
              </w:rPr>
              <w:t>CT机房或者</w:t>
            </w:r>
            <w:r>
              <w:rPr>
                <w:bCs/>
              </w:rPr>
              <w:t>手术室</w:t>
            </w:r>
            <w:r>
              <w:rPr>
                <w:rFonts w:hint="eastAsia"/>
                <w:bCs/>
              </w:rPr>
              <w:t>，</w:t>
            </w:r>
            <w:r>
              <w:rPr>
                <w:bCs/>
              </w:rPr>
              <w:t>通过控制室操作台对</w:t>
            </w:r>
            <w:r>
              <w:rPr>
                <w:rFonts w:hint="eastAsia"/>
                <w:bCs/>
              </w:rPr>
              <w:t>病人进行扫描；</w:t>
            </w:r>
            <w:r>
              <w:rPr>
                <w:rFonts w:ascii="Cambria Math" w:hAnsi="Cambria Math" w:cs="Cambria Math"/>
              </w:rPr>
              <w:t>⑥</w:t>
            </w:r>
            <w:r>
              <w:rPr>
                <w:rFonts w:hint="eastAsia"/>
                <w:bCs/>
              </w:rPr>
              <w:t>病人由CT机房病人通道或者手术室病人通道离开。</w:t>
            </w:r>
          </w:p>
          <w:p w14:paraId="02EB1F25">
            <w:pPr>
              <w:ind w:firstLine="480" w:firstLineChars="200"/>
              <w:rPr>
                <w:rFonts w:hint="eastAsia"/>
                <w:bCs/>
              </w:rPr>
            </w:pPr>
            <w:r>
              <w:rPr>
                <w:rFonts w:hint="eastAsia"/>
                <w:bCs/>
              </w:rPr>
              <w:t>在CT扫描出束过程中，医护人员均位于控制室，不存在同室操作的情况。</w:t>
            </w:r>
          </w:p>
          <w:p w14:paraId="12F01F3E">
            <w:pPr>
              <w:numPr>
                <w:ilvl w:val="0"/>
                <w:numId w:val="8"/>
              </w:numPr>
              <w:ind w:left="0" w:leftChars="0" w:firstLine="480" w:firstLineChars="0"/>
              <w:rPr>
                <w:b/>
                <w:bCs/>
              </w:rPr>
            </w:pPr>
            <w:r>
              <w:rPr>
                <w:rFonts w:hint="eastAsia"/>
                <w:lang w:val="en-US" w:eastAsia="zh-CN" w:bidi="ar"/>
              </w:rPr>
              <w:t>ERCP</w:t>
            </w:r>
            <w:r>
              <w:rPr>
                <w:b/>
                <w:bCs/>
              </w:rPr>
              <w:t>工艺流程及产污环节</w:t>
            </w:r>
          </w:p>
          <w:p w14:paraId="246EAD8A">
            <w:pPr>
              <w:ind w:firstLine="480" w:firstLineChars="200"/>
              <w:rPr>
                <w:rFonts w:hint="default" w:ascii="Times New Roman" w:hAnsi="Times New Roman" w:eastAsia="宋体" w:cs="Times New Roman"/>
                <w:bCs/>
                <w:lang w:val="en-US" w:eastAsia="zh-CN"/>
              </w:rPr>
            </w:pPr>
            <w:r>
              <w:rPr>
                <w:rFonts w:hint="default" w:ascii="Times New Roman" w:hAnsi="Times New Roman" w:eastAsia="宋体" w:cs="Times New Roman"/>
                <w:bCs/>
                <w:lang w:val="en-US" w:eastAsia="zh-CN"/>
              </w:rPr>
              <w:t>本项目ERCP机存在隔室操作与同室操作，治疗流程如下：</w:t>
            </w:r>
          </w:p>
          <w:p w14:paraId="1230C89D">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①</w:t>
            </w:r>
            <w:r>
              <w:rPr>
                <w:rFonts w:hint="default" w:ascii="Times New Roman" w:hAnsi="Times New Roman" w:eastAsia="宋体" w:cs="Times New Roman"/>
                <w:bCs/>
                <w:lang w:val="en-US" w:eastAsia="zh-CN"/>
              </w:rPr>
              <w:t>病人候诊、准备、检查：接诊医师检查是否有ERCP机诊疗的适应症，在排除禁忌症后完善术前检查和预约诊疗时间，向病人告知可能受到的辐射危害；主管医生向病人或其家属详细介绍ERCP机诊疗的方法、途径、可能出现的并发症、可预期的效果、术中所用的ERCP材料及其费用等。</w:t>
            </w:r>
          </w:p>
          <w:p w14:paraId="476A1B30">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②</w:t>
            </w:r>
            <w:r>
              <w:rPr>
                <w:rFonts w:hint="default" w:ascii="Times New Roman" w:hAnsi="Times New Roman" w:eastAsia="宋体" w:cs="Times New Roman"/>
                <w:bCs/>
                <w:lang w:val="en-US" w:eastAsia="zh-CN"/>
              </w:rPr>
              <w:t>设置参数，病人进入机房、摆位：根据不同手术及检查方案，设备操作人员设置ERCP系统的相关技术参数，以及其他监护仪器的设定；引导病人进入机房并进行摆位。</w:t>
            </w:r>
          </w:p>
          <w:p w14:paraId="4DB8F4B5">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③</w:t>
            </w:r>
            <w:r>
              <w:rPr>
                <w:rFonts w:hint="default" w:ascii="Times New Roman" w:hAnsi="Times New Roman" w:eastAsia="宋体" w:cs="Times New Roman"/>
                <w:bCs/>
                <w:lang w:val="en-US" w:eastAsia="zh-CN"/>
              </w:rPr>
              <w:t>插镜：患者一般采取俯卧位或左侧卧位，医生在机房病床旁使用十二指肠镜经口依次通过食管、胃、进入十二指肠降段，找到十二指肠乳头。</w:t>
            </w:r>
          </w:p>
          <w:p w14:paraId="60E94B50">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④</w:t>
            </w:r>
            <w:r>
              <w:rPr>
                <w:rFonts w:hint="default" w:ascii="Times New Roman" w:hAnsi="Times New Roman" w:eastAsia="宋体" w:cs="Times New Roman"/>
                <w:bCs/>
                <w:lang w:val="en-US" w:eastAsia="zh-CN"/>
              </w:rPr>
              <w:t>插管：选择性插管是顺利进行ERCP诊断和治疗的基础。医生在机房病床旁，经活检孔插入导管，调节角度钮及抬钳器，使导管与乳头开口垂直，将导管插入乳头，护士人员在医生旁辅助医生进行相关操作。</w:t>
            </w:r>
          </w:p>
          <w:p w14:paraId="02B1CD64">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⑤</w:t>
            </w:r>
            <w:r>
              <w:rPr>
                <w:rFonts w:hint="default" w:ascii="Times New Roman" w:hAnsi="Times New Roman" w:eastAsia="宋体" w:cs="Times New Roman"/>
                <w:bCs/>
                <w:lang w:val="en-US" w:eastAsia="zh-CN"/>
              </w:rPr>
              <w:t>造影：医生和护士穿戴防护服，医生在机房病床旁通过透视下经造影导管注入造影剂，在荧光屏上见到胆管或胰管显影，显示病变，尽量减少不必要的胰管显影，以防术后胰腺炎的发生。护士人员在医生旁辅助医生进行相关操作。</w:t>
            </w:r>
          </w:p>
          <w:p w14:paraId="0514D371">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⑥</w:t>
            </w:r>
            <w:r>
              <w:rPr>
                <w:rFonts w:hint="default" w:ascii="Times New Roman" w:hAnsi="Times New Roman" w:eastAsia="宋体" w:cs="Times New Roman"/>
                <w:bCs/>
                <w:lang w:val="en-US" w:eastAsia="zh-CN"/>
              </w:rPr>
              <w:t>拍片：胰胆管显影后，医生和护士人员退出机房，设备操作人员在控制室通过操作系统远程操作进行拍片存储。</w:t>
            </w:r>
          </w:p>
          <w:p w14:paraId="41BE132E">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⑦</w:t>
            </w:r>
            <w:r>
              <w:rPr>
                <w:rFonts w:hint="default" w:ascii="Times New Roman" w:hAnsi="Times New Roman" w:eastAsia="宋体" w:cs="Times New Roman"/>
                <w:bCs/>
                <w:lang w:val="en-US" w:eastAsia="zh-CN"/>
              </w:rPr>
              <w:t>治疗：根据患者胰胆管病变情况，医生和护士穿戴防护服，医生在机房病床旁操作，护士人员在医生旁辅助医生进行相关操作，采取不同内镜下介入治疗措施（如括约肌切开取石、放置引流管或支架缓解胆管梗阻、瘘管支架放置等）。</w:t>
            </w:r>
          </w:p>
          <w:p w14:paraId="7A1D6736">
            <w:pPr>
              <w:ind w:firstLine="480" w:firstLineChars="200"/>
              <w:rPr>
                <w:rFonts w:hint="default" w:ascii="Times New Roman" w:hAnsi="Times New Roman" w:eastAsia="宋体" w:cs="Times New Roman"/>
                <w:bCs/>
                <w:lang w:val="en-US" w:eastAsia="zh-CN"/>
              </w:rPr>
            </w:pPr>
            <w:r>
              <w:rPr>
                <w:rFonts w:hint="eastAsia" w:ascii="Times New Roman" w:hAnsi="Times New Roman" w:eastAsia="宋体" w:cs="Times New Roman"/>
                <w:bCs/>
                <w:lang w:val="en-US" w:eastAsia="zh-CN"/>
              </w:rPr>
              <w:t>⑧</w:t>
            </w:r>
            <w:r>
              <w:rPr>
                <w:rFonts w:hint="default" w:ascii="Times New Roman" w:hAnsi="Times New Roman" w:eastAsia="宋体" w:cs="Times New Roman"/>
                <w:bCs/>
                <w:lang w:val="en-US" w:eastAsia="zh-CN"/>
              </w:rPr>
              <w:t>治疗完毕关机：主管医师应及时书写手术记录，设备操作人员应及时处理图像、刻录光盘或照片。</w:t>
            </w:r>
          </w:p>
          <w:p w14:paraId="4AA5878D">
            <w:pPr>
              <w:ind w:firstLine="480" w:firstLineChars="200"/>
              <w:rPr>
                <w:rFonts w:hint="default" w:ascii="Times New Roman" w:hAnsi="Times New Roman" w:eastAsia="宋体" w:cs="Times New Roman"/>
                <w:bCs/>
                <w:lang w:val="en-US" w:eastAsia="zh-CN"/>
              </w:rPr>
            </w:pPr>
            <w:r>
              <w:rPr>
                <w:rFonts w:hint="default" w:ascii="Times New Roman" w:hAnsi="Times New Roman" w:eastAsia="宋体" w:cs="Times New Roman"/>
                <w:bCs/>
                <w:lang w:val="en-US" w:eastAsia="zh-CN"/>
              </w:rPr>
              <w:t>ERCP机在进行曝光时分两种情况</w:t>
            </w:r>
            <w:r>
              <w:rPr>
                <w:rFonts w:hint="eastAsia" w:ascii="Times New Roman" w:hAnsi="Times New Roman" w:eastAsia="宋体" w:cs="Times New Roman"/>
                <w:bCs/>
                <w:lang w:val="en-US" w:eastAsia="zh-CN"/>
              </w:rPr>
              <w:t>（与常规DSA手术基本一致）</w:t>
            </w:r>
            <w:r>
              <w:rPr>
                <w:rFonts w:hint="default" w:ascii="Times New Roman" w:hAnsi="Times New Roman" w:eastAsia="宋体" w:cs="Times New Roman"/>
                <w:bCs/>
                <w:lang w:val="en-US" w:eastAsia="zh-CN"/>
              </w:rPr>
              <w:t>：</w:t>
            </w:r>
          </w:p>
          <w:p w14:paraId="595AA2B2">
            <w:pPr>
              <w:ind w:firstLine="480" w:firstLineChars="200"/>
              <w:rPr>
                <w:rFonts w:hint="default" w:ascii="Times New Roman" w:hAnsi="Times New Roman" w:eastAsia="宋体" w:cs="Times New Roman"/>
                <w:bCs/>
                <w:lang w:val="en-US" w:eastAsia="zh-CN"/>
              </w:rPr>
            </w:pPr>
            <w:r>
              <w:rPr>
                <w:rFonts w:hint="default" w:ascii="Times New Roman" w:hAnsi="Times New Roman" w:eastAsia="宋体" w:cs="Times New Roman"/>
                <w:bCs/>
                <w:lang w:val="en-US" w:eastAsia="zh-CN"/>
              </w:rPr>
              <w:t>第一种情况隔室操作（摄影）：操作人员采取隔室操作的方式，在ERCP机房外的操作间对病人进行曝光，手术医生及护士撤出机房，设备控制台位于机房内，设备操作人员通过操作间的计算机系统进行曝光，医生位于操作间通过铅玻璃观察窗观察机房内病人情况，并通过对讲系统与病人交流。</w:t>
            </w:r>
          </w:p>
          <w:p w14:paraId="116AEDD9">
            <w:pPr>
              <w:ind w:firstLine="480" w:firstLineChars="200"/>
              <w:rPr>
                <w:rFonts w:hint="default" w:ascii="Times New Roman" w:hAnsi="Times New Roman" w:eastAsia="宋体" w:cs="Times New Roman"/>
                <w:bCs/>
                <w:lang w:val="en-US" w:eastAsia="zh-CN"/>
              </w:rPr>
            </w:pPr>
            <w:r>
              <w:rPr>
                <w:rFonts w:hint="default" w:ascii="Times New Roman" w:hAnsi="Times New Roman" w:eastAsia="宋体" w:cs="Times New Roman"/>
                <w:bCs/>
                <w:lang w:val="en-US" w:eastAsia="zh-CN"/>
              </w:rPr>
              <w:t>第二种情况同室操作（透视）：医生需要进行手术治疗时，为更清楚地了解病人情况时会有连续曝光，并采取连续透视，设备控制台和图像处理系统设备在操作间内，此时手术医师和护士在ERCP机房内同室操作，位于铅帘后身着铅服、戴铅眼镜等在曝光室内对病人进行直接的手术操作。</w:t>
            </w:r>
          </w:p>
          <w:p w14:paraId="77C81C0A">
            <w:pPr>
              <w:jc w:val="center"/>
            </w:pPr>
            <w:r>
              <w:rPr>
                <w:rFonts w:eastAsia="黑体"/>
                <w:bCs/>
              </w:rPr>
              <mc:AlternateContent>
                <mc:Choice Requires="wps">
                  <w:drawing>
                    <wp:anchor distT="0" distB="0" distL="114300" distR="114300" simplePos="0" relativeHeight="251661312" behindDoc="0" locked="0" layoutInCell="1" allowOverlap="1">
                      <wp:simplePos x="0" y="0"/>
                      <wp:positionH relativeFrom="column">
                        <wp:posOffset>2033905</wp:posOffset>
                      </wp:positionH>
                      <wp:positionV relativeFrom="paragraph">
                        <wp:posOffset>585470</wp:posOffset>
                      </wp:positionV>
                      <wp:extent cx="473075" cy="268605"/>
                      <wp:effectExtent l="0" t="0" r="0" b="0"/>
                      <wp:wrapNone/>
                      <wp:docPr id="16" name="矩形 16"/>
                      <wp:cNvGraphicFramePr/>
                      <a:graphic xmlns:a="http://schemas.openxmlformats.org/drawingml/2006/main">
                        <a:graphicData uri="http://schemas.microsoft.com/office/word/2010/wordprocessingShape">
                          <wps:wsp>
                            <wps:cNvSpPr/>
                            <wps:spPr>
                              <a:xfrm>
                                <a:off x="0" y="0"/>
                                <a:ext cx="473075" cy="268605"/>
                              </a:xfrm>
                              <a:prstGeom prst="rect">
                                <a:avLst/>
                              </a:prstGeom>
                              <a:noFill/>
                              <a:ln w="15875">
                                <a:noFill/>
                              </a:ln>
                            </wps:spPr>
                            <wps:txbx>
                              <w:txbxContent>
                                <w:p w14:paraId="09DB6E77">
                                  <w:pPr>
                                    <w:spacing w:line="240" w:lineRule="auto"/>
                                    <w:rPr>
                                      <w:rFonts w:hint="eastAsia"/>
                                      <w:sz w:val="18"/>
                                      <w:szCs w:val="18"/>
                                    </w:rPr>
                                  </w:pPr>
                                  <w:r>
                                    <w:rPr>
                                      <w:rFonts w:hint="eastAsia"/>
                                      <w:sz w:val="18"/>
                                      <w:szCs w:val="18"/>
                                    </w:rPr>
                                    <w:t>治疗</w:t>
                                  </w:r>
                                </w:p>
                              </w:txbxContent>
                            </wps:txbx>
                            <wps:bodyPr upright="1"/>
                          </wps:wsp>
                        </a:graphicData>
                      </a:graphic>
                    </wp:anchor>
                  </w:drawing>
                </mc:Choice>
                <mc:Fallback>
                  <w:pict>
                    <v:rect id="_x0000_s1026" o:spid="_x0000_s1026" o:spt="1" style="position:absolute;left:0pt;margin-left:160.15pt;margin-top:46.1pt;height:21.15pt;width:37.25pt;z-index:251661312;mso-width-relative:page;mso-height-relative:page;" filled="f" stroked="f" coordsize="21600,21600" o:gfxdata="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MChCJtoA&#10;AAAKAQAADwAAAAAAAAABACAAAAAiAAAAZHJzL2Rvd25yZXYueG1sUEsBAhQAFAAAAAgAh07iQAz5&#10;pKOrAQAATAMAAA4AAAAAAAAAAQAgAAAAKQEAAGRycy9lMm9Eb2MueG1sUEsFBgAAAAAGAAYAWQEA&#10;AEYFAAAAAA==&#10;">
                      <v:fill on="f" focussize="0,0"/>
                      <v:stroke on="f" weight="1.25pt"/>
                      <v:imagedata o:title=""/>
                      <o:lock v:ext="edit" aspectratio="f"/>
                      <v:textbox>
                        <w:txbxContent>
                          <w:p w14:paraId="09DB6E77">
                            <w:pPr>
                              <w:spacing w:line="240" w:lineRule="auto"/>
                              <w:rPr>
                                <w:rFonts w:hint="eastAsia"/>
                                <w:sz w:val="18"/>
                                <w:szCs w:val="18"/>
                              </w:rPr>
                            </w:pPr>
                            <w:r>
                              <w:rPr>
                                <w:rFonts w:hint="eastAsia"/>
                                <w:sz w:val="18"/>
                                <w:szCs w:val="18"/>
                              </w:rPr>
                              <w:t>治疗</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3282315</wp:posOffset>
                      </wp:positionH>
                      <wp:positionV relativeFrom="paragraph">
                        <wp:posOffset>584200</wp:posOffset>
                      </wp:positionV>
                      <wp:extent cx="473075" cy="268605"/>
                      <wp:effectExtent l="0" t="0" r="0" b="0"/>
                      <wp:wrapNone/>
                      <wp:docPr id="15" name="矩形 15"/>
                      <wp:cNvGraphicFramePr/>
                      <a:graphic xmlns:a="http://schemas.openxmlformats.org/drawingml/2006/main">
                        <a:graphicData uri="http://schemas.microsoft.com/office/word/2010/wordprocessingShape">
                          <wps:wsp>
                            <wps:cNvSpPr/>
                            <wps:spPr>
                              <a:xfrm>
                                <a:off x="0" y="0"/>
                                <a:ext cx="473075" cy="268605"/>
                              </a:xfrm>
                              <a:prstGeom prst="rect">
                                <a:avLst/>
                              </a:prstGeom>
                              <a:noFill/>
                              <a:ln w="15875">
                                <a:noFill/>
                              </a:ln>
                            </wps:spPr>
                            <wps:txbx>
                              <w:txbxContent>
                                <w:p w14:paraId="14277C93">
                                  <w:pPr>
                                    <w:spacing w:line="240" w:lineRule="auto"/>
                                    <w:rPr>
                                      <w:rFonts w:hint="eastAsia"/>
                                      <w:sz w:val="18"/>
                                      <w:szCs w:val="18"/>
                                    </w:rPr>
                                  </w:pPr>
                                  <w:r>
                                    <w:rPr>
                                      <w:rFonts w:hint="eastAsia"/>
                                      <w:sz w:val="18"/>
                                      <w:szCs w:val="18"/>
                                    </w:rPr>
                                    <w:t>检查</w:t>
                                  </w:r>
                                </w:p>
                              </w:txbxContent>
                            </wps:txbx>
                            <wps:bodyPr upright="1"/>
                          </wps:wsp>
                        </a:graphicData>
                      </a:graphic>
                    </wp:anchor>
                  </w:drawing>
                </mc:Choice>
                <mc:Fallback>
                  <w:pict>
                    <v:rect id="_x0000_s1026" o:spid="_x0000_s1026" o:spt="1" style="position:absolute;left:0pt;margin-left:258.45pt;margin-top:46pt;height:21.15pt;width:37.25pt;z-index:251660288;mso-width-relative:page;mso-height-relative:page;" filled="f" stroked="f" coordsize="21600,21600" o:gfxdata="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OHxHhXaAAAA&#10;CgEAAA8AAAAAAAAAAQAgAAAAIgAAAGRycy9kb3ducmV2LnhtbFBLAQIUABQAAAAIAIdO4kCEL65W&#10;qQEAAEwDAAAOAAAAAAAAAAEAIAAAACkBAABkcnMvZTJvRG9jLnhtbFBLBQYAAAAABgAGAFkBAABE&#10;BQAAAAA=&#10;">
                      <v:fill on="f" focussize="0,0"/>
                      <v:stroke on="f" weight="1.25pt"/>
                      <v:imagedata o:title=""/>
                      <o:lock v:ext="edit" aspectratio="f"/>
                      <v:textbox>
                        <w:txbxContent>
                          <w:p w14:paraId="14277C93">
                            <w:pPr>
                              <w:spacing w:line="240" w:lineRule="auto"/>
                              <w:rPr>
                                <w:rFonts w:hint="eastAsia"/>
                                <w:sz w:val="18"/>
                                <w:szCs w:val="18"/>
                              </w:rPr>
                            </w:pPr>
                            <w:r>
                              <w:rPr>
                                <w:rFonts w:hint="eastAsia"/>
                                <w:sz w:val="18"/>
                                <w:szCs w:val="18"/>
                              </w:rPr>
                              <w:t>检查</w:t>
                            </w:r>
                          </w:p>
                        </w:txbxContent>
                      </v:textbox>
                    </v:rect>
                  </w:pict>
                </mc:Fallback>
              </mc:AlternateContent>
            </w:r>
            <w:r>
              <w:drawing>
                <wp:inline distT="0" distB="0" distL="114300" distR="114300">
                  <wp:extent cx="3976370" cy="2687320"/>
                  <wp:effectExtent l="0" t="0" r="5080" b="17780"/>
                  <wp:docPr id="17" name="图片 21" descr="QQ截图2022071309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descr="QQ截图20220713093536"/>
                          <pic:cNvPicPr>
                            <a:picLocks noChangeAspect="1"/>
                          </pic:cNvPicPr>
                        </pic:nvPicPr>
                        <pic:blipFill>
                          <a:blip r:embed="rId21"/>
                          <a:stretch>
                            <a:fillRect/>
                          </a:stretch>
                        </pic:blipFill>
                        <pic:spPr>
                          <a:xfrm>
                            <a:off x="0" y="0"/>
                            <a:ext cx="3976370" cy="2687320"/>
                          </a:xfrm>
                          <a:prstGeom prst="rect">
                            <a:avLst/>
                          </a:prstGeom>
                          <a:noFill/>
                          <a:ln>
                            <a:noFill/>
                          </a:ln>
                        </pic:spPr>
                      </pic:pic>
                    </a:graphicData>
                  </a:graphic>
                </wp:inline>
              </w:drawing>
            </w:r>
          </w:p>
          <w:p w14:paraId="10A3521C">
            <w:pPr>
              <w:pStyle w:val="55"/>
              <w:ind w:firstLine="210"/>
              <w:jc w:val="center"/>
              <w:rPr>
                <w:rFonts w:eastAsia="黑体"/>
                <w:bCs/>
                <w:sz w:val="21"/>
                <w:szCs w:val="21"/>
                <w:lang w:val="zh-CN"/>
              </w:rPr>
            </w:pPr>
            <w:r>
              <w:rPr>
                <w:rFonts w:eastAsia="黑体"/>
                <w:bCs/>
                <w:sz w:val="21"/>
                <w:szCs w:val="21"/>
                <w:lang w:val="zh-CN"/>
              </w:rPr>
              <w:t>图9-</w:t>
            </w:r>
            <w:r>
              <w:rPr>
                <w:rFonts w:hint="eastAsia" w:eastAsia="黑体"/>
                <w:bCs/>
                <w:sz w:val="21"/>
                <w:szCs w:val="21"/>
                <w:lang w:val="en-US" w:eastAsia="zh-CN"/>
              </w:rPr>
              <w:t>6</w:t>
            </w:r>
            <w:r>
              <w:rPr>
                <w:rFonts w:eastAsia="黑体"/>
                <w:bCs/>
                <w:sz w:val="21"/>
                <w:szCs w:val="21"/>
                <w:lang w:val="zh-CN"/>
              </w:rPr>
              <w:t xml:space="preserve">  </w:t>
            </w:r>
            <w:r>
              <w:rPr>
                <w:rFonts w:hint="eastAsia" w:eastAsia="黑体"/>
                <w:bCs/>
                <w:sz w:val="21"/>
                <w:szCs w:val="21"/>
                <w:lang w:val="zh-CN"/>
              </w:rPr>
              <w:t>普通</w:t>
            </w:r>
            <w:r>
              <w:rPr>
                <w:rFonts w:eastAsia="黑体"/>
                <w:bCs/>
                <w:sz w:val="21"/>
                <w:szCs w:val="21"/>
                <w:lang w:val="zh-CN"/>
              </w:rPr>
              <w:t>介入手术流程及产污环节示意图</w:t>
            </w:r>
          </w:p>
          <w:p w14:paraId="6B4030F8">
            <w:pPr>
              <w:jc w:val="center"/>
            </w:pPr>
            <w:r>
              <w:fldChar w:fldCharType="begin"/>
            </w:r>
            <w:r>
              <w:instrText xml:space="preserve"> INCLUDEPICTURE "C:\\Users\\wqm\\AppData\\Roaming\\Tencent\\Users\\42839932\\QQ\\WinTemp\\RichOle\\LE{PTRI898ME6}{(1%S_W{J.png" \* MERGEFORMATINET </w:instrText>
            </w:r>
            <w:r>
              <w:fldChar w:fldCharType="separate"/>
            </w:r>
            <w:r>
              <w:drawing>
                <wp:inline distT="0" distB="0" distL="114300" distR="114300">
                  <wp:extent cx="5546725" cy="4534535"/>
                  <wp:effectExtent l="0" t="0" r="15875" b="18415"/>
                  <wp:docPr id="14" name="图片 22" descr="LE{PTRI898ME6}{(1%S_W{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2" descr="LE{PTRI898ME6}{(1%S_W{J"/>
                          <pic:cNvPicPr>
                            <a:picLocks noChangeAspect="1"/>
                          </pic:cNvPicPr>
                        </pic:nvPicPr>
                        <pic:blipFill>
                          <a:blip r:embed="rId22"/>
                          <a:srcRect l="2664" t="5399" r="3607" b="9229"/>
                          <a:stretch>
                            <a:fillRect/>
                          </a:stretch>
                        </pic:blipFill>
                        <pic:spPr>
                          <a:xfrm>
                            <a:off x="0" y="0"/>
                            <a:ext cx="5546725" cy="4534535"/>
                          </a:xfrm>
                          <a:prstGeom prst="rect">
                            <a:avLst/>
                          </a:prstGeom>
                          <a:noFill/>
                          <a:ln>
                            <a:noFill/>
                          </a:ln>
                        </pic:spPr>
                      </pic:pic>
                    </a:graphicData>
                  </a:graphic>
                </wp:inline>
              </w:drawing>
            </w:r>
            <w:r>
              <w:fldChar w:fldCharType="end"/>
            </w:r>
          </w:p>
          <w:p w14:paraId="536630D1">
            <w:pPr>
              <w:pStyle w:val="55"/>
              <w:ind w:firstLine="210"/>
              <w:jc w:val="center"/>
              <w:rPr>
                <w:rFonts w:eastAsia="黑体"/>
                <w:bCs/>
                <w:sz w:val="21"/>
                <w:szCs w:val="21"/>
                <w:lang w:val="zh-CN"/>
              </w:rPr>
            </w:pPr>
            <w:r>
              <w:rPr>
                <w:rFonts w:eastAsia="黑体"/>
                <w:bCs/>
                <w:sz w:val="21"/>
                <w:szCs w:val="21"/>
                <w:lang w:val="zh-CN"/>
              </w:rPr>
              <w:t>图9-</w:t>
            </w:r>
            <w:r>
              <w:rPr>
                <w:rFonts w:hint="eastAsia" w:eastAsia="黑体"/>
                <w:bCs/>
                <w:sz w:val="21"/>
                <w:szCs w:val="21"/>
                <w:lang w:val="en-US" w:eastAsia="zh-CN"/>
              </w:rPr>
              <w:t>7</w:t>
            </w:r>
            <w:r>
              <w:rPr>
                <w:rFonts w:eastAsia="黑体"/>
                <w:bCs/>
                <w:sz w:val="21"/>
                <w:szCs w:val="21"/>
                <w:lang w:val="zh-CN"/>
              </w:rPr>
              <w:t xml:space="preserve">  </w:t>
            </w:r>
            <w:r>
              <w:rPr>
                <w:rFonts w:hint="eastAsia" w:eastAsia="黑体"/>
                <w:bCs/>
                <w:sz w:val="21"/>
                <w:szCs w:val="21"/>
                <w:lang w:val="zh-CN"/>
              </w:rPr>
              <w:t>DSA+CT复合</w:t>
            </w:r>
            <w:r>
              <w:rPr>
                <w:rFonts w:eastAsia="黑体"/>
                <w:bCs/>
                <w:sz w:val="21"/>
                <w:szCs w:val="21"/>
                <w:lang w:val="zh-CN"/>
              </w:rPr>
              <w:t>手术流程及产污环节示意图</w:t>
            </w:r>
          </w:p>
          <w:p w14:paraId="1EA8AD7B">
            <w:pPr>
              <w:spacing w:after="163" w:line="240" w:lineRule="auto"/>
              <w:jc w:val="center"/>
              <w:rPr>
                <w:rFonts w:eastAsia="黑体"/>
                <w:bCs/>
                <w:sz w:val="21"/>
                <w:szCs w:val="21"/>
              </w:rPr>
            </w:pPr>
          </w:p>
          <w:p w14:paraId="739C2141">
            <w:pPr>
              <w:ind w:firstLine="482"/>
              <w:rPr>
                <w:b/>
                <w:bCs/>
              </w:rPr>
            </w:pPr>
            <w:r>
              <w:rPr>
                <w:rFonts w:hint="eastAsia"/>
                <w:b/>
                <w:bCs/>
                <w:lang w:val="en-US" w:eastAsia="zh-CN"/>
              </w:rPr>
              <w:t>3</w:t>
            </w:r>
            <w:r>
              <w:rPr>
                <w:b/>
                <w:bCs/>
              </w:rPr>
              <w:t>、人流物流路径</w:t>
            </w:r>
          </w:p>
          <w:p w14:paraId="45F91745">
            <w:pPr>
              <w:ind w:firstLine="480" w:firstLineChars="200"/>
            </w:pPr>
            <w:bookmarkStart w:id="35" w:name="OLE_LINK53"/>
            <w:r>
              <w:rPr>
                <w:rFonts w:hint="eastAsia"/>
                <w:lang w:eastAsia="zh-CN"/>
              </w:rPr>
              <w:t>（</w:t>
            </w:r>
            <w:r>
              <w:rPr>
                <w:rFonts w:hint="eastAsia"/>
                <w:lang w:val="en-US" w:eastAsia="zh-CN"/>
              </w:rPr>
              <w:t>1</w:t>
            </w:r>
            <w:r>
              <w:rPr>
                <w:rFonts w:hint="eastAsia"/>
                <w:lang w:eastAsia="zh-CN"/>
              </w:rPr>
              <w:t>）</w:t>
            </w:r>
            <w:r>
              <w:rPr>
                <w:rFonts w:hint="eastAsia"/>
                <w:color w:val="000000"/>
                <w:lang w:eastAsia="zh-CN"/>
              </w:rPr>
              <w:t>DSA+CT</w:t>
            </w:r>
            <w:r>
              <w:rPr>
                <w:color w:val="000000"/>
              </w:rPr>
              <w:t>复合手术室</w:t>
            </w:r>
          </w:p>
          <w:p w14:paraId="623D0326">
            <w:pPr>
              <w:ind w:firstLine="480" w:firstLineChars="200"/>
              <w:rPr>
                <w:rFonts w:hint="eastAsia"/>
              </w:rPr>
            </w:pPr>
            <w:r>
              <w:t>医护人员</w:t>
            </w:r>
            <w:r>
              <w:rPr>
                <w:rFonts w:hint="eastAsia"/>
              </w:rPr>
              <w:t>由东侧</w:t>
            </w:r>
            <w:r>
              <w:rPr>
                <w:bCs/>
              </w:rPr>
              <w:t>医生通道</w:t>
            </w:r>
            <w:r>
              <w:rPr>
                <w:rFonts w:hint="eastAsia"/>
                <w:bCs/>
              </w:rPr>
              <w:t>进入/离开DSA手术室；病人由</w:t>
            </w:r>
            <w:r>
              <w:rPr>
                <w:rFonts w:hint="eastAsia"/>
                <w:bCs/>
                <w:lang w:val="en-US" w:eastAsia="zh-CN"/>
              </w:rPr>
              <w:t>西</w:t>
            </w:r>
            <w:r>
              <w:rPr>
                <w:rFonts w:hint="eastAsia"/>
                <w:bCs/>
              </w:rPr>
              <w:t>侧</w:t>
            </w:r>
            <w:r>
              <w:rPr>
                <w:bCs/>
              </w:rPr>
              <w:t>患者通道</w:t>
            </w:r>
            <w:r>
              <w:rPr>
                <w:rFonts w:hint="eastAsia"/>
                <w:bCs/>
              </w:rPr>
              <w:t>进入/离开DSA手术室；</w:t>
            </w:r>
            <w:r>
              <w:rPr>
                <w:highlight w:val="none"/>
              </w:rPr>
              <w:t>污物</w:t>
            </w:r>
            <w:r>
              <w:rPr>
                <w:rFonts w:hint="eastAsia"/>
                <w:highlight w:val="none"/>
                <w:lang w:val="en-US" w:eastAsia="zh-CN"/>
              </w:rPr>
              <w:t>利用手术间隙或每日手术全部结束后借道患者通道</w:t>
            </w:r>
            <w:r>
              <w:rPr>
                <w:highlight w:val="none"/>
              </w:rPr>
              <w:t>运至</w:t>
            </w:r>
            <w:r>
              <w:rPr>
                <w:rFonts w:hint="eastAsia"/>
                <w:highlight w:val="none"/>
                <w:lang w:val="en-US" w:eastAsia="zh-CN"/>
              </w:rPr>
              <w:t>污物</w:t>
            </w:r>
            <w:r>
              <w:rPr>
                <w:highlight w:val="none"/>
              </w:rPr>
              <w:t>暂存间暂存</w:t>
            </w:r>
            <w:r>
              <w:rPr>
                <w:rFonts w:hint="eastAsia"/>
              </w:rPr>
              <w:t>，</w:t>
            </w:r>
            <w:r>
              <w:rPr>
                <w:rFonts w:hint="eastAsia"/>
                <w:bCs/>
              </w:rPr>
              <w:t>最终交有医疗废物处理资质的单位集中处置。</w:t>
            </w:r>
          </w:p>
          <w:p w14:paraId="7F9CF4FF">
            <w:pPr>
              <w:ind w:firstLine="480" w:firstLineChars="200"/>
            </w:pPr>
            <w:r>
              <w:rPr>
                <w:bCs/>
              </w:rPr>
              <w:t>本项目</w:t>
            </w:r>
            <w:r>
              <w:rPr>
                <w:rFonts w:hint="eastAsia"/>
                <w:color w:val="000000"/>
                <w:lang w:eastAsia="zh-CN"/>
              </w:rPr>
              <w:t>DSA+CT</w:t>
            </w:r>
            <w:r>
              <w:rPr>
                <w:color w:val="000000"/>
              </w:rPr>
              <w:t>复合手术室</w:t>
            </w:r>
            <w:r>
              <w:rPr>
                <w:bCs/>
              </w:rPr>
              <w:t>为患者</w:t>
            </w:r>
            <w:r>
              <w:rPr>
                <w:rFonts w:hint="eastAsia"/>
                <w:bCs/>
              </w:rPr>
              <w:t>、</w:t>
            </w:r>
            <w:r>
              <w:rPr>
                <w:bCs/>
              </w:rPr>
              <w:t>医护人员分别设置独立通道</w:t>
            </w:r>
            <w:r>
              <w:rPr>
                <w:rFonts w:hint="eastAsia"/>
                <w:bCs/>
                <w:lang w:eastAsia="zh-CN"/>
              </w:rPr>
              <w:t>，</w:t>
            </w:r>
            <w:r>
              <w:rPr>
                <w:rFonts w:hint="eastAsia"/>
                <w:bCs/>
                <w:lang w:val="en-US" w:eastAsia="zh-CN"/>
              </w:rPr>
              <w:t>污物利用时空分隔借道患者通道运送</w:t>
            </w:r>
            <w:r>
              <w:rPr>
                <w:rFonts w:hint="eastAsia"/>
                <w:bCs/>
                <w:lang w:eastAsia="zh-CN"/>
              </w:rPr>
              <w:t>。</w:t>
            </w:r>
            <w:r>
              <w:rPr>
                <w:bCs/>
              </w:rPr>
              <w:t>患者通道的宽度满足病人手推车辆的通行，通道畅通无阻，方便治疗</w:t>
            </w:r>
            <w:r>
              <w:rPr>
                <w:rFonts w:hint="eastAsia"/>
              </w:rPr>
              <w:t>，</w:t>
            </w:r>
            <w:r>
              <w:t>本项目</w:t>
            </w:r>
            <w:r>
              <w:rPr>
                <w:rFonts w:hint="eastAsia"/>
                <w:color w:val="000000"/>
                <w:lang w:eastAsia="zh-CN"/>
              </w:rPr>
              <w:t>DSA+CT</w:t>
            </w:r>
            <w:r>
              <w:rPr>
                <w:color w:val="000000"/>
              </w:rPr>
              <w:t>复合手术室</w:t>
            </w:r>
            <w:r>
              <w:t>区域</w:t>
            </w:r>
            <w:r>
              <w:rPr>
                <w:bCs/>
              </w:rPr>
              <w:t>患者</w:t>
            </w:r>
            <w:r>
              <w:rPr>
                <w:rFonts w:hint="eastAsia"/>
                <w:bCs/>
              </w:rPr>
              <w:t>、</w:t>
            </w:r>
            <w:r>
              <w:rPr>
                <w:bCs/>
              </w:rPr>
              <w:t>医护</w:t>
            </w:r>
            <w:r>
              <w:rPr>
                <w:rFonts w:hint="eastAsia"/>
                <w:bCs/>
              </w:rPr>
              <w:t>、污物流通</w:t>
            </w:r>
            <w:r>
              <w:t>路径合理</w:t>
            </w:r>
            <w:r>
              <w:rPr>
                <w:rFonts w:hint="eastAsia"/>
              </w:rPr>
              <w:t>。</w:t>
            </w:r>
          </w:p>
          <w:p w14:paraId="78904C98">
            <w:pPr>
              <w:pStyle w:val="20"/>
              <w:jc w:val="center"/>
              <w:rPr>
                <w:rFonts w:hint="eastAsia" w:eastAsia="宋体"/>
                <w:lang w:eastAsia="zh-CN"/>
              </w:rPr>
            </w:pPr>
            <w:r>
              <w:rPr>
                <w:sz w:val="24"/>
              </w:rPr>
              <mc:AlternateContent>
                <mc:Choice Requires="wps">
                  <w:drawing>
                    <wp:anchor distT="0" distB="0" distL="114300" distR="114300" simplePos="0" relativeHeight="251685888" behindDoc="0" locked="0" layoutInCell="1" allowOverlap="1">
                      <wp:simplePos x="0" y="0"/>
                      <wp:positionH relativeFrom="column">
                        <wp:posOffset>1530985</wp:posOffset>
                      </wp:positionH>
                      <wp:positionV relativeFrom="paragraph">
                        <wp:posOffset>2769870</wp:posOffset>
                      </wp:positionV>
                      <wp:extent cx="866775" cy="285750"/>
                      <wp:effectExtent l="0" t="12700" r="9525" b="44450"/>
                      <wp:wrapNone/>
                      <wp:docPr id="73" name="任意多边形 73"/>
                      <wp:cNvGraphicFramePr/>
                      <a:graphic xmlns:a="http://schemas.openxmlformats.org/drawingml/2006/main">
                        <a:graphicData uri="http://schemas.microsoft.com/office/word/2010/wordprocessingShape">
                          <wps:wsp>
                            <wps:cNvSpPr/>
                            <wps:spPr>
                              <a:xfrm>
                                <a:off x="2611120" y="7492365"/>
                                <a:ext cx="866775" cy="285750"/>
                              </a:xfrm>
                              <a:custGeom>
                                <a:avLst/>
                                <a:gdLst>
                                  <a:gd name="connisteX0" fmla="*/ 866775 w 866775"/>
                                  <a:gd name="connsiteY0" fmla="*/ 0 h 285750"/>
                                  <a:gd name="connisteX1" fmla="*/ 304800 w 866775"/>
                                  <a:gd name="connsiteY1" fmla="*/ 0 h 285750"/>
                                  <a:gd name="connisteX2" fmla="*/ 304800 w 866775"/>
                                  <a:gd name="connsiteY2" fmla="*/ 285750 h 285750"/>
                                  <a:gd name="connisteX3" fmla="*/ 0 w 866775"/>
                                  <a:gd name="connsiteY3" fmla="*/ 285750 h 285750"/>
                                </a:gdLst>
                                <a:ahLst/>
                                <a:cxnLst>
                                  <a:cxn ang="0">
                                    <a:pos x="connisteX0" y="connsiteY0"/>
                                  </a:cxn>
                                  <a:cxn ang="0">
                                    <a:pos x="connisteX1" y="connsiteY1"/>
                                  </a:cxn>
                                  <a:cxn ang="0">
                                    <a:pos x="connisteX2" y="connsiteY2"/>
                                  </a:cxn>
                                  <a:cxn ang="0">
                                    <a:pos x="connisteX3" y="connsiteY3"/>
                                  </a:cxn>
                                </a:cxnLst>
                                <a:rect l="l" t="t" r="r" b="b"/>
                                <a:pathLst>
                                  <a:path w="866775" h="285750">
                                    <a:moveTo>
                                      <a:pt x="866775" y="0"/>
                                    </a:moveTo>
                                    <a:lnTo>
                                      <a:pt x="304800" y="0"/>
                                    </a:lnTo>
                                    <a:lnTo>
                                      <a:pt x="304800" y="285750"/>
                                    </a:lnTo>
                                    <a:lnTo>
                                      <a:pt x="0" y="285750"/>
                                    </a:lnTo>
                                  </a:path>
                                </a:pathLst>
                              </a:custGeom>
                              <a:ln>
                                <a:solidFill>
                                  <a:schemeClr val="accent5"/>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20.55pt;margin-top:218.1pt;height:22.5pt;width:68.25pt;z-index:251685888;mso-width-relative:page;mso-height-relative:page;" filled="f" stroked="t" coordsize="866775,285750" o:gfxdata="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CCOzEw2wAAAAsBAAAPAAAAAAAAAAEAIAAAACIAAABkcnMvZG93bnJldi54bWxQ&#10;SwECFAAUAAAACACHTuJABZ3dwBEDAAC5BwAADgAAAAAAAAABACAAAAAqAQAAZHJzL2Uyb0RvYy54&#10;bWxQSwUGAAAAAAYABgBZAQAArQYAAAAA&#10;" path="m866775,0l304800,0,304800,285750,0,285750e">
                      <v:path o:connectlocs="866775,0;304800,0;304800,285750;0,285750" o:connectangles="0,0,0,0"/>
                      <v:fill on="f" focussize="0,0"/>
                      <v:stroke weight="2pt" color="#A02B93 [3208]"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84864" behindDoc="0" locked="0" layoutInCell="1" allowOverlap="1">
                      <wp:simplePos x="0" y="0"/>
                      <wp:positionH relativeFrom="column">
                        <wp:posOffset>1245235</wp:posOffset>
                      </wp:positionH>
                      <wp:positionV relativeFrom="paragraph">
                        <wp:posOffset>2838450</wp:posOffset>
                      </wp:positionV>
                      <wp:extent cx="1247775" cy="628650"/>
                      <wp:effectExtent l="0" t="38100" r="9525" b="38100"/>
                      <wp:wrapNone/>
                      <wp:docPr id="72" name="任意多边形 72"/>
                      <wp:cNvGraphicFramePr/>
                      <a:graphic xmlns:a="http://schemas.openxmlformats.org/drawingml/2006/main">
                        <a:graphicData uri="http://schemas.microsoft.com/office/word/2010/wordprocessingShape">
                          <wps:wsp>
                            <wps:cNvSpPr/>
                            <wps:spPr>
                              <a:xfrm>
                                <a:off x="2325370" y="7560945"/>
                                <a:ext cx="1247775" cy="628650"/>
                              </a:xfrm>
                              <a:custGeom>
                                <a:avLst/>
                                <a:gdLst>
                                  <a:gd name="connisteX0" fmla="*/ 0 w 1247775"/>
                                  <a:gd name="connsiteY0" fmla="*/ 628650 h 628650"/>
                                  <a:gd name="connisteX1" fmla="*/ 676275 w 1247775"/>
                                  <a:gd name="connsiteY1" fmla="*/ 628650 h 628650"/>
                                  <a:gd name="connisteX2" fmla="*/ 685800 w 1247775"/>
                                  <a:gd name="connsiteY2" fmla="*/ 0 h 628650"/>
                                  <a:gd name="connisteX3" fmla="*/ 1247775 w 1247775"/>
                                  <a:gd name="connsiteY3" fmla="*/ 0 h 628650"/>
                                </a:gdLst>
                                <a:ahLst/>
                                <a:cxnLst>
                                  <a:cxn ang="0">
                                    <a:pos x="connisteX0" y="connsiteY0"/>
                                  </a:cxn>
                                  <a:cxn ang="0">
                                    <a:pos x="connisteX1" y="connsiteY1"/>
                                  </a:cxn>
                                  <a:cxn ang="0">
                                    <a:pos x="connisteX2" y="connsiteY2"/>
                                  </a:cxn>
                                  <a:cxn ang="0">
                                    <a:pos x="connisteX3" y="connsiteY3"/>
                                  </a:cxn>
                                </a:cxnLst>
                                <a:rect l="l" t="t" r="r" b="b"/>
                                <a:pathLst>
                                  <a:path w="1247775" h="628650">
                                    <a:moveTo>
                                      <a:pt x="0" y="628650"/>
                                    </a:moveTo>
                                    <a:lnTo>
                                      <a:pt x="676275" y="628650"/>
                                    </a:lnTo>
                                    <a:lnTo>
                                      <a:pt x="685800" y="0"/>
                                    </a:lnTo>
                                    <a:lnTo>
                                      <a:pt x="1247775" y="0"/>
                                    </a:lnTo>
                                  </a:path>
                                </a:pathLst>
                              </a:custGeom>
                              <a:ln>
                                <a:solidFill>
                                  <a:srgbClr val="FF0000"/>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98.05pt;margin-top:223.5pt;height:49.5pt;width:98.25pt;z-index:251684864;mso-width-relative:page;mso-height-relative:page;" filled="f" stroked="t" coordsize="1247775,628650" o:gfxdata="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" path="m0,628650l676275,628650,685800,0,1247775,0e">
                      <v:path o:connectlocs="0,628650;676275,628650;685800,0;1247775,0" o:connectangles="0,0,0,0"/>
                      <v:fill on="f" focussize="0,0"/>
                      <v:stroke weight="2pt" color="#FF0000 [3204]" miterlimit="8" joinstyle="miter" startarrow="block" endarrow="block"/>
                      <v:imagedata o:title=""/>
                      <o:lock v:ext="edit" aspectratio="f"/>
                    </v:shape>
                  </w:pict>
                </mc:Fallback>
              </mc:AlternateContent>
            </w:r>
            <w:r>
              <w:rPr>
                <w:sz w:val="24"/>
              </w:rPr>
              <mc:AlternateContent>
                <mc:Choice Requires="wps">
                  <w:drawing>
                    <wp:anchor distT="0" distB="0" distL="114300" distR="114300" simplePos="0" relativeHeight="251683840" behindDoc="0" locked="0" layoutInCell="1" allowOverlap="1">
                      <wp:simplePos x="0" y="0"/>
                      <wp:positionH relativeFrom="column">
                        <wp:posOffset>3340735</wp:posOffset>
                      </wp:positionH>
                      <wp:positionV relativeFrom="paragraph">
                        <wp:posOffset>895350</wp:posOffset>
                      </wp:positionV>
                      <wp:extent cx="476250" cy="1009650"/>
                      <wp:effectExtent l="0" t="36830" r="19050" b="1270"/>
                      <wp:wrapNone/>
                      <wp:docPr id="70" name="任意多边形 70"/>
                      <wp:cNvGraphicFramePr/>
                      <a:graphic xmlns:a="http://schemas.openxmlformats.org/drawingml/2006/main">
                        <a:graphicData uri="http://schemas.microsoft.com/office/word/2010/wordprocessingShape">
                          <wps:wsp>
                            <wps:cNvSpPr/>
                            <wps:spPr>
                              <a:xfrm>
                                <a:off x="4420870" y="5655945"/>
                                <a:ext cx="476250" cy="1009650"/>
                              </a:xfrm>
                              <a:custGeom>
                                <a:avLst/>
                                <a:gdLst>
                                  <a:gd name="connisteX0" fmla="*/ 476250 w 476250"/>
                                  <a:gd name="connsiteY0" fmla="*/ 1009650 h 1009650"/>
                                  <a:gd name="connisteX1" fmla="*/ 466725 w 476250"/>
                                  <a:gd name="connsiteY1" fmla="*/ 9525 h 1009650"/>
                                  <a:gd name="connisteX2" fmla="*/ 0 w 476250"/>
                                  <a:gd name="connsiteY2" fmla="*/ 0 h 1009650"/>
                                </a:gdLst>
                                <a:ahLst/>
                                <a:cxnLst>
                                  <a:cxn ang="0">
                                    <a:pos x="connisteX0" y="connsiteY0"/>
                                  </a:cxn>
                                  <a:cxn ang="0">
                                    <a:pos x="connisteX1" y="connsiteY1"/>
                                  </a:cxn>
                                  <a:cxn ang="0">
                                    <a:pos x="connisteX2" y="connsiteY2"/>
                                  </a:cxn>
                                </a:cxnLst>
                                <a:rect l="l" t="t" r="r" b="b"/>
                                <a:pathLst>
                                  <a:path w="476250" h="1009650">
                                    <a:moveTo>
                                      <a:pt x="476250" y="1009650"/>
                                    </a:moveTo>
                                    <a:lnTo>
                                      <a:pt x="466725" y="9525"/>
                                    </a:lnTo>
                                    <a:lnTo>
                                      <a:pt x="0" y="0"/>
                                    </a:lnTo>
                                  </a:path>
                                </a:pathLst>
                              </a:custGeom>
                              <a:ln>
                                <a:solidFill>
                                  <a:srgbClr val="00B05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263.05pt;margin-top:70.5pt;height:79.5pt;width:37.5pt;z-index:251683840;mso-width-relative:page;mso-height-relative:page;" filled="f" stroked="t" coordsize="476250,1009650" o:gfxdata="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" path="m476250,1009650l466725,9525,0,0e">
                      <v:path o:connectlocs="476250,1009650;466725,9525;0,0" o:connectangles="0,0,0"/>
                      <v:fill on="f" focussize="0,0"/>
                      <v:stroke weight="2pt" color="#00B05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82816" behindDoc="0" locked="0" layoutInCell="1" allowOverlap="1">
                      <wp:simplePos x="0" y="0"/>
                      <wp:positionH relativeFrom="column">
                        <wp:posOffset>3540760</wp:posOffset>
                      </wp:positionH>
                      <wp:positionV relativeFrom="paragraph">
                        <wp:posOffset>1905000</wp:posOffset>
                      </wp:positionV>
                      <wp:extent cx="685800" cy="0"/>
                      <wp:effectExtent l="0" t="38100" r="0" b="38100"/>
                      <wp:wrapNone/>
                      <wp:docPr id="67" name="任意多边形 67"/>
                      <wp:cNvGraphicFramePr/>
                      <a:graphic xmlns:a="http://schemas.openxmlformats.org/drawingml/2006/main">
                        <a:graphicData uri="http://schemas.microsoft.com/office/word/2010/wordprocessingShape">
                          <wps:wsp>
                            <wps:cNvSpPr/>
                            <wps:spPr>
                              <a:xfrm>
                                <a:off x="4620895" y="6665595"/>
                                <a:ext cx="685800" cy="0"/>
                              </a:xfrm>
                              <a:custGeom>
                                <a:avLst/>
                                <a:gdLst>
                                  <a:gd name="connisteX0" fmla="*/ 685800 w 685800"/>
                                  <a:gd name="connsiteY0" fmla="*/ 0 h 0"/>
                                  <a:gd name="connisteX1" fmla="*/ 0 w 685800"/>
                                  <a:gd name="connsiteY1" fmla="*/ 0 h 0"/>
                                </a:gdLst>
                                <a:ahLst/>
                                <a:cxnLst>
                                  <a:cxn ang="0">
                                    <a:pos x="connisteX0" y="connsiteY0"/>
                                  </a:cxn>
                                  <a:cxn ang="0">
                                    <a:pos x="connisteX1" y="connsiteY1"/>
                                  </a:cxn>
                                </a:cxnLst>
                                <a:rect l="l" t="t" r="r" b="b"/>
                                <a:pathLst>
                                  <a:path w="685800">
                                    <a:moveTo>
                                      <a:pt x="685800" y="0"/>
                                    </a:moveTo>
                                    <a:lnTo>
                                      <a:pt x="0" y="0"/>
                                    </a:lnTo>
                                  </a:path>
                                </a:pathLst>
                              </a:custGeom>
                              <a:ln>
                                <a:solidFill>
                                  <a:srgbClr val="00B050"/>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278.8pt;margin-top:150pt;height:0pt;width:54pt;z-index:251682816;mso-width-relative:page;mso-height-relative:page;" filled="f" stroked="t" coordsize="685800,1" o:gfxdata="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HFOps3WAAAACwEAAA8AAAAAAAAA&#10;AQAgAAAAIgAAAGRycy9kb3ducmV2LnhtbFBLAQIUABQAAAAIAIdO4kBtz5ZjvgIAABMGAAAOAAAA&#10;AAAAAAEAIAAAACUBAABkcnMvZTJvRG9jLnhtbFBLBQYAAAAABgAGAFkBAABVBgAAAAA=&#10;" path="m685800,0l0,0e">
                      <v:path o:connectlocs="685800,@0;0,@0" o:connectangles="0,0"/>
                      <v:fill on="f" focussize="0,0"/>
                      <v:stroke weight="2pt" color="#00B050 [3204]" miterlimit="8" joinstyle="miter" startarrow="block" endarrow="block"/>
                      <v:imagedata o:title=""/>
                      <o:lock v:ext="edit" aspectratio="f"/>
                    </v:shape>
                  </w:pict>
                </mc:Fallback>
              </mc:AlternateContent>
            </w:r>
            <w:r>
              <w:rPr>
                <w:rFonts w:hint="eastAsia" w:eastAsia="宋体"/>
                <w:lang w:eastAsia="zh-CN"/>
              </w:rPr>
              <w:drawing>
                <wp:inline distT="0" distB="0" distL="114300" distR="114300">
                  <wp:extent cx="3127375" cy="4116070"/>
                  <wp:effectExtent l="0" t="0" r="0" b="0"/>
                  <wp:docPr id="47" name="图片 47" descr="四层DSA-CT复合手术室-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四层DSA-CT复合手术室-1"/>
                          <pic:cNvPicPr>
                            <a:picLocks noChangeAspect="1"/>
                          </pic:cNvPicPr>
                        </pic:nvPicPr>
                        <pic:blipFill>
                          <a:blip r:embed="rId23"/>
                          <a:srcRect t="4292" b="2656"/>
                          <a:stretch>
                            <a:fillRect/>
                          </a:stretch>
                        </pic:blipFill>
                        <pic:spPr>
                          <a:xfrm>
                            <a:off x="0" y="0"/>
                            <a:ext cx="3127375" cy="4116070"/>
                          </a:xfrm>
                          <a:prstGeom prst="rect">
                            <a:avLst/>
                          </a:prstGeom>
                        </pic:spPr>
                      </pic:pic>
                    </a:graphicData>
                  </a:graphic>
                </wp:inline>
              </w:drawing>
            </w:r>
          </w:p>
          <w:tbl>
            <w:tblPr>
              <w:tblStyle w:val="57"/>
              <w:tblW w:w="0" w:type="auto"/>
              <w:jc w:val="center"/>
              <w:tblLayout w:type="autofit"/>
              <w:tblCellMar>
                <w:top w:w="0" w:type="dxa"/>
                <w:left w:w="108" w:type="dxa"/>
                <w:bottom w:w="0" w:type="dxa"/>
                <w:right w:w="108" w:type="dxa"/>
              </w:tblCellMar>
            </w:tblPr>
            <w:tblGrid>
              <w:gridCol w:w="805"/>
              <w:gridCol w:w="1142"/>
              <w:gridCol w:w="883"/>
              <w:gridCol w:w="1215"/>
              <w:gridCol w:w="870"/>
              <w:gridCol w:w="1170"/>
            </w:tblGrid>
            <w:tr w14:paraId="265A6AA7">
              <w:tblPrEx>
                <w:tblCellMar>
                  <w:top w:w="0" w:type="dxa"/>
                  <w:left w:w="108" w:type="dxa"/>
                  <w:bottom w:w="0" w:type="dxa"/>
                  <w:right w:w="108" w:type="dxa"/>
                </w:tblCellMar>
              </w:tblPrEx>
              <w:trPr>
                <w:trHeight w:val="317" w:hRule="atLeast"/>
                <w:jc w:val="center"/>
              </w:trPr>
              <w:tc>
                <w:tcPr>
                  <w:tcW w:w="805" w:type="dxa"/>
                  <w:noWrap w:val="0"/>
                  <w:vAlign w:val="top"/>
                </w:tcPr>
                <w:p w14:paraId="7D17289B">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79744" behindDoc="0" locked="0" layoutInCell="1" allowOverlap="1">
                            <wp:simplePos x="0" y="0"/>
                            <wp:positionH relativeFrom="column">
                              <wp:posOffset>-41910</wp:posOffset>
                            </wp:positionH>
                            <wp:positionV relativeFrom="paragraph">
                              <wp:posOffset>105410</wp:posOffset>
                            </wp:positionV>
                            <wp:extent cx="420370" cy="4445"/>
                            <wp:effectExtent l="0" t="37465" r="17780" b="34290"/>
                            <wp:wrapNone/>
                            <wp:docPr id="60" name="直线 134"/>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00B05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4" o:spid="_x0000_s1026" o:spt="20" style="position:absolute;left:0pt;flip:y;margin-left:-3.3pt;margin-top:8.3pt;height:0.35pt;width:33.1pt;z-index:251679744;mso-width-relative:page;mso-height-relative:page;" filled="f" stroked="t" coordsize="21600,21600" o:gfxdata="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EBJ+PUAAAABwEAAA8AAAAAAAAA&#10;AQAgAAAAIgAAAGRycy9kb3ducmV2LnhtbFBLAQIUABQAAAAIAIdO4kDYcFrmFQIAABwEAAAOAAAA&#10;AAAAAAEAIAAAACMBAABkcnMvZTJvRG9jLnhtbFBLBQYAAAAABgAGAFkBAACqBQAAAAA=&#10;">
                            <v:fill on="f" focussize="0,0"/>
                            <v:stroke weight="1.5pt" color="#00B050 [3204]" miterlimit="8" joinstyle="miter" endarrow="block"/>
                            <v:imagedata o:title=""/>
                            <o:lock v:ext="edit" aspectratio="f"/>
                          </v:line>
                        </w:pict>
                      </mc:Fallback>
                    </mc:AlternateContent>
                  </w:r>
                </w:p>
              </w:tc>
              <w:tc>
                <w:tcPr>
                  <w:tcW w:w="1142" w:type="dxa"/>
                  <w:noWrap w:val="0"/>
                  <w:vAlign w:val="top"/>
                </w:tcPr>
                <w:p w14:paraId="665AFED5">
                  <w:pPr>
                    <w:pStyle w:val="79"/>
                    <w:spacing w:line="360" w:lineRule="auto"/>
                    <w:ind w:left="0"/>
                    <w:rPr>
                      <w:rFonts w:ascii="Times New Roman"/>
                      <w:sz w:val="21"/>
                      <w:szCs w:val="21"/>
                    </w:rPr>
                  </w:pPr>
                  <w:r>
                    <w:rPr>
                      <w:rFonts w:hint="eastAsia" w:ascii="Times New Roman"/>
                      <w:sz w:val="21"/>
                      <w:szCs w:val="21"/>
                      <w:lang w:val="en-US" w:eastAsia="zh-CN"/>
                    </w:rPr>
                    <w:t>医护</w:t>
                  </w:r>
                  <w:r>
                    <w:rPr>
                      <w:rFonts w:ascii="Times New Roman"/>
                      <w:sz w:val="21"/>
                      <w:szCs w:val="21"/>
                    </w:rPr>
                    <w:t>通道</w:t>
                  </w:r>
                </w:p>
              </w:tc>
              <w:tc>
                <w:tcPr>
                  <w:tcW w:w="883" w:type="dxa"/>
                  <w:noWrap w:val="0"/>
                  <w:vAlign w:val="top"/>
                </w:tcPr>
                <w:p w14:paraId="557934AB">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80768" behindDoc="0" locked="0" layoutInCell="1" allowOverlap="1">
                            <wp:simplePos x="0" y="0"/>
                            <wp:positionH relativeFrom="column">
                              <wp:posOffset>-17145</wp:posOffset>
                            </wp:positionH>
                            <wp:positionV relativeFrom="paragraph">
                              <wp:posOffset>99695</wp:posOffset>
                            </wp:positionV>
                            <wp:extent cx="420370" cy="4445"/>
                            <wp:effectExtent l="0" t="37465" r="17780" b="34290"/>
                            <wp:wrapNone/>
                            <wp:docPr id="64" name="直线 135"/>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FF000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5" o:spid="_x0000_s1026" o:spt="20" style="position:absolute;left:0pt;flip:y;margin-left:-1.35pt;margin-top:7.85pt;height:0.35pt;width:33.1pt;z-index:251680768;mso-width-relative:page;mso-height-relative:page;" filled="f" stroked="t" coordsize="21600,21600" o:gfxdata="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tdHkv1wAAAAcBAAAPAAAA&#10;AAAAAAEAIAAAACIAAABkcnMvZG93bnJldi54bWxQSwECFAAUAAAACACHTuJAoJgD+xYCAAAcBAAA&#10;DgAAAAAAAAABACAAAAAmAQAAZHJzL2Uyb0RvYy54bWxQSwUGAAAAAAYABgBZAQAArgUAAAAA&#10;">
                            <v:fill on="f" focussize="0,0"/>
                            <v:stroke weight="1.5pt" color="#FF0000 [3204]" miterlimit="8" joinstyle="miter" endarrow="block"/>
                            <v:imagedata o:title=""/>
                            <o:lock v:ext="edit" aspectratio="f"/>
                          </v:line>
                        </w:pict>
                      </mc:Fallback>
                    </mc:AlternateContent>
                  </w:r>
                </w:p>
              </w:tc>
              <w:tc>
                <w:tcPr>
                  <w:tcW w:w="1215" w:type="dxa"/>
                  <w:noWrap w:val="0"/>
                  <w:vAlign w:val="top"/>
                </w:tcPr>
                <w:p w14:paraId="34101B5E">
                  <w:pPr>
                    <w:pStyle w:val="79"/>
                    <w:spacing w:line="360" w:lineRule="auto"/>
                    <w:ind w:left="0"/>
                    <w:rPr>
                      <w:rFonts w:ascii="Times New Roman"/>
                      <w:sz w:val="21"/>
                      <w:szCs w:val="21"/>
                    </w:rPr>
                  </w:pPr>
                  <w:r>
                    <w:rPr>
                      <w:rFonts w:hint="eastAsia" w:ascii="Times New Roman"/>
                      <w:sz w:val="21"/>
                      <w:szCs w:val="21"/>
                      <w:lang w:val="en-US" w:eastAsia="zh-CN"/>
                    </w:rPr>
                    <w:t>患者</w:t>
                  </w:r>
                  <w:r>
                    <w:rPr>
                      <w:rFonts w:ascii="Times New Roman"/>
                      <w:sz w:val="21"/>
                      <w:szCs w:val="21"/>
                    </w:rPr>
                    <w:t>通道</w:t>
                  </w:r>
                </w:p>
              </w:tc>
              <w:tc>
                <w:tcPr>
                  <w:tcW w:w="870" w:type="dxa"/>
                  <w:noWrap w:val="0"/>
                  <w:vAlign w:val="top"/>
                </w:tcPr>
                <w:p w14:paraId="60D21CAD">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81792" behindDoc="0" locked="0" layoutInCell="1" allowOverlap="1">
                            <wp:simplePos x="0" y="0"/>
                            <wp:positionH relativeFrom="column">
                              <wp:posOffset>-27940</wp:posOffset>
                            </wp:positionH>
                            <wp:positionV relativeFrom="paragraph">
                              <wp:posOffset>106045</wp:posOffset>
                            </wp:positionV>
                            <wp:extent cx="387985" cy="1905"/>
                            <wp:effectExtent l="0" t="37465" r="12065" b="36830"/>
                            <wp:wrapNone/>
                            <wp:docPr id="66" name="直线 136"/>
                            <wp:cNvGraphicFramePr/>
                            <a:graphic xmlns:a="http://schemas.openxmlformats.org/drawingml/2006/main">
                              <a:graphicData uri="http://schemas.microsoft.com/office/word/2010/wordprocessingShape">
                                <wps:wsp>
                                  <wps:cNvCnPr/>
                                  <wps:spPr>
                                    <a:xfrm flipV="1">
                                      <a:off x="0" y="0"/>
                                      <a:ext cx="387985" cy="1905"/>
                                    </a:xfrm>
                                    <a:prstGeom prst="line">
                                      <a:avLst/>
                                    </a:prstGeom>
                                    <a:ln>
                                      <a:solidFill>
                                        <a:schemeClr val="accent5"/>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6" o:spid="_x0000_s1026" o:spt="20" style="position:absolute;left:0pt;flip:y;margin-left:-2.2pt;margin-top:8.35pt;height:0.15pt;width:30.55pt;z-index:251681792;mso-width-relative:page;mso-height-relative:page;" filled="f" stroked="t" coordsize="21600,21600" o:gfxdata="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Vib59UAAAAHAQAADwAAAAAA&#10;AAABACAAAAAiAAAAZHJzL2Rvd25yZXYueG1sUEsBAhQAFAAAAAgAh07iQCcDlWMWAgAAHAQAAA4A&#10;AAAAAAAAAQAgAAAAJAEAAGRycy9lMm9Eb2MueG1sUEsFBgAAAAAGAAYAWQEAAKwFAAAAAA==&#10;">
                            <v:fill on="f" focussize="0,0"/>
                            <v:stroke weight="1.5pt" color="#A02B93 [3208]" miterlimit="8" joinstyle="miter" endarrow="block"/>
                            <v:imagedata o:title=""/>
                            <o:lock v:ext="edit" aspectratio="f"/>
                          </v:line>
                        </w:pict>
                      </mc:Fallback>
                    </mc:AlternateContent>
                  </w:r>
                </w:p>
              </w:tc>
              <w:tc>
                <w:tcPr>
                  <w:tcW w:w="1170" w:type="dxa"/>
                  <w:noWrap w:val="0"/>
                  <w:vAlign w:val="top"/>
                </w:tcPr>
                <w:p w14:paraId="45668481">
                  <w:pPr>
                    <w:pStyle w:val="79"/>
                    <w:spacing w:line="360" w:lineRule="auto"/>
                    <w:ind w:left="0"/>
                    <w:rPr>
                      <w:rFonts w:ascii="Times New Roman"/>
                      <w:sz w:val="21"/>
                      <w:szCs w:val="21"/>
                    </w:rPr>
                  </w:pPr>
                  <w:r>
                    <w:rPr>
                      <w:rFonts w:hint="eastAsia" w:ascii="Times New Roman"/>
                      <w:sz w:val="21"/>
                      <w:szCs w:val="21"/>
                      <w:lang w:val="en-US" w:eastAsia="zh-CN"/>
                    </w:rPr>
                    <w:t>污物</w:t>
                  </w:r>
                  <w:r>
                    <w:rPr>
                      <w:rFonts w:ascii="Times New Roman"/>
                      <w:sz w:val="21"/>
                      <w:szCs w:val="21"/>
                    </w:rPr>
                    <w:t>通道</w:t>
                  </w:r>
                </w:p>
              </w:tc>
            </w:tr>
            <w:bookmarkEnd w:id="35"/>
          </w:tbl>
          <w:p w14:paraId="3A04BC13">
            <w:pPr>
              <w:pStyle w:val="55"/>
              <w:ind w:firstLine="210"/>
              <w:jc w:val="center"/>
              <w:rPr>
                <w:rFonts w:eastAsia="黑体"/>
                <w:bCs/>
                <w:sz w:val="21"/>
                <w:szCs w:val="21"/>
                <w:lang w:val="zh-CN"/>
              </w:rPr>
            </w:pPr>
            <w:r>
              <w:rPr>
                <w:rFonts w:eastAsia="黑体"/>
                <w:bCs/>
                <w:sz w:val="21"/>
                <w:szCs w:val="21"/>
                <w:lang w:val="zh-CN"/>
              </w:rPr>
              <w:t>图9-</w:t>
            </w:r>
            <w:r>
              <w:rPr>
                <w:rFonts w:hint="eastAsia" w:eastAsia="黑体"/>
                <w:bCs/>
                <w:sz w:val="21"/>
                <w:szCs w:val="21"/>
                <w:lang w:val="en-US" w:eastAsia="zh-CN"/>
              </w:rPr>
              <w:t>8</w:t>
            </w:r>
            <w:r>
              <w:rPr>
                <w:rFonts w:eastAsia="黑体"/>
                <w:bCs/>
                <w:sz w:val="21"/>
                <w:szCs w:val="21"/>
                <w:lang w:val="zh-CN"/>
              </w:rPr>
              <w:t xml:space="preserve">  本项目</w:t>
            </w:r>
            <w:r>
              <w:rPr>
                <w:rFonts w:hint="eastAsia" w:eastAsia="黑体"/>
                <w:bCs/>
                <w:sz w:val="21"/>
                <w:szCs w:val="21"/>
                <w:lang w:val="zh-CN"/>
              </w:rPr>
              <w:t>DSA+CT</w:t>
            </w:r>
            <w:r>
              <w:rPr>
                <w:rFonts w:eastAsia="黑体"/>
                <w:bCs/>
                <w:sz w:val="21"/>
                <w:szCs w:val="21"/>
                <w:lang w:val="zh-CN"/>
              </w:rPr>
              <w:t>复合手术室区域</w:t>
            </w:r>
            <w:r>
              <w:rPr>
                <w:rFonts w:hint="eastAsia" w:eastAsia="黑体"/>
                <w:bCs/>
                <w:sz w:val="21"/>
                <w:szCs w:val="21"/>
                <w:lang w:val="zh-CN"/>
              </w:rPr>
              <w:t>患者、医护、污物流通路径图</w:t>
            </w:r>
          </w:p>
          <w:p w14:paraId="69C7A0BA">
            <w:pPr>
              <w:shd w:val="clear"/>
              <w:ind w:firstLine="480" w:firstLineChars="200"/>
              <w:rPr>
                <w:highlight w:val="none"/>
              </w:rPr>
            </w:pPr>
            <w:r>
              <w:rPr>
                <w:rFonts w:hint="eastAsia"/>
                <w:highlight w:val="none"/>
                <w:lang w:eastAsia="zh-CN"/>
              </w:rPr>
              <w:t>（</w:t>
            </w:r>
            <w:r>
              <w:rPr>
                <w:rFonts w:hint="eastAsia"/>
                <w:highlight w:val="none"/>
                <w:lang w:val="en-US" w:eastAsia="zh-CN"/>
              </w:rPr>
              <w:t>2</w:t>
            </w:r>
            <w:r>
              <w:rPr>
                <w:rFonts w:hint="eastAsia"/>
                <w:highlight w:val="none"/>
                <w:lang w:eastAsia="zh-CN"/>
              </w:rPr>
              <w:t>）</w:t>
            </w:r>
            <w:r>
              <w:rPr>
                <w:color w:val="000000"/>
                <w:highlight w:val="none"/>
              </w:rPr>
              <w:t>DSA手术室</w:t>
            </w:r>
          </w:p>
          <w:p w14:paraId="3A8E41EA">
            <w:pPr>
              <w:pStyle w:val="20"/>
              <w:shd w:val="clear"/>
              <w:ind w:firstLine="480" w:firstLineChars="200"/>
              <w:rPr>
                <w:bCs/>
              </w:rPr>
            </w:pPr>
            <w:r>
              <w:rPr>
                <w:rFonts w:hint="eastAsia"/>
                <w:color w:val="000000"/>
                <w:highlight w:val="none"/>
                <w:lang w:val="en-US" w:eastAsia="zh-CN"/>
              </w:rPr>
              <w:t>3</w:t>
            </w:r>
            <w:r>
              <w:rPr>
                <w:rFonts w:hint="eastAsia"/>
                <w:color w:val="000000"/>
                <w:highlight w:val="none"/>
              </w:rPr>
              <w:t>间</w:t>
            </w:r>
            <w:r>
              <w:rPr>
                <w:rFonts w:hint="eastAsia"/>
                <w:color w:val="000000"/>
                <w:highlight w:val="none"/>
                <w:lang w:val="en-US" w:eastAsia="zh-CN"/>
              </w:rPr>
              <w:t>DSA</w:t>
            </w:r>
            <w:r>
              <w:rPr>
                <w:color w:val="000000"/>
                <w:highlight w:val="none"/>
              </w:rPr>
              <w:t>手术室</w:t>
            </w:r>
            <w:r>
              <w:rPr>
                <w:rFonts w:hint="eastAsia"/>
                <w:color w:val="000000"/>
                <w:highlight w:val="none"/>
              </w:rPr>
              <w:t>并排布置，</w:t>
            </w:r>
            <w:r>
              <w:rPr>
                <w:rFonts w:hint="eastAsia"/>
                <w:color w:val="000000"/>
                <w:highlight w:val="none"/>
                <w:lang w:val="en-US" w:eastAsia="zh-CN"/>
              </w:rPr>
              <w:t>其中OR09和OR10</w:t>
            </w:r>
            <w:r>
              <w:rPr>
                <w:rFonts w:hint="eastAsia"/>
                <w:color w:val="000000"/>
                <w:highlight w:val="none"/>
              </w:rPr>
              <w:t>中间为</w:t>
            </w:r>
            <w:r>
              <w:rPr>
                <w:rFonts w:hint="eastAsia"/>
                <w:color w:val="000000"/>
                <w:highlight w:val="none"/>
                <w:lang w:val="en-US" w:eastAsia="zh-CN"/>
              </w:rPr>
              <w:t>共用</w:t>
            </w:r>
            <w:r>
              <w:rPr>
                <w:rFonts w:hint="eastAsia"/>
                <w:color w:val="000000"/>
                <w:highlight w:val="none"/>
              </w:rPr>
              <w:t>控制室</w:t>
            </w:r>
            <w:r>
              <w:rPr>
                <w:rFonts w:hint="eastAsia"/>
                <w:color w:val="000000"/>
                <w:highlight w:val="none"/>
                <w:lang w:eastAsia="zh-CN"/>
              </w:rPr>
              <w:t>，</w:t>
            </w:r>
            <w:r>
              <w:rPr>
                <w:rFonts w:hint="eastAsia"/>
                <w:color w:val="000000"/>
                <w:highlight w:val="none"/>
                <w:lang w:val="en-US" w:eastAsia="zh-CN"/>
              </w:rPr>
              <w:t>OR11东侧为控制室</w:t>
            </w:r>
            <w:r>
              <w:rPr>
                <w:rFonts w:hint="eastAsia"/>
                <w:color w:val="000000"/>
                <w:highlight w:val="none"/>
              </w:rPr>
              <w:t>。</w:t>
            </w:r>
            <w:r>
              <w:rPr>
                <w:highlight w:val="none"/>
              </w:rPr>
              <w:t>医护人员</w:t>
            </w:r>
            <w:r>
              <w:rPr>
                <w:rFonts w:hint="eastAsia"/>
                <w:highlight w:val="none"/>
              </w:rPr>
              <w:t>由</w:t>
            </w:r>
            <w:r>
              <w:rPr>
                <w:rFonts w:hint="eastAsia"/>
                <w:highlight w:val="none"/>
                <w:lang w:val="en-US" w:eastAsia="zh-CN"/>
              </w:rPr>
              <w:t>南</w:t>
            </w:r>
            <w:r>
              <w:rPr>
                <w:rFonts w:hint="eastAsia"/>
                <w:highlight w:val="none"/>
              </w:rPr>
              <w:t>侧通道进入</w:t>
            </w:r>
            <w:r>
              <w:rPr>
                <w:rFonts w:hint="eastAsia"/>
                <w:highlight w:val="none"/>
                <w:lang w:val="en-US" w:eastAsia="zh-CN"/>
              </w:rPr>
              <w:t>/离开</w:t>
            </w:r>
            <w:r>
              <w:rPr>
                <w:rFonts w:hint="eastAsia"/>
                <w:highlight w:val="none"/>
              </w:rPr>
              <w:t>控制室</w:t>
            </w:r>
            <w:r>
              <w:rPr>
                <w:rFonts w:hint="eastAsia"/>
                <w:highlight w:val="none"/>
                <w:lang w:val="en-US" w:eastAsia="zh-CN"/>
              </w:rPr>
              <w:t>和各个手术室</w:t>
            </w:r>
            <w:r>
              <w:rPr>
                <w:rFonts w:hint="eastAsia"/>
                <w:bCs/>
                <w:highlight w:val="none"/>
              </w:rPr>
              <w:t>；病人由北侧</w:t>
            </w:r>
            <w:r>
              <w:rPr>
                <w:bCs/>
                <w:highlight w:val="none"/>
              </w:rPr>
              <w:t>患者通道</w:t>
            </w:r>
            <w:r>
              <w:rPr>
                <w:rFonts w:hint="eastAsia"/>
                <w:bCs/>
                <w:highlight w:val="none"/>
              </w:rPr>
              <w:t>进入/离开</w:t>
            </w:r>
            <w:r>
              <w:rPr>
                <w:rFonts w:hint="eastAsia"/>
                <w:highlight w:val="none"/>
                <w:lang w:val="en-US" w:eastAsia="zh-CN"/>
              </w:rPr>
              <w:t>各个</w:t>
            </w:r>
            <w:r>
              <w:rPr>
                <w:rFonts w:hint="eastAsia"/>
                <w:bCs/>
                <w:highlight w:val="none"/>
              </w:rPr>
              <w:t>手术室；</w:t>
            </w:r>
            <w:r>
              <w:rPr>
                <w:highlight w:val="none"/>
              </w:rPr>
              <w:t>污物</w:t>
            </w:r>
            <w:r>
              <w:rPr>
                <w:rFonts w:hint="eastAsia"/>
                <w:highlight w:val="none"/>
                <w:lang w:val="en-US" w:eastAsia="zh-CN"/>
              </w:rPr>
              <w:t>利用手术间隙或每日手术全部结束后借道患者通道</w:t>
            </w:r>
            <w:r>
              <w:rPr>
                <w:highlight w:val="none"/>
              </w:rPr>
              <w:t>运至</w:t>
            </w:r>
            <w:r>
              <w:rPr>
                <w:rFonts w:hint="eastAsia"/>
                <w:highlight w:val="none"/>
                <w:lang w:val="en-US" w:eastAsia="zh-CN"/>
              </w:rPr>
              <w:t>污物</w:t>
            </w:r>
            <w:r>
              <w:rPr>
                <w:highlight w:val="none"/>
              </w:rPr>
              <w:t>暂存间暂存</w:t>
            </w:r>
            <w:r>
              <w:rPr>
                <w:rFonts w:hint="eastAsia"/>
              </w:rPr>
              <w:t>，</w:t>
            </w:r>
            <w:r>
              <w:rPr>
                <w:rFonts w:hint="eastAsia"/>
                <w:bCs/>
              </w:rPr>
              <w:t>最终交有医疗废物处理资质的单位集中处置。</w:t>
            </w:r>
          </w:p>
          <w:p w14:paraId="28899E05">
            <w:pPr>
              <w:ind w:firstLine="480" w:firstLineChars="200"/>
            </w:pPr>
            <w:r>
              <w:rPr>
                <w:bCs/>
              </w:rPr>
              <w:t>本项目</w:t>
            </w:r>
            <w:r>
              <w:rPr>
                <w:rFonts w:hint="eastAsia"/>
                <w:color w:val="000000"/>
                <w:lang w:val="en-US" w:eastAsia="zh-CN"/>
              </w:rPr>
              <w:t>3</w:t>
            </w:r>
            <w:r>
              <w:rPr>
                <w:rFonts w:hint="eastAsia"/>
                <w:color w:val="000000"/>
              </w:rPr>
              <w:t>间</w:t>
            </w:r>
            <w:r>
              <w:rPr>
                <w:rFonts w:hint="eastAsia"/>
                <w:color w:val="000000"/>
                <w:lang w:val="en-US" w:eastAsia="zh-CN"/>
              </w:rPr>
              <w:t>DSA</w:t>
            </w:r>
            <w:r>
              <w:rPr>
                <w:color w:val="000000"/>
              </w:rPr>
              <w:t>手术室</w:t>
            </w:r>
            <w:r>
              <w:rPr>
                <w:rFonts w:hint="eastAsia"/>
                <w:color w:val="000000"/>
              </w:rPr>
              <w:t>均</w:t>
            </w:r>
            <w:r>
              <w:rPr>
                <w:bCs/>
              </w:rPr>
              <w:t>为患者</w:t>
            </w:r>
            <w:r>
              <w:rPr>
                <w:rFonts w:hint="eastAsia"/>
                <w:bCs/>
              </w:rPr>
              <w:t>、</w:t>
            </w:r>
            <w:r>
              <w:rPr>
                <w:bCs/>
              </w:rPr>
              <w:t>医护人员分别设置独立通道，</w:t>
            </w:r>
            <w:r>
              <w:rPr>
                <w:rFonts w:hint="eastAsia"/>
                <w:bCs/>
                <w:lang w:val="en-US" w:eastAsia="zh-CN"/>
              </w:rPr>
              <w:t>污物利用时空分隔借道患者通道运送</w:t>
            </w:r>
            <w:r>
              <w:rPr>
                <w:rFonts w:hint="eastAsia"/>
                <w:bCs/>
                <w:lang w:eastAsia="zh-CN"/>
              </w:rPr>
              <w:t>。</w:t>
            </w:r>
            <w:r>
              <w:rPr>
                <w:bCs/>
              </w:rPr>
              <w:t>患者通道的宽度满足病人手推车辆的通行，通道畅通无阻，方便治疗</w:t>
            </w:r>
            <w:r>
              <w:rPr>
                <w:rFonts w:hint="eastAsia"/>
              </w:rPr>
              <w:t>，</w:t>
            </w:r>
            <w:r>
              <w:t>本项目</w:t>
            </w:r>
            <w:r>
              <w:rPr>
                <w:rFonts w:hint="eastAsia"/>
                <w:color w:val="000000"/>
                <w:lang w:val="en-US" w:eastAsia="zh-CN"/>
              </w:rPr>
              <w:t>3</w:t>
            </w:r>
            <w:r>
              <w:rPr>
                <w:rFonts w:hint="eastAsia"/>
                <w:color w:val="000000"/>
              </w:rPr>
              <w:t>间</w:t>
            </w:r>
            <w:r>
              <w:rPr>
                <w:rFonts w:hint="eastAsia"/>
                <w:color w:val="000000"/>
                <w:lang w:val="en-US" w:eastAsia="zh-CN"/>
              </w:rPr>
              <w:t>DSA</w:t>
            </w:r>
            <w:r>
              <w:rPr>
                <w:color w:val="000000"/>
              </w:rPr>
              <w:t>手术室</w:t>
            </w:r>
            <w:r>
              <w:t>区域</w:t>
            </w:r>
            <w:r>
              <w:rPr>
                <w:bCs/>
              </w:rPr>
              <w:t>患者</w:t>
            </w:r>
            <w:r>
              <w:rPr>
                <w:rFonts w:hint="eastAsia"/>
                <w:bCs/>
              </w:rPr>
              <w:t>、</w:t>
            </w:r>
            <w:r>
              <w:rPr>
                <w:bCs/>
              </w:rPr>
              <w:t>医护</w:t>
            </w:r>
            <w:r>
              <w:rPr>
                <w:rFonts w:hint="eastAsia"/>
                <w:bCs/>
              </w:rPr>
              <w:t>、污物流通</w:t>
            </w:r>
            <w:r>
              <w:t>路径合理</w:t>
            </w:r>
            <w:r>
              <w:rPr>
                <w:rFonts w:hint="eastAsia"/>
              </w:rPr>
              <w:t>。</w:t>
            </w:r>
          </w:p>
          <w:p w14:paraId="02D638E7">
            <w:pPr>
              <w:rPr>
                <w:rFonts w:hint="eastAsia" w:eastAsia="宋体"/>
                <w:lang w:eastAsia="zh-CN"/>
              </w:rPr>
            </w:pPr>
            <w:r>
              <w:rPr>
                <w:sz w:val="24"/>
              </w:rPr>
              <mc:AlternateContent>
                <mc:Choice Requires="wps">
                  <w:drawing>
                    <wp:anchor distT="0" distB="0" distL="114300" distR="114300" simplePos="0" relativeHeight="251692032" behindDoc="0" locked="0" layoutInCell="1" allowOverlap="1">
                      <wp:simplePos x="0" y="0"/>
                      <wp:positionH relativeFrom="column">
                        <wp:posOffset>2642235</wp:posOffset>
                      </wp:positionH>
                      <wp:positionV relativeFrom="paragraph">
                        <wp:posOffset>1250315</wp:posOffset>
                      </wp:positionV>
                      <wp:extent cx="0" cy="276225"/>
                      <wp:effectExtent l="38100" t="0" r="38100" b="9525"/>
                      <wp:wrapNone/>
                      <wp:docPr id="80" name="直接箭头连接符 80"/>
                      <wp:cNvGraphicFramePr/>
                      <a:graphic xmlns:a="http://schemas.openxmlformats.org/drawingml/2006/main">
                        <a:graphicData uri="http://schemas.microsoft.com/office/word/2010/wordprocessingShape">
                          <wps:wsp>
                            <wps:cNvCnPr/>
                            <wps:spPr>
                              <a:xfrm>
                                <a:off x="3731895" y="3285490"/>
                                <a:ext cx="0" cy="276225"/>
                              </a:xfrm>
                              <a:prstGeom prst="straightConnector1">
                                <a:avLst/>
                              </a:pr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8.05pt;margin-top:98.45pt;height:21.75pt;width:0pt;z-index:251692032;mso-width-relative:page;mso-height-relative:page;" filled="f" stroked="t" coordsize="21600,21600" o:gfxdata="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ksE3YAAAACwEAAA8AAAAAAAAAAQAgAAAAIgAAAGRycy9kb3ducmV2LnhtbFBLAQIUABQA&#10;AAAIAIdO4kDQN8ugKQIAABkEAAAOAAAAAAAAAAEAIAAAACcBAABkcnMvZTJvRG9jLnhtbFBLBQYA&#10;AAAABgAGAFkBAADCBQAAAAA=&#10;">
                      <v:fill on="f" focussize="0,0"/>
                      <v:stroke weight="2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91008" behindDoc="0" locked="0" layoutInCell="1" allowOverlap="1">
                      <wp:simplePos x="0" y="0"/>
                      <wp:positionH relativeFrom="column">
                        <wp:posOffset>927735</wp:posOffset>
                      </wp:positionH>
                      <wp:positionV relativeFrom="paragraph">
                        <wp:posOffset>1221740</wp:posOffset>
                      </wp:positionV>
                      <wp:extent cx="0" cy="304800"/>
                      <wp:effectExtent l="38100" t="0" r="38100" b="0"/>
                      <wp:wrapNone/>
                      <wp:docPr id="79" name="直接箭头连接符 79"/>
                      <wp:cNvGraphicFramePr/>
                      <a:graphic xmlns:a="http://schemas.openxmlformats.org/drawingml/2006/main">
                        <a:graphicData uri="http://schemas.microsoft.com/office/word/2010/wordprocessingShape">
                          <wps:wsp>
                            <wps:cNvCnPr/>
                            <wps:spPr>
                              <a:xfrm>
                                <a:off x="2017395" y="3275965"/>
                                <a:ext cx="0" cy="304800"/>
                              </a:xfrm>
                              <a:prstGeom prst="straightConnector1">
                                <a:avLst/>
                              </a:prstGeom>
                              <a:ln>
                                <a:solidFill>
                                  <a:srgbClr val="FF000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73.05pt;margin-top:96.2pt;height:24pt;width:0pt;z-index:251691008;mso-width-relative:page;mso-height-relative:page;" filled="f" stroked="t" coordsize="21600,21600" o:gfxdata="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HV0PI1wAAAAsBAAAPAAAAAAAAAAEAIAAAACIAAABkcnMvZG93bnJldi54bWxQSwECFAAU&#10;AAAACACHTuJAG+7FGysCAAAZBAAADgAAAAAAAAABACAAAAAmAQAAZHJzL2Uyb0RvYy54bWxQSwUG&#10;AAAAAAYABgBZAQAAwwUAAAAA&#10;">
                      <v:fill on="f" focussize="0,0"/>
                      <v:stroke weight="2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89984" behindDoc="0" locked="0" layoutInCell="1" allowOverlap="1">
                      <wp:simplePos x="0" y="0"/>
                      <wp:positionH relativeFrom="column">
                        <wp:posOffset>80010</wp:posOffset>
                      </wp:positionH>
                      <wp:positionV relativeFrom="paragraph">
                        <wp:posOffset>1040765</wp:posOffset>
                      </wp:positionV>
                      <wp:extent cx="3495675" cy="438150"/>
                      <wp:effectExtent l="0" t="38100" r="47625" b="0"/>
                      <wp:wrapNone/>
                      <wp:docPr id="78" name="任意多边形 78"/>
                      <wp:cNvGraphicFramePr/>
                      <a:graphic xmlns:a="http://schemas.openxmlformats.org/drawingml/2006/main">
                        <a:graphicData uri="http://schemas.microsoft.com/office/word/2010/wordprocessingShape">
                          <wps:wsp>
                            <wps:cNvSpPr/>
                            <wps:spPr>
                              <a:xfrm>
                                <a:off x="1160145" y="3094990"/>
                                <a:ext cx="3495675" cy="438150"/>
                              </a:xfrm>
                              <a:custGeom>
                                <a:avLst/>
                                <a:gdLst>
                                  <a:gd name="connisteX0" fmla="*/ 0 w 3495675"/>
                                  <a:gd name="connsiteY0" fmla="*/ 0 h 438150"/>
                                  <a:gd name="connisteX1" fmla="*/ 390525 w 3495675"/>
                                  <a:gd name="connsiteY1" fmla="*/ 0 h 438150"/>
                                  <a:gd name="connisteX2" fmla="*/ 390525 w 3495675"/>
                                  <a:gd name="connsiteY2" fmla="*/ 190500 h 438150"/>
                                  <a:gd name="connisteX3" fmla="*/ 3495675 w 3495675"/>
                                  <a:gd name="connsiteY3" fmla="*/ 190500 h 438150"/>
                                  <a:gd name="connisteX4" fmla="*/ 3495675 w 3495675"/>
                                  <a:gd name="connsiteY4" fmla="*/ 438150 h 4381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3495675" h="438150">
                                    <a:moveTo>
                                      <a:pt x="0" y="0"/>
                                    </a:moveTo>
                                    <a:lnTo>
                                      <a:pt x="390525" y="0"/>
                                    </a:lnTo>
                                    <a:lnTo>
                                      <a:pt x="390525" y="190500"/>
                                    </a:lnTo>
                                    <a:lnTo>
                                      <a:pt x="3495675" y="190500"/>
                                    </a:lnTo>
                                    <a:lnTo>
                                      <a:pt x="3495675" y="438150"/>
                                    </a:lnTo>
                                  </a:path>
                                </a:pathLst>
                              </a:custGeom>
                              <a:ln>
                                <a:solidFill>
                                  <a:srgbClr val="FF0000"/>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6.3pt;margin-top:81.95pt;height:34.5pt;width:275.25pt;z-index:251689984;mso-width-relative:page;mso-height-relative:page;" filled="f" stroked="t" coordsize="3495675,438150" o:gfxdata="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I5DWTHZAAAACgEAAA8AAAAAAAAAAQAgAAAA&#10;IgAAAGRycy9kb3ducmV2LnhtbFBLAQIUABQAAAAIAIdO4kBvNlCoJwMAAKsIAAAOAAAAAAAAAAEA&#10;IAAAACgBAABkcnMvZTJvRG9jLnhtbFBLBQYAAAAABgAGAFkBAADBBgAAAAA=&#10;" path="m0,0l390525,0,390525,190500,3495675,190500,3495675,438150e">
                      <v:path o:connectlocs="0,0;390525,0;390525,190500;3495675,190500;3495675,438150" o:connectangles="0,0,0,0,0"/>
                      <v:fill on="f" focussize="0,0"/>
                      <v:stroke weight="2pt" color="#FF0000 [3204]" miterlimit="8" joinstyle="miter" startarrow="block" endarrow="block"/>
                      <v:imagedata o:title=""/>
                      <o:lock v:ext="edit" aspectratio="f"/>
                    </v:shape>
                  </w:pict>
                </mc:Fallback>
              </mc:AlternateContent>
            </w:r>
            <w:r>
              <w:rPr>
                <w:sz w:val="24"/>
              </w:rPr>
              <mc:AlternateContent>
                <mc:Choice Requires="wps">
                  <w:drawing>
                    <wp:anchor distT="0" distB="0" distL="114300" distR="114300" simplePos="0" relativeHeight="251697152" behindDoc="0" locked="0" layoutInCell="1" allowOverlap="1">
                      <wp:simplePos x="0" y="0"/>
                      <wp:positionH relativeFrom="column">
                        <wp:posOffset>318135</wp:posOffset>
                      </wp:positionH>
                      <wp:positionV relativeFrom="paragraph">
                        <wp:posOffset>762635</wp:posOffset>
                      </wp:positionV>
                      <wp:extent cx="3190875" cy="428625"/>
                      <wp:effectExtent l="0" t="34925" r="9525" b="12700"/>
                      <wp:wrapNone/>
                      <wp:docPr id="86" name="任意多边形 86"/>
                      <wp:cNvGraphicFramePr/>
                      <a:graphic xmlns:a="http://schemas.openxmlformats.org/drawingml/2006/main">
                        <a:graphicData uri="http://schemas.microsoft.com/office/word/2010/wordprocessingShape">
                          <wps:wsp>
                            <wps:cNvSpPr/>
                            <wps:spPr>
                              <a:xfrm>
                                <a:off x="1407795" y="2769235"/>
                                <a:ext cx="3190875" cy="428625"/>
                              </a:xfrm>
                              <a:custGeom>
                                <a:avLst/>
                                <a:gdLst>
                                  <a:gd name="connisteX0" fmla="*/ 3190875 w 3190875"/>
                                  <a:gd name="connsiteY0" fmla="*/ 428625 h 428625"/>
                                  <a:gd name="connisteX1" fmla="*/ 238125 w 3190875"/>
                                  <a:gd name="connsiteY1" fmla="*/ 428625 h 428625"/>
                                  <a:gd name="connisteX2" fmla="*/ 238125 w 3190875"/>
                                  <a:gd name="connsiteY2" fmla="*/ 9525 h 428625"/>
                                  <a:gd name="connisteX3" fmla="*/ 0 w 3190875"/>
                                  <a:gd name="connsiteY3" fmla="*/ 0 h 428625"/>
                                </a:gdLst>
                                <a:ahLst/>
                                <a:cxnLst>
                                  <a:cxn ang="0">
                                    <a:pos x="connisteX0" y="connsiteY0"/>
                                  </a:cxn>
                                  <a:cxn ang="0">
                                    <a:pos x="connisteX1" y="connsiteY1"/>
                                  </a:cxn>
                                  <a:cxn ang="0">
                                    <a:pos x="connisteX2" y="connsiteY2"/>
                                  </a:cxn>
                                  <a:cxn ang="0">
                                    <a:pos x="connisteX3" y="connsiteY3"/>
                                  </a:cxn>
                                </a:cxnLst>
                                <a:rect l="l" t="t" r="r" b="b"/>
                                <a:pathLst>
                                  <a:path w="3190875" h="428625">
                                    <a:moveTo>
                                      <a:pt x="3190875" y="428625"/>
                                    </a:moveTo>
                                    <a:lnTo>
                                      <a:pt x="238125" y="428625"/>
                                    </a:lnTo>
                                    <a:lnTo>
                                      <a:pt x="238125" y="9525"/>
                                    </a:lnTo>
                                    <a:lnTo>
                                      <a:pt x="0" y="0"/>
                                    </a:lnTo>
                                  </a:path>
                                </a:pathLst>
                              </a:custGeom>
                              <a:ln>
                                <a:solidFill>
                                  <a:schemeClr val="accent5"/>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25.05pt;margin-top:60.05pt;height:33.75pt;width:251.25pt;z-index:251697152;mso-width-relative:page;mso-height-relative:page;" filled="f" stroked="t" coordsize="3190875,428625" o:gfxdata="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" path="m3190875,428625l238125,428625,238125,9525,0,0e">
                      <v:path o:connectlocs="3190875,428625;238125,428625;238125,9525;0,0" o:connectangles="0,0,0,0"/>
                      <v:fill on="f" focussize="0,0"/>
                      <v:stroke weight="2pt" color="#A02B93 [3208]"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96128" behindDoc="0" locked="0" layoutInCell="1" allowOverlap="1">
                      <wp:simplePos x="0" y="0"/>
                      <wp:positionH relativeFrom="column">
                        <wp:posOffset>4128135</wp:posOffset>
                      </wp:positionH>
                      <wp:positionV relativeFrom="paragraph">
                        <wp:posOffset>2050415</wp:posOffset>
                      </wp:positionV>
                      <wp:extent cx="0" cy="333375"/>
                      <wp:effectExtent l="38100" t="0" r="38100" b="9525"/>
                      <wp:wrapNone/>
                      <wp:docPr id="84" name="直接箭头连接符 84"/>
                      <wp:cNvGraphicFramePr/>
                      <a:graphic xmlns:a="http://schemas.openxmlformats.org/drawingml/2006/main">
                        <a:graphicData uri="http://schemas.microsoft.com/office/word/2010/wordprocessingShape">
                          <wps:wsp>
                            <wps:cNvCnPr/>
                            <wps:spPr>
                              <a:xfrm flipV="1">
                                <a:off x="5208270" y="4142740"/>
                                <a:ext cx="0" cy="333375"/>
                              </a:xfrm>
                              <a:prstGeom prst="straightConnector1">
                                <a:avLst/>
                              </a:prstGeom>
                              <a:ln>
                                <a:solidFill>
                                  <a:srgbClr val="00B05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25.05pt;margin-top:161.45pt;height:26.25pt;width:0pt;z-index:251696128;mso-width-relative:page;mso-height-relative:page;" filled="f" stroked="t" coordsize="21600,21600" o:gfxdata="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6WovA2wAAAAsBAAAPAAAAAAAAAAEAIAAAACIAAABkcnMvZG93bnJldi54&#10;bWxQSwECFAAUAAAACACHTuJAsyqF2zACAAAjBAAADgAAAAAAAAABACAAAAAqAQAAZHJzL2Uyb0Rv&#10;Yy54bWxQSwUGAAAAAAYABgBZAQAAzAUAAAAA&#10;">
                      <v:fill on="f" focussize="0,0"/>
                      <v:stroke weight="2pt" color="#00B05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95104" behindDoc="0" locked="0" layoutInCell="1" allowOverlap="1">
                      <wp:simplePos x="0" y="0"/>
                      <wp:positionH relativeFrom="column">
                        <wp:posOffset>3213735</wp:posOffset>
                      </wp:positionH>
                      <wp:positionV relativeFrom="paragraph">
                        <wp:posOffset>2031365</wp:posOffset>
                      </wp:positionV>
                      <wp:extent cx="0" cy="352425"/>
                      <wp:effectExtent l="38100" t="0" r="38100" b="9525"/>
                      <wp:wrapNone/>
                      <wp:docPr id="83" name="直接箭头连接符 83"/>
                      <wp:cNvGraphicFramePr/>
                      <a:graphic xmlns:a="http://schemas.openxmlformats.org/drawingml/2006/main">
                        <a:graphicData uri="http://schemas.microsoft.com/office/word/2010/wordprocessingShape">
                          <wps:wsp>
                            <wps:cNvCnPr/>
                            <wps:spPr>
                              <a:xfrm flipV="1">
                                <a:off x="4293870" y="4123690"/>
                                <a:ext cx="0" cy="352425"/>
                              </a:xfrm>
                              <a:prstGeom prst="straightConnector1">
                                <a:avLst/>
                              </a:prstGeom>
                              <a:ln>
                                <a:solidFill>
                                  <a:srgbClr val="00B05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53.05pt;margin-top:159.95pt;height:27.75pt;width:0pt;z-index:251695104;mso-width-relative:page;mso-height-relative:page;" filled="f" stroked="t" coordsize="21600,21600" o:gfxdata="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S+7i9oAAAALAQAADwAAAAAAAAABACAAAAAiAAAAZHJzL2Rvd25yZXYu&#10;eG1sUEsBAhQAFAAAAAgAh07iQPlsclIyAgAAIwQAAA4AAAAAAAAAAQAgAAAAKQEAAGRycy9lMm9E&#10;b2MueG1sUEsFBgAAAAAGAAYAWQEAAM0FAAAAAA==&#10;">
                      <v:fill on="f" focussize="0,0"/>
                      <v:stroke weight="2pt" color="#00B05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94080" behindDoc="0" locked="0" layoutInCell="1" allowOverlap="1">
                      <wp:simplePos x="0" y="0"/>
                      <wp:positionH relativeFrom="column">
                        <wp:posOffset>1756410</wp:posOffset>
                      </wp:positionH>
                      <wp:positionV relativeFrom="paragraph">
                        <wp:posOffset>1983740</wp:posOffset>
                      </wp:positionV>
                      <wp:extent cx="9525" cy="409575"/>
                      <wp:effectExtent l="30480" t="0" r="36195" b="9525"/>
                      <wp:wrapNone/>
                      <wp:docPr id="82" name="直接箭头连接符 82"/>
                      <wp:cNvGraphicFramePr/>
                      <a:graphic xmlns:a="http://schemas.openxmlformats.org/drawingml/2006/main">
                        <a:graphicData uri="http://schemas.microsoft.com/office/word/2010/wordprocessingShape">
                          <wps:wsp>
                            <wps:cNvCnPr/>
                            <wps:spPr>
                              <a:xfrm flipV="1">
                                <a:off x="2836545" y="4485640"/>
                                <a:ext cx="9525" cy="409575"/>
                              </a:xfrm>
                              <a:prstGeom prst="straightConnector1">
                                <a:avLst/>
                              </a:prstGeom>
                              <a:ln>
                                <a:solidFill>
                                  <a:srgbClr val="00B05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38.3pt;margin-top:156.2pt;height:32.25pt;width:0.75pt;z-index:251694080;mso-width-relative:page;mso-height-relative:page;" filled="f" stroked="t" coordsize="21600,21600" o:gfxdata="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MQe933QAAAAsBAAAPAAAAAAAAAAEAIAAAACIAAABkcnMvZG93&#10;bnJldi54bWxQSwECFAAUAAAACACHTuJAUED8XjQCAAAmBAAADgAAAAAAAAABACAAAAAsAQAAZHJz&#10;L2Uyb0RvYy54bWxQSwUGAAAAAAYABgBZAQAA0gUAAAAA&#10;">
                      <v:fill on="f" focussize="0,0"/>
                      <v:stroke weight="2pt" color="#00B05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93056" behindDoc="0" locked="0" layoutInCell="1" allowOverlap="1">
                      <wp:simplePos x="0" y="0"/>
                      <wp:positionH relativeFrom="column">
                        <wp:posOffset>1375410</wp:posOffset>
                      </wp:positionH>
                      <wp:positionV relativeFrom="paragraph">
                        <wp:posOffset>1078865</wp:posOffset>
                      </wp:positionV>
                      <wp:extent cx="3629025" cy="1323975"/>
                      <wp:effectExtent l="30480" t="0" r="55245" b="28575"/>
                      <wp:wrapNone/>
                      <wp:docPr id="81" name="任意多边形 81"/>
                      <wp:cNvGraphicFramePr/>
                      <a:graphic xmlns:a="http://schemas.openxmlformats.org/drawingml/2006/main">
                        <a:graphicData uri="http://schemas.microsoft.com/office/word/2010/wordprocessingShape">
                          <wps:wsp>
                            <wps:cNvSpPr/>
                            <wps:spPr>
                              <a:xfrm>
                                <a:off x="2455545" y="3171190"/>
                                <a:ext cx="3629025" cy="1323975"/>
                              </a:xfrm>
                              <a:custGeom>
                                <a:avLst/>
                                <a:gdLst>
                                  <a:gd name="connisteX0" fmla="*/ 3629025 w 3629025"/>
                                  <a:gd name="connsiteY0" fmla="*/ 0 h 1323975"/>
                                  <a:gd name="connisteX1" fmla="*/ 3629025 w 3629025"/>
                                  <a:gd name="connsiteY1" fmla="*/ 1323975 h 1323975"/>
                                  <a:gd name="connisteX2" fmla="*/ 0 w 3629025"/>
                                  <a:gd name="connsiteY2" fmla="*/ 1323975 h 1323975"/>
                                  <a:gd name="connisteX3" fmla="*/ 9525 w 3629025"/>
                                  <a:gd name="connsiteY3" fmla="*/ 933450 h 1323975"/>
                                </a:gdLst>
                                <a:ahLst/>
                                <a:cxnLst>
                                  <a:cxn ang="0">
                                    <a:pos x="connisteX0" y="connsiteY0"/>
                                  </a:cxn>
                                  <a:cxn ang="0">
                                    <a:pos x="connisteX1" y="connsiteY1"/>
                                  </a:cxn>
                                  <a:cxn ang="0">
                                    <a:pos x="connisteX2" y="connsiteY2"/>
                                  </a:cxn>
                                  <a:cxn ang="0">
                                    <a:pos x="connisteX3" y="connsiteY3"/>
                                  </a:cxn>
                                </a:cxnLst>
                                <a:rect l="l" t="t" r="r" b="b"/>
                                <a:pathLst>
                                  <a:path w="3629025" h="1323975">
                                    <a:moveTo>
                                      <a:pt x="3629025" y="0"/>
                                    </a:moveTo>
                                    <a:lnTo>
                                      <a:pt x="3629025" y="1323975"/>
                                    </a:lnTo>
                                    <a:lnTo>
                                      <a:pt x="0" y="1323975"/>
                                    </a:lnTo>
                                    <a:lnTo>
                                      <a:pt x="9525" y="933450"/>
                                    </a:lnTo>
                                  </a:path>
                                </a:pathLst>
                              </a:custGeom>
                              <a:ln>
                                <a:solidFill>
                                  <a:srgbClr val="00B050"/>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08.3pt;margin-top:84.95pt;height:104.25pt;width:285.75pt;z-index:251693056;mso-width-relative:page;mso-height-relative:page;" filled="f" stroked="t" coordsize="3629025,1323975" o:gfxdata="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B71GuL2gAAAAsBAAAPAAAAAAAAAAEAIAAAACIAAABkcnMvZG93bnJldi54&#10;bWxQSwECFAAUAAAACACHTuJAE5sI9xUDAADpBwAADgAAAAAAAAABACAAAAApAQAAZHJzL2Uyb0Rv&#10;Yy54bWxQSwUGAAAAAAYABgBZAQAAsAYAAAAA&#10;" path="m3629025,0l3629025,1323975,0,1323975,9525,933450e">
                      <v:path o:connectlocs="3629025,0;3629025,1323975;0,1323975;9525,933450" o:connectangles="0,0,0,0"/>
                      <v:fill on="f" focussize="0,0"/>
                      <v:stroke weight="2pt" color="#00B050 [3204]" miterlimit="8" joinstyle="miter" startarrow="block" endarrow="block"/>
                      <v:imagedata o:title=""/>
                      <o:lock v:ext="edit" aspectratio="f"/>
                    </v:shape>
                  </w:pict>
                </mc:Fallback>
              </mc:AlternateContent>
            </w:r>
            <w:r>
              <w:rPr>
                <w:rFonts w:hint="eastAsia" w:eastAsia="宋体"/>
                <w:lang w:eastAsia="zh-CN"/>
              </w:rPr>
              <w:drawing>
                <wp:inline distT="0" distB="0" distL="114300" distR="114300">
                  <wp:extent cx="2947035" cy="5398135"/>
                  <wp:effectExtent l="0" t="0" r="12065" b="5715"/>
                  <wp:docPr id="74" name="图片 74" descr="四层DSA手术室-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四层DSA手术室-1"/>
                          <pic:cNvPicPr>
                            <a:picLocks noChangeAspect="1"/>
                          </pic:cNvPicPr>
                        </pic:nvPicPr>
                        <pic:blipFill>
                          <a:blip r:embed="rId24"/>
                          <a:srcRect l="11196" r="11595"/>
                          <a:stretch>
                            <a:fillRect/>
                          </a:stretch>
                        </pic:blipFill>
                        <pic:spPr>
                          <a:xfrm rot="16200000">
                            <a:off x="0" y="0"/>
                            <a:ext cx="2947035" cy="5398135"/>
                          </a:xfrm>
                          <a:prstGeom prst="rect">
                            <a:avLst/>
                          </a:prstGeom>
                        </pic:spPr>
                      </pic:pic>
                    </a:graphicData>
                  </a:graphic>
                </wp:inline>
              </w:drawing>
            </w:r>
          </w:p>
          <w:tbl>
            <w:tblPr>
              <w:tblStyle w:val="57"/>
              <w:tblW w:w="0" w:type="auto"/>
              <w:jc w:val="center"/>
              <w:tblLayout w:type="autofit"/>
              <w:tblCellMar>
                <w:top w:w="0" w:type="dxa"/>
                <w:left w:w="108" w:type="dxa"/>
                <w:bottom w:w="0" w:type="dxa"/>
                <w:right w:w="108" w:type="dxa"/>
              </w:tblCellMar>
            </w:tblPr>
            <w:tblGrid>
              <w:gridCol w:w="805"/>
              <w:gridCol w:w="1142"/>
              <w:gridCol w:w="883"/>
              <w:gridCol w:w="1215"/>
              <w:gridCol w:w="870"/>
              <w:gridCol w:w="1170"/>
            </w:tblGrid>
            <w:tr w14:paraId="7EA21773">
              <w:tblPrEx>
                <w:tblCellMar>
                  <w:top w:w="0" w:type="dxa"/>
                  <w:left w:w="108" w:type="dxa"/>
                  <w:bottom w:w="0" w:type="dxa"/>
                  <w:right w:w="108" w:type="dxa"/>
                </w:tblCellMar>
              </w:tblPrEx>
              <w:trPr>
                <w:trHeight w:val="317" w:hRule="atLeast"/>
                <w:jc w:val="center"/>
              </w:trPr>
              <w:tc>
                <w:tcPr>
                  <w:tcW w:w="805" w:type="dxa"/>
                  <w:noWrap w:val="0"/>
                  <w:vAlign w:val="top"/>
                </w:tcPr>
                <w:p w14:paraId="099499CE">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86912" behindDoc="0" locked="0" layoutInCell="1" allowOverlap="1">
                            <wp:simplePos x="0" y="0"/>
                            <wp:positionH relativeFrom="column">
                              <wp:posOffset>-41910</wp:posOffset>
                            </wp:positionH>
                            <wp:positionV relativeFrom="paragraph">
                              <wp:posOffset>105410</wp:posOffset>
                            </wp:positionV>
                            <wp:extent cx="420370" cy="4445"/>
                            <wp:effectExtent l="0" t="37465" r="17780" b="34290"/>
                            <wp:wrapNone/>
                            <wp:docPr id="75" name="直线 134"/>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00B05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4" o:spid="_x0000_s1026" o:spt="20" style="position:absolute;left:0pt;flip:y;margin-left:-3.3pt;margin-top:8.3pt;height:0.35pt;width:33.1pt;z-index:251686912;mso-width-relative:page;mso-height-relative:page;" filled="f" stroked="t" coordsize="21600,21600" o:gfxdata="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EBJ+PUAAAABwEAAA8AAAAAAAAA&#10;AQAgAAAAIgAAAGRycy9kb3ducmV2LnhtbFBLAQIUABQAAAAIAIdO4kCBDpyqFQIAABwEAAAOAAAA&#10;AAAAAAEAIAAAACMBAABkcnMvZTJvRG9jLnhtbFBLBQYAAAAABgAGAFkBAACqBQAAAAA=&#10;">
                            <v:fill on="f" focussize="0,0"/>
                            <v:stroke weight="1.5pt" color="#00B050 [3204]" miterlimit="8" joinstyle="miter" endarrow="block"/>
                            <v:imagedata o:title=""/>
                            <o:lock v:ext="edit" aspectratio="f"/>
                          </v:line>
                        </w:pict>
                      </mc:Fallback>
                    </mc:AlternateContent>
                  </w:r>
                </w:p>
              </w:tc>
              <w:tc>
                <w:tcPr>
                  <w:tcW w:w="1142" w:type="dxa"/>
                  <w:noWrap w:val="0"/>
                  <w:vAlign w:val="top"/>
                </w:tcPr>
                <w:p w14:paraId="168A6446">
                  <w:pPr>
                    <w:pStyle w:val="79"/>
                    <w:spacing w:line="360" w:lineRule="auto"/>
                    <w:ind w:left="0"/>
                    <w:rPr>
                      <w:rFonts w:ascii="Times New Roman"/>
                      <w:sz w:val="21"/>
                      <w:szCs w:val="21"/>
                    </w:rPr>
                  </w:pPr>
                  <w:r>
                    <w:rPr>
                      <w:rFonts w:hint="eastAsia" w:ascii="Times New Roman"/>
                      <w:sz w:val="21"/>
                      <w:szCs w:val="21"/>
                      <w:lang w:val="en-US" w:eastAsia="zh-CN"/>
                    </w:rPr>
                    <w:t>医护</w:t>
                  </w:r>
                  <w:r>
                    <w:rPr>
                      <w:rFonts w:ascii="Times New Roman"/>
                      <w:sz w:val="21"/>
                      <w:szCs w:val="21"/>
                    </w:rPr>
                    <w:t>通道</w:t>
                  </w:r>
                </w:p>
              </w:tc>
              <w:tc>
                <w:tcPr>
                  <w:tcW w:w="883" w:type="dxa"/>
                  <w:noWrap w:val="0"/>
                  <w:vAlign w:val="top"/>
                </w:tcPr>
                <w:p w14:paraId="37F5B8BD">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87936" behindDoc="0" locked="0" layoutInCell="1" allowOverlap="1">
                            <wp:simplePos x="0" y="0"/>
                            <wp:positionH relativeFrom="column">
                              <wp:posOffset>-17145</wp:posOffset>
                            </wp:positionH>
                            <wp:positionV relativeFrom="paragraph">
                              <wp:posOffset>99695</wp:posOffset>
                            </wp:positionV>
                            <wp:extent cx="420370" cy="4445"/>
                            <wp:effectExtent l="0" t="37465" r="17780" b="34290"/>
                            <wp:wrapNone/>
                            <wp:docPr id="76" name="直线 135"/>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FF000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5" o:spid="_x0000_s1026" o:spt="20" style="position:absolute;left:0pt;flip:y;margin-left:-1.35pt;margin-top:7.85pt;height:0.35pt;width:33.1pt;z-index:251687936;mso-width-relative:page;mso-height-relative:page;" filled="f" stroked="t" coordsize="21600,21600" o:gfxdata="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tdHkv1wAAAAcBAAAPAAAA&#10;AAAAAAEAIAAAACIAAABkcnMvZG93bnJldi54bWxQSwECFAAUAAAACACHTuJAJOgjiRYCAAAcBAAA&#10;DgAAAAAAAAABACAAAAAmAQAAZHJzL2Uyb0RvYy54bWxQSwUGAAAAAAYABgBZAQAArgUAAAAA&#10;">
                            <v:fill on="f" focussize="0,0"/>
                            <v:stroke weight="1.5pt" color="#FF0000 [3204]" miterlimit="8" joinstyle="miter" endarrow="block"/>
                            <v:imagedata o:title=""/>
                            <o:lock v:ext="edit" aspectratio="f"/>
                          </v:line>
                        </w:pict>
                      </mc:Fallback>
                    </mc:AlternateContent>
                  </w:r>
                </w:p>
              </w:tc>
              <w:tc>
                <w:tcPr>
                  <w:tcW w:w="1215" w:type="dxa"/>
                  <w:noWrap w:val="0"/>
                  <w:vAlign w:val="top"/>
                </w:tcPr>
                <w:p w14:paraId="3BD12B99">
                  <w:pPr>
                    <w:pStyle w:val="79"/>
                    <w:spacing w:line="360" w:lineRule="auto"/>
                    <w:ind w:left="0"/>
                    <w:rPr>
                      <w:rFonts w:ascii="Times New Roman"/>
                      <w:sz w:val="21"/>
                      <w:szCs w:val="21"/>
                    </w:rPr>
                  </w:pPr>
                  <w:r>
                    <w:rPr>
                      <w:rFonts w:hint="eastAsia" w:ascii="Times New Roman"/>
                      <w:sz w:val="21"/>
                      <w:szCs w:val="21"/>
                      <w:lang w:val="en-US" w:eastAsia="zh-CN"/>
                    </w:rPr>
                    <w:t>患者</w:t>
                  </w:r>
                  <w:r>
                    <w:rPr>
                      <w:rFonts w:ascii="Times New Roman"/>
                      <w:sz w:val="21"/>
                      <w:szCs w:val="21"/>
                    </w:rPr>
                    <w:t>通道</w:t>
                  </w:r>
                </w:p>
              </w:tc>
              <w:tc>
                <w:tcPr>
                  <w:tcW w:w="870" w:type="dxa"/>
                  <w:noWrap w:val="0"/>
                  <w:vAlign w:val="top"/>
                </w:tcPr>
                <w:p w14:paraId="767D6D05">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88960" behindDoc="0" locked="0" layoutInCell="1" allowOverlap="1">
                            <wp:simplePos x="0" y="0"/>
                            <wp:positionH relativeFrom="column">
                              <wp:posOffset>-27940</wp:posOffset>
                            </wp:positionH>
                            <wp:positionV relativeFrom="paragraph">
                              <wp:posOffset>106045</wp:posOffset>
                            </wp:positionV>
                            <wp:extent cx="387985" cy="1905"/>
                            <wp:effectExtent l="0" t="37465" r="12065" b="36830"/>
                            <wp:wrapNone/>
                            <wp:docPr id="77" name="直线 136"/>
                            <wp:cNvGraphicFramePr/>
                            <a:graphic xmlns:a="http://schemas.openxmlformats.org/drawingml/2006/main">
                              <a:graphicData uri="http://schemas.microsoft.com/office/word/2010/wordprocessingShape">
                                <wps:wsp>
                                  <wps:cNvCnPr/>
                                  <wps:spPr>
                                    <a:xfrm flipV="1">
                                      <a:off x="0" y="0"/>
                                      <a:ext cx="387985" cy="1905"/>
                                    </a:xfrm>
                                    <a:prstGeom prst="line">
                                      <a:avLst/>
                                    </a:prstGeom>
                                    <a:ln>
                                      <a:solidFill>
                                        <a:schemeClr val="accent5"/>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6" o:spid="_x0000_s1026" o:spt="20" style="position:absolute;left:0pt;flip:y;margin-left:-2.2pt;margin-top:8.35pt;height:0.15pt;width:30.55pt;z-index:251688960;mso-width-relative:page;mso-height-relative:page;" filled="f" stroked="t" coordsize="21600,21600" o:gfxdata="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FYm+fVAAAABwEAAA8AAAAA&#10;AAAAAQAgAAAAIgAAAGRycy9kb3ducmV2LnhtbFBLAQIUABQAAAAIAIdO4kAvrVDFFwIAABwEAAAO&#10;AAAAAAAAAAEAIAAAACQBAABkcnMvZTJvRG9jLnhtbFBLBQYAAAAABgAGAFkBAACtBQAAAAA=&#10;">
                            <v:fill on="f" focussize="0,0"/>
                            <v:stroke weight="1.5pt" color="#A02B93 [3208]" miterlimit="8" joinstyle="miter" endarrow="block"/>
                            <v:imagedata o:title=""/>
                            <o:lock v:ext="edit" aspectratio="f"/>
                          </v:line>
                        </w:pict>
                      </mc:Fallback>
                    </mc:AlternateContent>
                  </w:r>
                </w:p>
              </w:tc>
              <w:tc>
                <w:tcPr>
                  <w:tcW w:w="1170" w:type="dxa"/>
                  <w:noWrap w:val="0"/>
                  <w:vAlign w:val="top"/>
                </w:tcPr>
                <w:p w14:paraId="393493CC">
                  <w:pPr>
                    <w:pStyle w:val="79"/>
                    <w:spacing w:line="360" w:lineRule="auto"/>
                    <w:ind w:left="0"/>
                    <w:rPr>
                      <w:rFonts w:ascii="Times New Roman"/>
                      <w:sz w:val="21"/>
                      <w:szCs w:val="21"/>
                    </w:rPr>
                  </w:pPr>
                  <w:r>
                    <w:rPr>
                      <w:rFonts w:hint="eastAsia" w:ascii="Times New Roman"/>
                      <w:sz w:val="21"/>
                      <w:szCs w:val="21"/>
                      <w:lang w:val="en-US" w:eastAsia="zh-CN"/>
                    </w:rPr>
                    <w:t>污物</w:t>
                  </w:r>
                  <w:r>
                    <w:rPr>
                      <w:rFonts w:ascii="Times New Roman"/>
                      <w:sz w:val="21"/>
                      <w:szCs w:val="21"/>
                    </w:rPr>
                    <w:t>通道</w:t>
                  </w:r>
                </w:p>
              </w:tc>
            </w:tr>
          </w:tbl>
          <w:p w14:paraId="468B3331">
            <w:pPr>
              <w:pStyle w:val="55"/>
              <w:ind w:firstLine="210"/>
              <w:jc w:val="center"/>
              <w:rPr>
                <w:rFonts w:eastAsia="黑体"/>
                <w:bCs/>
                <w:sz w:val="21"/>
                <w:szCs w:val="21"/>
                <w:lang w:val="zh-CN"/>
              </w:rPr>
            </w:pPr>
            <w:r>
              <w:rPr>
                <w:rFonts w:eastAsia="黑体"/>
                <w:bCs/>
                <w:sz w:val="21"/>
                <w:szCs w:val="21"/>
                <w:lang w:val="zh-CN"/>
              </w:rPr>
              <w:t>图9-</w:t>
            </w:r>
            <w:r>
              <w:rPr>
                <w:rFonts w:hint="eastAsia" w:eastAsia="黑体"/>
                <w:bCs/>
                <w:sz w:val="21"/>
                <w:szCs w:val="21"/>
                <w:lang w:val="en-US" w:eastAsia="zh-CN"/>
              </w:rPr>
              <w:t>9</w:t>
            </w:r>
            <w:r>
              <w:rPr>
                <w:rFonts w:eastAsia="黑体"/>
                <w:bCs/>
                <w:sz w:val="21"/>
                <w:szCs w:val="21"/>
                <w:lang w:val="zh-CN"/>
              </w:rPr>
              <w:t xml:space="preserve">  本项目DSA手术室区域</w:t>
            </w:r>
            <w:r>
              <w:rPr>
                <w:rFonts w:hint="eastAsia" w:eastAsia="黑体"/>
                <w:bCs/>
                <w:sz w:val="21"/>
                <w:szCs w:val="21"/>
                <w:lang w:val="zh-CN"/>
              </w:rPr>
              <w:t>患者、医护、污物流通路径图</w:t>
            </w:r>
          </w:p>
          <w:p w14:paraId="66EAD1F3">
            <w:pPr>
              <w:ind w:firstLine="480" w:firstLineChars="200"/>
              <w:rPr>
                <w:rFonts w:hint="eastAsia" w:eastAsia="宋体"/>
                <w:lang w:eastAsia="zh-CN"/>
              </w:rPr>
            </w:pPr>
            <w:r>
              <w:rPr>
                <w:rFonts w:hint="eastAsia"/>
                <w:lang w:eastAsia="zh-CN"/>
              </w:rPr>
              <w:t>（</w:t>
            </w:r>
            <w:r>
              <w:rPr>
                <w:rFonts w:hint="eastAsia"/>
                <w:lang w:val="en-US" w:eastAsia="zh-CN"/>
              </w:rPr>
              <w:t>3</w:t>
            </w:r>
            <w:r>
              <w:rPr>
                <w:rFonts w:hint="eastAsia"/>
                <w:lang w:eastAsia="zh-CN"/>
              </w:rPr>
              <w:t>）</w:t>
            </w:r>
            <w:r>
              <w:rPr>
                <w:rFonts w:hint="eastAsia"/>
                <w:color w:val="000000"/>
                <w:lang w:val="en-US" w:eastAsia="zh-CN"/>
              </w:rPr>
              <w:t>ERCP</w:t>
            </w:r>
          </w:p>
          <w:p w14:paraId="3801D624">
            <w:pPr>
              <w:pStyle w:val="20"/>
              <w:ind w:firstLine="480" w:firstLineChars="200"/>
              <w:rPr>
                <w:bCs/>
                <w:highlight w:val="none"/>
              </w:rPr>
            </w:pPr>
            <w:r>
              <w:rPr>
                <w:highlight w:val="none"/>
              </w:rPr>
              <w:t>医护人员</w:t>
            </w:r>
            <w:r>
              <w:rPr>
                <w:rFonts w:hint="eastAsia"/>
                <w:highlight w:val="none"/>
              </w:rPr>
              <w:t>由北侧通道进入控制室，</w:t>
            </w:r>
            <w:r>
              <w:rPr>
                <w:rFonts w:hint="eastAsia"/>
                <w:highlight w:val="none"/>
                <w:lang w:val="en-US" w:eastAsia="zh-CN"/>
              </w:rPr>
              <w:t>再</w:t>
            </w:r>
            <w:r>
              <w:rPr>
                <w:rFonts w:hint="eastAsia"/>
                <w:bCs/>
                <w:highlight w:val="none"/>
              </w:rPr>
              <w:t>进入/离开</w:t>
            </w:r>
            <w:r>
              <w:rPr>
                <w:rFonts w:hint="eastAsia"/>
                <w:bCs/>
                <w:highlight w:val="none"/>
                <w:lang w:val="en-US" w:eastAsia="zh-CN"/>
              </w:rPr>
              <w:t>ERCP</w:t>
            </w:r>
            <w:r>
              <w:rPr>
                <w:rFonts w:hint="eastAsia"/>
                <w:bCs/>
                <w:highlight w:val="none"/>
              </w:rPr>
              <w:t>室；病人由</w:t>
            </w:r>
            <w:r>
              <w:rPr>
                <w:rFonts w:hint="eastAsia"/>
                <w:bCs/>
                <w:highlight w:val="none"/>
                <w:lang w:val="en-US" w:eastAsia="zh-CN"/>
              </w:rPr>
              <w:t>南</w:t>
            </w:r>
            <w:r>
              <w:rPr>
                <w:rFonts w:hint="eastAsia"/>
                <w:bCs/>
                <w:highlight w:val="none"/>
              </w:rPr>
              <w:t>侧</w:t>
            </w:r>
            <w:r>
              <w:rPr>
                <w:bCs/>
                <w:highlight w:val="none"/>
              </w:rPr>
              <w:t>患者通道</w:t>
            </w:r>
            <w:r>
              <w:rPr>
                <w:rFonts w:hint="eastAsia"/>
                <w:bCs/>
                <w:highlight w:val="none"/>
              </w:rPr>
              <w:t>进入/离开</w:t>
            </w:r>
            <w:r>
              <w:rPr>
                <w:rFonts w:hint="eastAsia"/>
                <w:highlight w:val="none"/>
                <w:lang w:val="en-US" w:eastAsia="zh-CN"/>
              </w:rPr>
              <w:t>ERCP</w:t>
            </w:r>
            <w:r>
              <w:rPr>
                <w:rFonts w:hint="eastAsia"/>
                <w:bCs/>
                <w:highlight w:val="none"/>
              </w:rPr>
              <w:t>室；</w:t>
            </w:r>
            <w:r>
              <w:rPr>
                <w:highlight w:val="none"/>
              </w:rPr>
              <w:t>污物</w:t>
            </w:r>
            <w:r>
              <w:rPr>
                <w:rFonts w:hint="eastAsia"/>
                <w:highlight w:val="none"/>
                <w:lang w:val="en-US" w:eastAsia="zh-CN"/>
              </w:rPr>
              <w:t>利用手术间隙或每日手术全部结束后借道患者通道</w:t>
            </w:r>
            <w:r>
              <w:rPr>
                <w:highlight w:val="none"/>
              </w:rPr>
              <w:t>运至</w:t>
            </w:r>
            <w:r>
              <w:rPr>
                <w:rFonts w:hint="eastAsia"/>
                <w:highlight w:val="none"/>
                <w:lang w:val="en-US" w:eastAsia="zh-CN"/>
              </w:rPr>
              <w:t>污物</w:t>
            </w:r>
            <w:r>
              <w:rPr>
                <w:highlight w:val="none"/>
              </w:rPr>
              <w:t>暂存间暂存</w:t>
            </w:r>
            <w:r>
              <w:rPr>
                <w:rFonts w:hint="eastAsia"/>
                <w:highlight w:val="none"/>
              </w:rPr>
              <w:t>，</w:t>
            </w:r>
            <w:r>
              <w:rPr>
                <w:rFonts w:hint="eastAsia"/>
                <w:bCs/>
                <w:highlight w:val="none"/>
              </w:rPr>
              <w:t>最终交有医疗废物处理资质的单位集中处置。。</w:t>
            </w:r>
          </w:p>
          <w:p w14:paraId="7FE15619">
            <w:pPr>
              <w:ind w:firstLine="480" w:firstLineChars="200"/>
              <w:rPr>
                <w:rFonts w:hint="eastAsia"/>
                <w:highlight w:val="none"/>
              </w:rPr>
            </w:pPr>
            <w:r>
              <w:rPr>
                <w:bCs/>
                <w:highlight w:val="none"/>
              </w:rPr>
              <w:t>本项目</w:t>
            </w:r>
            <w:r>
              <w:rPr>
                <w:rFonts w:hint="eastAsia"/>
                <w:color w:val="000000"/>
                <w:highlight w:val="none"/>
                <w:lang w:val="en-US" w:eastAsia="zh-CN"/>
              </w:rPr>
              <w:t>ERCP</w:t>
            </w:r>
            <w:r>
              <w:rPr>
                <w:color w:val="000000"/>
                <w:highlight w:val="none"/>
              </w:rPr>
              <w:t>术室</w:t>
            </w:r>
            <w:r>
              <w:rPr>
                <w:bCs/>
                <w:highlight w:val="none"/>
              </w:rPr>
              <w:t>为患者</w:t>
            </w:r>
            <w:r>
              <w:rPr>
                <w:rFonts w:hint="eastAsia"/>
                <w:bCs/>
                <w:highlight w:val="none"/>
              </w:rPr>
              <w:t>、</w:t>
            </w:r>
            <w:r>
              <w:rPr>
                <w:bCs/>
                <w:highlight w:val="none"/>
              </w:rPr>
              <w:t>医护人员</w:t>
            </w:r>
            <w:r>
              <w:rPr>
                <w:rFonts w:hint="eastAsia"/>
                <w:bCs/>
                <w:highlight w:val="none"/>
              </w:rPr>
              <w:t>、污物</w:t>
            </w:r>
            <w:r>
              <w:rPr>
                <w:bCs/>
                <w:highlight w:val="none"/>
              </w:rPr>
              <w:t>分别设置独立通道，患者通道的宽度满足病人手推车辆的通行，通道畅通无阻，方便治疗</w:t>
            </w:r>
            <w:r>
              <w:rPr>
                <w:rFonts w:hint="eastAsia"/>
                <w:highlight w:val="none"/>
              </w:rPr>
              <w:t>，</w:t>
            </w:r>
            <w:r>
              <w:rPr>
                <w:highlight w:val="none"/>
              </w:rPr>
              <w:t>本项目</w:t>
            </w:r>
            <w:r>
              <w:rPr>
                <w:rFonts w:hint="eastAsia"/>
                <w:color w:val="000000"/>
                <w:highlight w:val="none"/>
                <w:lang w:val="en-US" w:eastAsia="zh-CN"/>
              </w:rPr>
              <w:t>ERCP</w:t>
            </w:r>
            <w:r>
              <w:rPr>
                <w:color w:val="000000"/>
                <w:highlight w:val="none"/>
              </w:rPr>
              <w:t>室</w:t>
            </w:r>
            <w:r>
              <w:rPr>
                <w:bCs/>
                <w:highlight w:val="none"/>
              </w:rPr>
              <w:t>患者</w:t>
            </w:r>
            <w:r>
              <w:rPr>
                <w:rFonts w:hint="eastAsia"/>
                <w:bCs/>
                <w:highlight w:val="none"/>
              </w:rPr>
              <w:t>、</w:t>
            </w:r>
            <w:r>
              <w:rPr>
                <w:bCs/>
                <w:highlight w:val="none"/>
              </w:rPr>
              <w:t>医护</w:t>
            </w:r>
            <w:r>
              <w:rPr>
                <w:rFonts w:hint="eastAsia"/>
                <w:bCs/>
                <w:highlight w:val="none"/>
              </w:rPr>
              <w:t>、污物流通</w:t>
            </w:r>
            <w:r>
              <w:rPr>
                <w:highlight w:val="none"/>
              </w:rPr>
              <w:t>路径合理</w:t>
            </w:r>
            <w:r>
              <w:rPr>
                <w:rFonts w:hint="eastAsia"/>
                <w:highlight w:val="none"/>
              </w:rPr>
              <w:t>。</w:t>
            </w:r>
          </w:p>
          <w:p w14:paraId="76CB972A">
            <w:pPr>
              <w:rPr>
                <w:rFonts w:hint="eastAsia" w:eastAsia="宋体"/>
                <w:lang w:eastAsia="zh-CN"/>
              </w:rPr>
            </w:pPr>
            <w:r>
              <w:rPr>
                <w:sz w:val="24"/>
              </w:rPr>
              <mc:AlternateContent>
                <mc:Choice Requires="wps">
                  <w:drawing>
                    <wp:anchor distT="0" distB="0" distL="114300" distR="114300" simplePos="0" relativeHeight="251703296" behindDoc="0" locked="0" layoutInCell="1" allowOverlap="1">
                      <wp:simplePos x="0" y="0"/>
                      <wp:positionH relativeFrom="column">
                        <wp:posOffset>2186305</wp:posOffset>
                      </wp:positionH>
                      <wp:positionV relativeFrom="paragraph">
                        <wp:posOffset>1276350</wp:posOffset>
                      </wp:positionV>
                      <wp:extent cx="2543175" cy="1390650"/>
                      <wp:effectExtent l="12700" t="38100" r="15875" b="19050"/>
                      <wp:wrapNone/>
                      <wp:docPr id="90" name="任意多边形 90"/>
                      <wp:cNvGraphicFramePr/>
                      <a:graphic xmlns:a="http://schemas.openxmlformats.org/drawingml/2006/main">
                        <a:graphicData uri="http://schemas.microsoft.com/office/word/2010/wordprocessingShape">
                          <wps:wsp>
                            <wps:cNvSpPr/>
                            <wps:spPr>
                              <a:xfrm>
                                <a:off x="3266440" y="2183130"/>
                                <a:ext cx="2543175" cy="1390650"/>
                              </a:xfrm>
                              <a:custGeom>
                                <a:avLst/>
                                <a:gdLst>
                                  <a:gd name="connisteX0" fmla="*/ 9525 w 2543175"/>
                                  <a:gd name="connsiteY0" fmla="*/ 714375 h 1390650"/>
                                  <a:gd name="connisteX1" fmla="*/ 0 w 2543175"/>
                                  <a:gd name="connsiteY1" fmla="*/ 1390650 h 1390650"/>
                                  <a:gd name="connisteX2" fmla="*/ 2543175 w 2543175"/>
                                  <a:gd name="connsiteY2" fmla="*/ 1390650 h 1390650"/>
                                  <a:gd name="connisteX3" fmla="*/ 2533650 w 2543175"/>
                                  <a:gd name="connsiteY3" fmla="*/ 0 h 1390650"/>
                                  <a:gd name="connisteX4" fmla="*/ 2124075 w 2543175"/>
                                  <a:gd name="connsiteY4" fmla="*/ 0 h 13906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543175" h="1390650">
                                    <a:moveTo>
                                      <a:pt x="9525" y="714375"/>
                                    </a:moveTo>
                                    <a:lnTo>
                                      <a:pt x="0" y="1390650"/>
                                    </a:lnTo>
                                    <a:lnTo>
                                      <a:pt x="2543175" y="1390650"/>
                                    </a:lnTo>
                                    <a:lnTo>
                                      <a:pt x="2533650" y="0"/>
                                    </a:lnTo>
                                    <a:lnTo>
                                      <a:pt x="2124075" y="0"/>
                                    </a:lnTo>
                                  </a:path>
                                </a:pathLst>
                              </a:custGeom>
                              <a:ln>
                                <a:solidFill>
                                  <a:srgbClr val="7030A0"/>
                                </a:solidFill>
                                <a:headEnd type="none"/>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72.15pt;margin-top:100.5pt;height:109.5pt;width:200.25pt;z-index:251703296;mso-width-relative:page;mso-height-relative:page;" filled="f" stroked="t" coordsize="2543175,1390650" o:gfxdata="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" path="m9525,714375l0,1390650,2543175,1390650,2533650,0,2124075,0e">
                      <v:path o:connectlocs="9525,714375;0,1390650;2543175,1390650;2533650,0;2124075,0" o:connectangles="0,0,0,0,0"/>
                      <v:fill on="f" focussize="0,0"/>
                      <v:stroke weight="2pt" color="#7030A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702272" behindDoc="0" locked="0" layoutInCell="1" allowOverlap="1">
                      <wp:simplePos x="0" y="0"/>
                      <wp:positionH relativeFrom="column">
                        <wp:posOffset>167005</wp:posOffset>
                      </wp:positionH>
                      <wp:positionV relativeFrom="paragraph">
                        <wp:posOffset>1968500</wp:posOffset>
                      </wp:positionV>
                      <wp:extent cx="1924050" cy="695325"/>
                      <wp:effectExtent l="0" t="0" r="38100" b="47625"/>
                      <wp:wrapNone/>
                      <wp:docPr id="89" name="任意多边形 89"/>
                      <wp:cNvGraphicFramePr/>
                      <a:graphic xmlns:a="http://schemas.openxmlformats.org/drawingml/2006/main">
                        <a:graphicData uri="http://schemas.microsoft.com/office/word/2010/wordprocessingShape">
                          <wps:wsp>
                            <wps:cNvSpPr/>
                            <wps:spPr>
                              <a:xfrm>
                                <a:off x="1247140" y="2875280"/>
                                <a:ext cx="1924050" cy="695325"/>
                              </a:xfrm>
                              <a:custGeom>
                                <a:avLst/>
                                <a:gdLst>
                                  <a:gd name="connisteX0" fmla="*/ 0 w 1924050"/>
                                  <a:gd name="connsiteY0" fmla="*/ 695325 h 695325"/>
                                  <a:gd name="connisteX1" fmla="*/ 1924050 w 1924050"/>
                                  <a:gd name="connsiteY1" fmla="*/ 695325 h 695325"/>
                                  <a:gd name="connisteX2" fmla="*/ 1924050 w 1924050"/>
                                  <a:gd name="connsiteY2" fmla="*/ 0 h 695325"/>
                                </a:gdLst>
                                <a:ahLst/>
                                <a:cxnLst>
                                  <a:cxn ang="0">
                                    <a:pos x="connisteX0" y="connsiteY0"/>
                                  </a:cxn>
                                  <a:cxn ang="0">
                                    <a:pos x="connisteX1" y="connsiteY1"/>
                                  </a:cxn>
                                  <a:cxn ang="0">
                                    <a:pos x="connisteX2" y="connsiteY2"/>
                                  </a:cxn>
                                </a:cxnLst>
                                <a:rect l="l" t="t" r="r" b="b"/>
                                <a:pathLst>
                                  <a:path w="1924050" h="695325">
                                    <a:moveTo>
                                      <a:pt x="0" y="695325"/>
                                    </a:moveTo>
                                    <a:lnTo>
                                      <a:pt x="1924050" y="695325"/>
                                    </a:lnTo>
                                    <a:lnTo>
                                      <a:pt x="1924050" y="0"/>
                                    </a:lnTo>
                                  </a:path>
                                </a:pathLst>
                              </a:custGeom>
                              <a:ln>
                                <a:solidFill>
                                  <a:srgbClr val="FF0000"/>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3.15pt;margin-top:155pt;height:54.75pt;width:151.5pt;z-index:251702272;mso-width-relative:page;mso-height-relative:page;" filled="f" stroked="t" coordsize="1924050,695325" o:gfxdata="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AAEDwvZAAAACgEAAA8AAAAAAAAAAQAgAAAAIgAAAGRy&#10;cy9kb3ducmV2LnhtbFBLAQIUABQAAAAIAIdO4kAgLNC+6AIAABEHAAAOAAAAAAAAAAEAIAAAACgB&#10;AABkcnMvZTJvRG9jLnhtbFBLBQYAAAAABgAGAFkBAACCBgAAAAA=&#10;" path="m0,695325l1924050,695325,1924050,0e">
                      <v:path o:connectlocs="0,695325;1924050,695325;1924050,0" o:connectangles="0,0,0"/>
                      <v:fill on="f" focussize="0,0"/>
                      <v:stroke weight="2pt" color="#FF0000 [3204]" miterlimit="8" joinstyle="miter" startarrow="block" endarrow="block"/>
                      <v:imagedata o:title=""/>
                      <o:lock v:ext="edit" aspectratio="f"/>
                    </v:shape>
                  </w:pict>
                </mc:Fallback>
              </mc:AlternateContent>
            </w:r>
            <w:r>
              <w:rPr>
                <w:sz w:val="24"/>
              </w:rPr>
              <mc:AlternateContent>
                <mc:Choice Requires="wps">
                  <w:drawing>
                    <wp:anchor distT="0" distB="0" distL="114300" distR="114300" simplePos="0" relativeHeight="251701248" behindDoc="0" locked="0" layoutInCell="1" allowOverlap="1">
                      <wp:simplePos x="0" y="0"/>
                      <wp:positionH relativeFrom="column">
                        <wp:posOffset>2148205</wp:posOffset>
                      </wp:positionH>
                      <wp:positionV relativeFrom="paragraph">
                        <wp:posOffset>434975</wp:posOffset>
                      </wp:positionV>
                      <wp:extent cx="2705100" cy="447675"/>
                      <wp:effectExtent l="0" t="38100" r="0" b="47625"/>
                      <wp:wrapNone/>
                      <wp:docPr id="88" name="任意多边形 88"/>
                      <wp:cNvGraphicFramePr/>
                      <a:graphic xmlns:a="http://schemas.openxmlformats.org/drawingml/2006/main">
                        <a:graphicData uri="http://schemas.microsoft.com/office/word/2010/wordprocessingShape">
                          <wps:wsp>
                            <wps:cNvSpPr/>
                            <wps:spPr>
                              <a:xfrm>
                                <a:off x="3228340" y="1341755"/>
                                <a:ext cx="2705100" cy="447675"/>
                              </a:xfrm>
                              <a:custGeom>
                                <a:avLst/>
                                <a:gdLst>
                                  <a:gd name="connisteX0" fmla="*/ 2705100 w 2705100"/>
                                  <a:gd name="connsiteY0" fmla="*/ 0 h 447675"/>
                                  <a:gd name="connisteX1" fmla="*/ 866775 w 2705100"/>
                                  <a:gd name="connsiteY1" fmla="*/ 0 h 447675"/>
                                  <a:gd name="connisteX2" fmla="*/ 857250 w 2705100"/>
                                  <a:gd name="connsiteY2" fmla="*/ 447675 h 447675"/>
                                  <a:gd name="connisteX3" fmla="*/ 0 w 2705100"/>
                                  <a:gd name="connsiteY3" fmla="*/ 447675 h 447675"/>
                                </a:gdLst>
                                <a:ahLst/>
                                <a:cxnLst>
                                  <a:cxn ang="0">
                                    <a:pos x="connisteX0" y="connsiteY0"/>
                                  </a:cxn>
                                  <a:cxn ang="0">
                                    <a:pos x="connisteX1" y="connsiteY1"/>
                                  </a:cxn>
                                  <a:cxn ang="0">
                                    <a:pos x="connisteX2" y="connsiteY2"/>
                                  </a:cxn>
                                  <a:cxn ang="0">
                                    <a:pos x="connisteX3" y="connsiteY3"/>
                                  </a:cxn>
                                </a:cxnLst>
                                <a:rect l="l" t="t" r="r" b="b"/>
                                <a:pathLst>
                                  <a:path w="2705100" h="447675">
                                    <a:moveTo>
                                      <a:pt x="2705100" y="0"/>
                                    </a:moveTo>
                                    <a:lnTo>
                                      <a:pt x="866775" y="0"/>
                                    </a:lnTo>
                                    <a:lnTo>
                                      <a:pt x="857250" y="447675"/>
                                    </a:lnTo>
                                    <a:lnTo>
                                      <a:pt x="0" y="447675"/>
                                    </a:lnTo>
                                  </a:path>
                                </a:pathLst>
                              </a:custGeom>
                              <a:ln>
                                <a:solidFill>
                                  <a:srgbClr val="00B050"/>
                                </a:solidFill>
                                <a:headEnd type="triangle" w="med" len="med"/>
                                <a:tailEnd type="triangle" w="med" len="med"/>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100" style="position:absolute;left:0pt;margin-left:169.15pt;margin-top:34.25pt;height:35.25pt;width:213pt;z-index:251701248;mso-width-relative:page;mso-height-relative:page;" filled="f" stroked="t" coordsize="2705100,447675" o:gfxdata="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" path="m2705100,0l866775,0,857250,447675,0,447675e">
                      <v:path o:connectlocs="2705100,0;866775,0;857250,447675;0,447675" o:connectangles="0,0,0,0"/>
                      <v:fill on="f" focussize="0,0"/>
                      <v:stroke weight="2pt" color="#00B050 [3204]" miterlimit="8" joinstyle="miter" startarrow="block" endarrow="block"/>
                      <v:imagedata o:title=""/>
                      <o:lock v:ext="edit" aspectratio="f"/>
                    </v:shape>
                  </w:pict>
                </mc:Fallback>
              </mc:AlternateContent>
            </w:r>
            <w:r>
              <w:rPr>
                <w:rFonts w:hint="eastAsia" w:eastAsia="宋体"/>
                <w:lang w:eastAsia="zh-CN"/>
              </w:rPr>
              <w:drawing>
                <wp:inline distT="0" distB="0" distL="114300" distR="114300">
                  <wp:extent cx="3816985" cy="5398135"/>
                  <wp:effectExtent l="0" t="0" r="12065" b="12065"/>
                  <wp:docPr id="87" name="图片 87" descr="四层ERC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四层ERCP-1"/>
                          <pic:cNvPicPr>
                            <a:picLocks noChangeAspect="1"/>
                          </pic:cNvPicPr>
                        </pic:nvPicPr>
                        <pic:blipFill>
                          <a:blip r:embed="rId25"/>
                          <a:stretch>
                            <a:fillRect/>
                          </a:stretch>
                        </pic:blipFill>
                        <pic:spPr>
                          <a:xfrm rot="16200000">
                            <a:off x="0" y="0"/>
                            <a:ext cx="3816985" cy="5398135"/>
                          </a:xfrm>
                          <a:prstGeom prst="rect">
                            <a:avLst/>
                          </a:prstGeom>
                        </pic:spPr>
                      </pic:pic>
                    </a:graphicData>
                  </a:graphic>
                </wp:inline>
              </w:drawing>
            </w:r>
          </w:p>
          <w:tbl>
            <w:tblPr>
              <w:tblStyle w:val="57"/>
              <w:tblW w:w="0" w:type="auto"/>
              <w:jc w:val="center"/>
              <w:tblLayout w:type="autofit"/>
              <w:tblCellMar>
                <w:top w:w="0" w:type="dxa"/>
                <w:left w:w="108" w:type="dxa"/>
                <w:bottom w:w="0" w:type="dxa"/>
                <w:right w:w="108" w:type="dxa"/>
              </w:tblCellMar>
            </w:tblPr>
            <w:tblGrid>
              <w:gridCol w:w="805"/>
              <w:gridCol w:w="1142"/>
              <w:gridCol w:w="883"/>
              <w:gridCol w:w="1215"/>
              <w:gridCol w:w="870"/>
              <w:gridCol w:w="1170"/>
            </w:tblGrid>
            <w:tr w14:paraId="7625F579">
              <w:tblPrEx>
                <w:tblCellMar>
                  <w:top w:w="0" w:type="dxa"/>
                  <w:left w:w="108" w:type="dxa"/>
                  <w:bottom w:w="0" w:type="dxa"/>
                  <w:right w:w="108" w:type="dxa"/>
                </w:tblCellMar>
              </w:tblPrEx>
              <w:trPr>
                <w:trHeight w:val="317" w:hRule="atLeast"/>
                <w:jc w:val="center"/>
              </w:trPr>
              <w:tc>
                <w:tcPr>
                  <w:tcW w:w="805" w:type="dxa"/>
                  <w:noWrap w:val="0"/>
                  <w:vAlign w:val="top"/>
                </w:tcPr>
                <w:p w14:paraId="5A0F3CE0">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98176" behindDoc="0" locked="0" layoutInCell="1" allowOverlap="1">
                            <wp:simplePos x="0" y="0"/>
                            <wp:positionH relativeFrom="column">
                              <wp:posOffset>-41910</wp:posOffset>
                            </wp:positionH>
                            <wp:positionV relativeFrom="paragraph">
                              <wp:posOffset>105410</wp:posOffset>
                            </wp:positionV>
                            <wp:extent cx="420370" cy="4445"/>
                            <wp:effectExtent l="0" t="37465" r="17780" b="34290"/>
                            <wp:wrapNone/>
                            <wp:docPr id="56" name="直线 134"/>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00B05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4" o:spid="_x0000_s1026" o:spt="20" style="position:absolute;left:0pt;flip:y;margin-left:-3.3pt;margin-top:8.3pt;height:0.35pt;width:33.1pt;z-index:251698176;mso-width-relative:page;mso-height-relative:page;" filled="f" stroked="t" coordsize="21600,21600" o:gfxdata="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EBJ+PUAAAABwEAAA8AAAAAAAAA&#10;AQAgAAAAIgAAAGRycy9kb3ducmV2LnhtbFBLAQIUABQAAAAIAIdO4kBU4TpwFQIAABwEAAAOAAAA&#10;AAAAAAEAIAAAACMBAABkcnMvZTJvRG9jLnhtbFBLBQYAAAAABgAGAFkBAACqBQAAAAA=&#10;">
                            <v:fill on="f" focussize="0,0"/>
                            <v:stroke weight="1.5pt" color="#00B050 [3204]" miterlimit="8" joinstyle="miter" endarrow="block"/>
                            <v:imagedata o:title=""/>
                            <o:lock v:ext="edit" aspectratio="f"/>
                          </v:line>
                        </w:pict>
                      </mc:Fallback>
                    </mc:AlternateContent>
                  </w:r>
                </w:p>
              </w:tc>
              <w:tc>
                <w:tcPr>
                  <w:tcW w:w="1142" w:type="dxa"/>
                  <w:noWrap w:val="0"/>
                  <w:vAlign w:val="top"/>
                </w:tcPr>
                <w:p w14:paraId="08E04779">
                  <w:pPr>
                    <w:pStyle w:val="79"/>
                    <w:spacing w:line="360" w:lineRule="auto"/>
                    <w:ind w:left="0"/>
                    <w:rPr>
                      <w:rFonts w:ascii="Times New Roman"/>
                      <w:sz w:val="21"/>
                      <w:szCs w:val="21"/>
                    </w:rPr>
                  </w:pPr>
                  <w:r>
                    <w:rPr>
                      <w:rFonts w:hint="eastAsia" w:ascii="Times New Roman"/>
                      <w:sz w:val="21"/>
                      <w:szCs w:val="21"/>
                      <w:lang w:val="en-US" w:eastAsia="zh-CN"/>
                    </w:rPr>
                    <w:t>医护</w:t>
                  </w:r>
                  <w:r>
                    <w:rPr>
                      <w:rFonts w:ascii="Times New Roman"/>
                      <w:sz w:val="21"/>
                      <w:szCs w:val="21"/>
                    </w:rPr>
                    <w:t>通道</w:t>
                  </w:r>
                </w:p>
              </w:tc>
              <w:tc>
                <w:tcPr>
                  <w:tcW w:w="883" w:type="dxa"/>
                  <w:noWrap w:val="0"/>
                  <w:vAlign w:val="top"/>
                </w:tcPr>
                <w:p w14:paraId="3F4EFF29">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699200" behindDoc="0" locked="0" layoutInCell="1" allowOverlap="1">
                            <wp:simplePos x="0" y="0"/>
                            <wp:positionH relativeFrom="column">
                              <wp:posOffset>-17145</wp:posOffset>
                            </wp:positionH>
                            <wp:positionV relativeFrom="paragraph">
                              <wp:posOffset>99695</wp:posOffset>
                            </wp:positionV>
                            <wp:extent cx="420370" cy="4445"/>
                            <wp:effectExtent l="0" t="37465" r="17780" b="34290"/>
                            <wp:wrapNone/>
                            <wp:docPr id="58" name="直线 135"/>
                            <wp:cNvGraphicFramePr/>
                            <a:graphic xmlns:a="http://schemas.openxmlformats.org/drawingml/2006/main">
                              <a:graphicData uri="http://schemas.microsoft.com/office/word/2010/wordprocessingShape">
                                <wps:wsp>
                                  <wps:cNvCnPr/>
                                  <wps:spPr>
                                    <a:xfrm flipV="1">
                                      <a:off x="0" y="0"/>
                                      <a:ext cx="420370" cy="4445"/>
                                    </a:xfrm>
                                    <a:prstGeom prst="line">
                                      <a:avLst/>
                                    </a:prstGeom>
                                    <a:ln>
                                      <a:solidFill>
                                        <a:srgbClr val="FF0000"/>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5" o:spid="_x0000_s1026" o:spt="20" style="position:absolute;left:0pt;flip:y;margin-left:-1.35pt;margin-top:7.85pt;height:0.35pt;width:33.1pt;z-index:251699200;mso-width-relative:page;mso-height-relative:page;" filled="f" stroked="t" coordsize="21600,21600" o:gfxdata="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tdHkv1wAAAAcBAAAPAAAA&#10;AAAAAAEAIAAAACIAAABkcnMvZG93bnJldi54bWxQSwECFAAUAAAACACHTuJAx8Ss+hYCAAAcBAAA&#10;DgAAAAAAAAABACAAAAAmAQAAZHJzL2Uyb0RvYy54bWxQSwUGAAAAAAYABgBZAQAArgUAAAAA&#10;">
                            <v:fill on="f" focussize="0,0"/>
                            <v:stroke weight="1.5pt" color="#FF0000 [3204]" miterlimit="8" joinstyle="miter" endarrow="block"/>
                            <v:imagedata o:title=""/>
                            <o:lock v:ext="edit" aspectratio="f"/>
                          </v:line>
                        </w:pict>
                      </mc:Fallback>
                    </mc:AlternateContent>
                  </w:r>
                </w:p>
              </w:tc>
              <w:tc>
                <w:tcPr>
                  <w:tcW w:w="1215" w:type="dxa"/>
                  <w:noWrap w:val="0"/>
                  <w:vAlign w:val="top"/>
                </w:tcPr>
                <w:p w14:paraId="40A13F6F">
                  <w:pPr>
                    <w:pStyle w:val="79"/>
                    <w:spacing w:line="360" w:lineRule="auto"/>
                    <w:ind w:left="0"/>
                    <w:rPr>
                      <w:rFonts w:ascii="Times New Roman"/>
                      <w:sz w:val="21"/>
                      <w:szCs w:val="21"/>
                    </w:rPr>
                  </w:pPr>
                  <w:r>
                    <w:rPr>
                      <w:rFonts w:hint="eastAsia" w:ascii="Times New Roman"/>
                      <w:sz w:val="21"/>
                      <w:szCs w:val="21"/>
                      <w:lang w:val="en-US" w:eastAsia="zh-CN"/>
                    </w:rPr>
                    <w:t>患者</w:t>
                  </w:r>
                  <w:r>
                    <w:rPr>
                      <w:rFonts w:ascii="Times New Roman"/>
                      <w:sz w:val="21"/>
                      <w:szCs w:val="21"/>
                    </w:rPr>
                    <w:t>通道</w:t>
                  </w:r>
                </w:p>
              </w:tc>
              <w:tc>
                <w:tcPr>
                  <w:tcW w:w="870" w:type="dxa"/>
                  <w:noWrap w:val="0"/>
                  <w:vAlign w:val="top"/>
                </w:tcPr>
                <w:p w14:paraId="4E7E3053">
                  <w:pPr>
                    <w:pStyle w:val="79"/>
                    <w:spacing w:line="360" w:lineRule="auto"/>
                    <w:ind w:left="0"/>
                    <w:rPr>
                      <w:rFonts w:ascii="Times New Roman"/>
                      <w:sz w:val="21"/>
                      <w:szCs w:val="21"/>
                    </w:rPr>
                  </w:pPr>
                  <w:r>
                    <w:rPr>
                      <w:rFonts w:ascii="Times New Roman"/>
                      <w:sz w:val="21"/>
                      <w:szCs w:val="21"/>
                    </w:rPr>
                    <mc:AlternateContent>
                      <mc:Choice Requires="wps">
                        <w:drawing>
                          <wp:anchor distT="0" distB="0" distL="114300" distR="114300" simplePos="0" relativeHeight="251700224" behindDoc="0" locked="0" layoutInCell="1" allowOverlap="1">
                            <wp:simplePos x="0" y="0"/>
                            <wp:positionH relativeFrom="column">
                              <wp:posOffset>-27940</wp:posOffset>
                            </wp:positionH>
                            <wp:positionV relativeFrom="paragraph">
                              <wp:posOffset>106045</wp:posOffset>
                            </wp:positionV>
                            <wp:extent cx="387985" cy="1905"/>
                            <wp:effectExtent l="0" t="37465" r="12065" b="36830"/>
                            <wp:wrapNone/>
                            <wp:docPr id="59" name="直线 136"/>
                            <wp:cNvGraphicFramePr/>
                            <a:graphic xmlns:a="http://schemas.openxmlformats.org/drawingml/2006/main">
                              <a:graphicData uri="http://schemas.microsoft.com/office/word/2010/wordprocessingShape">
                                <wps:wsp>
                                  <wps:cNvCnPr/>
                                  <wps:spPr>
                                    <a:xfrm flipV="1">
                                      <a:off x="0" y="0"/>
                                      <a:ext cx="387985" cy="1905"/>
                                    </a:xfrm>
                                    <a:prstGeom prst="line">
                                      <a:avLst/>
                                    </a:prstGeom>
                                    <a:ln>
                                      <a:solidFill>
                                        <a:schemeClr val="accent5"/>
                                      </a:solidFill>
                                      <a:headEnd type="none" w="med" len="med"/>
                                      <a:tailEnd type="triangle" w="med" len="med"/>
                                    </a:ln>
                                  </wps:spPr>
                                  <wps:style>
                                    <a:lnRef idx="2">
                                      <a:schemeClr val="accent1"/>
                                    </a:lnRef>
                                    <a:fillRef idx="0">
                                      <a:srgbClr val="FFFFFF"/>
                                    </a:fillRef>
                                    <a:effectRef idx="0">
                                      <a:srgbClr val="FFFFFF"/>
                                    </a:effectRef>
                                    <a:fontRef idx="minor">
                                      <a:schemeClr val="tx1"/>
                                    </a:fontRef>
                                  </wps:style>
                                  <wps:bodyPr upright="1"/>
                                </wps:wsp>
                              </a:graphicData>
                            </a:graphic>
                          </wp:anchor>
                        </w:drawing>
                      </mc:Choice>
                      <mc:Fallback>
                        <w:pict>
                          <v:line id="直线 136" o:spid="_x0000_s1026" o:spt="20" style="position:absolute;left:0pt;flip:y;margin-left:-2.2pt;margin-top:8.35pt;height:0.15pt;width:30.55pt;z-index:251700224;mso-width-relative:page;mso-height-relative:page;" filled="f" stroked="t" coordsize="21600,21600" o:gfxdata="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Vib59UAAAAHAQAADwAAAAAA&#10;AAABACAAAAAiAAAAZHJzL2Rvd25yZXYueG1sUEsBAhQAFAAAAAgAh07iQMyB37YWAgAAHAQAAA4A&#10;AAAAAAAAAQAgAAAAJAEAAGRycy9lMm9Eb2MueG1sUEsFBgAAAAAGAAYAWQEAAKwFAAAAAA==&#10;">
                            <v:fill on="f" focussize="0,0"/>
                            <v:stroke weight="1.5pt" color="#A02B93 [3208]" miterlimit="8" joinstyle="miter" endarrow="block"/>
                            <v:imagedata o:title=""/>
                            <o:lock v:ext="edit" aspectratio="f"/>
                          </v:line>
                        </w:pict>
                      </mc:Fallback>
                    </mc:AlternateContent>
                  </w:r>
                </w:p>
              </w:tc>
              <w:tc>
                <w:tcPr>
                  <w:tcW w:w="1170" w:type="dxa"/>
                  <w:noWrap w:val="0"/>
                  <w:vAlign w:val="top"/>
                </w:tcPr>
                <w:p w14:paraId="0B5E4096">
                  <w:pPr>
                    <w:pStyle w:val="79"/>
                    <w:spacing w:line="360" w:lineRule="auto"/>
                    <w:ind w:left="0"/>
                    <w:rPr>
                      <w:rFonts w:ascii="Times New Roman"/>
                      <w:sz w:val="21"/>
                      <w:szCs w:val="21"/>
                    </w:rPr>
                  </w:pPr>
                  <w:r>
                    <w:rPr>
                      <w:rFonts w:hint="eastAsia" w:ascii="Times New Roman"/>
                      <w:sz w:val="21"/>
                      <w:szCs w:val="21"/>
                      <w:lang w:val="en-US" w:eastAsia="zh-CN"/>
                    </w:rPr>
                    <w:t>污物</w:t>
                  </w:r>
                  <w:r>
                    <w:rPr>
                      <w:rFonts w:ascii="Times New Roman"/>
                      <w:sz w:val="21"/>
                      <w:szCs w:val="21"/>
                    </w:rPr>
                    <w:t>通道</w:t>
                  </w:r>
                </w:p>
              </w:tc>
            </w:tr>
          </w:tbl>
          <w:p w14:paraId="55B1E2EF">
            <w:pPr>
              <w:pStyle w:val="55"/>
              <w:ind w:firstLine="210"/>
              <w:jc w:val="center"/>
            </w:pPr>
            <w:r>
              <w:rPr>
                <w:rFonts w:eastAsia="黑体"/>
                <w:bCs/>
                <w:sz w:val="21"/>
                <w:szCs w:val="21"/>
                <w:lang w:val="zh-CN"/>
              </w:rPr>
              <w:t>图9-</w:t>
            </w:r>
            <w:r>
              <w:rPr>
                <w:rFonts w:hint="eastAsia" w:eastAsia="黑体"/>
                <w:bCs/>
                <w:sz w:val="21"/>
                <w:szCs w:val="21"/>
                <w:lang w:val="en-US" w:eastAsia="zh-CN"/>
              </w:rPr>
              <w:t>9</w:t>
            </w:r>
            <w:r>
              <w:rPr>
                <w:rFonts w:eastAsia="黑体"/>
                <w:bCs/>
                <w:sz w:val="21"/>
                <w:szCs w:val="21"/>
                <w:lang w:val="zh-CN"/>
              </w:rPr>
              <w:t xml:space="preserve">  本项目</w:t>
            </w:r>
            <w:r>
              <w:rPr>
                <w:rFonts w:hint="eastAsia" w:eastAsia="黑体"/>
                <w:bCs/>
                <w:sz w:val="21"/>
                <w:szCs w:val="21"/>
                <w:lang w:val="en-US" w:eastAsia="zh-CN"/>
              </w:rPr>
              <w:t>内镜中心ERCP室</w:t>
            </w:r>
            <w:r>
              <w:rPr>
                <w:rFonts w:hint="eastAsia" w:eastAsia="黑体"/>
                <w:bCs/>
                <w:sz w:val="21"/>
                <w:szCs w:val="21"/>
                <w:lang w:val="zh-CN"/>
              </w:rPr>
              <w:t>患者、医护、污物流通路径图</w:t>
            </w:r>
          </w:p>
        </w:tc>
      </w:tr>
      <w:tr w14:paraId="4C31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E1BF92C">
            <w:pPr>
              <w:rPr>
                <w:rFonts w:eastAsia="黑体"/>
                <w:b/>
                <w:bCs/>
              </w:rPr>
            </w:pPr>
            <w:r>
              <w:rPr>
                <w:rFonts w:eastAsia="黑体"/>
                <w:b/>
                <w:bCs/>
              </w:rPr>
              <w:t>污染源项描述</w:t>
            </w:r>
          </w:p>
          <w:p w14:paraId="2232DDFC">
            <w:pPr>
              <w:rPr>
                <w:rFonts w:eastAsia="黑体"/>
              </w:rPr>
            </w:pPr>
            <w:r>
              <w:rPr>
                <w:rFonts w:eastAsia="黑体"/>
              </w:rPr>
              <w:t>一、施工期污染源分析</w:t>
            </w:r>
          </w:p>
          <w:p w14:paraId="147ACD96">
            <w:pPr>
              <w:ind w:firstLine="480"/>
            </w:pPr>
            <w:r>
              <w:t>本项目施工期包括土建施工（包括基础开挖、主体工程建设、房间装修和场地清理等）和设备安装、调试阶段。土建施工阶段</w:t>
            </w:r>
            <w:r>
              <w:rPr>
                <w:bCs/>
              </w:rPr>
              <w:t>产生的污染物主要为扬尘、废水、噪声、废渣和废气等，</w:t>
            </w:r>
            <w:r>
              <w:t>但因施工期短、施工范围小，通过控制作业时间、加强施工现场管理等手段，对周围环境的影响将随施工期的结束而消除。在各机房建设过程中应保证屏蔽墙体没有漏缝，使用的水泥标号应满足设计要求，禁止使用残砖，混凝土浇筑墙体要连续施工，同时要防止噪声扰民。在设备安装调试阶段，主要环境影响为电离辐射（X射线、γ射线）、臭氧和包装固废。施工期工艺流程见图9-1</w:t>
            </w:r>
            <w:r>
              <w:rPr>
                <w:rFonts w:hint="eastAsia"/>
                <w:lang w:val="en-US" w:eastAsia="zh-CN"/>
              </w:rPr>
              <w:t>0</w:t>
            </w:r>
            <w:r>
              <w:t>。</w:t>
            </w:r>
          </w:p>
          <w:p w14:paraId="462DC072">
            <w:pPr>
              <w:spacing w:line="240" w:lineRule="auto"/>
              <w:jc w:val="center"/>
              <w:rPr>
                <w:sz w:val="21"/>
                <w:szCs w:val="21"/>
              </w:rPr>
            </w:pPr>
            <w:r>
              <w:object>
                <v:shape id="_x0000_i1025" o:spt="75" type="#_x0000_t75" style="height:85.8pt;width:428.4pt;" o:ole="t" filled="f" o:preferrelative="t" stroked="f" coordsize="21600,21600">
                  <v:path/>
                  <v:fill on="f" focussize="0,0"/>
                  <v:stroke on="f" joinstyle="miter"/>
                  <v:imagedata r:id="rId27" croptop="12794f" o:title=""/>
                  <o:lock v:ext="edit" aspectratio="t"/>
                  <w10:wrap type="none"/>
                  <w10:anchorlock/>
                </v:shape>
                <o:OLEObject Type="Embed" ProgID="Visio.Drawing.11" ShapeID="_x0000_i1025" DrawAspect="Content" ObjectID="_1468075725" r:id="rId26">
                  <o:LockedField>false</o:LockedField>
                </o:OLEObject>
              </w:object>
            </w:r>
          </w:p>
          <w:p w14:paraId="643C9DCB">
            <w:pPr>
              <w:jc w:val="center"/>
              <w:rPr>
                <w:rFonts w:eastAsia="黑体"/>
                <w:bCs/>
                <w:sz w:val="21"/>
                <w:szCs w:val="21"/>
              </w:rPr>
            </w:pPr>
            <w:r>
              <w:rPr>
                <w:rFonts w:eastAsia="黑体"/>
                <w:bCs/>
                <w:sz w:val="21"/>
                <w:szCs w:val="21"/>
              </w:rPr>
              <w:t>图9-1</w:t>
            </w:r>
            <w:r>
              <w:rPr>
                <w:rFonts w:hint="eastAsia" w:eastAsia="黑体"/>
                <w:bCs/>
                <w:sz w:val="21"/>
                <w:szCs w:val="21"/>
                <w:lang w:val="en-US" w:eastAsia="zh-CN"/>
              </w:rPr>
              <w:t>0</w:t>
            </w:r>
            <w:r>
              <w:rPr>
                <w:rFonts w:eastAsia="黑体"/>
                <w:bCs/>
                <w:sz w:val="21"/>
                <w:szCs w:val="21"/>
              </w:rPr>
              <w:t xml:space="preserve">  施工期施工工序及产污位置图</w:t>
            </w:r>
          </w:p>
          <w:p w14:paraId="047E606C">
            <w:pPr>
              <w:rPr>
                <w:rFonts w:eastAsia="黑体"/>
              </w:rPr>
            </w:pPr>
            <w:r>
              <w:rPr>
                <w:rFonts w:eastAsia="黑体"/>
              </w:rPr>
              <w:t>二、运行期污染源分析</w:t>
            </w:r>
          </w:p>
          <w:p w14:paraId="7F45C362">
            <w:pPr>
              <w:ind w:firstLine="482"/>
              <w:rPr>
                <w:b/>
                <w:bCs/>
              </w:rPr>
            </w:pPr>
            <w:r>
              <w:rPr>
                <w:b/>
                <w:bCs/>
              </w:rPr>
              <w:t>（一）放射性污染源分析</w:t>
            </w:r>
          </w:p>
          <w:p w14:paraId="326570A0">
            <w:pPr>
              <w:ind w:firstLine="482"/>
              <w:rPr>
                <w:b/>
              </w:rPr>
            </w:pPr>
            <w:r>
              <w:rPr>
                <w:b/>
              </w:rPr>
              <w:t>1、射线装置放射性污染源分析</w:t>
            </w:r>
          </w:p>
          <w:p w14:paraId="3D7107DA">
            <w:pPr>
              <w:ind w:firstLine="480"/>
            </w:pPr>
            <w:r>
              <w:t>X射线装置开机工作时，</w:t>
            </w:r>
            <w:r>
              <w:rPr>
                <w:bCs/>
              </w:rPr>
              <w:t>通过高压发生器和Х光管产生高速电子束，电子束撞击钨靶，靶原子的内层电子被电离，外层电子进入内层轨道填补空位，放出具有确定能量的Х射线，本项目</w:t>
            </w:r>
            <w:r>
              <w:rPr>
                <w:rFonts w:hint="default" w:ascii="Times New Roman" w:hAnsi="Times New Roman" w:cs="Times New Roman"/>
                <w:bCs/>
              </w:rPr>
              <w:t>Ⅱ</w:t>
            </w:r>
            <w:r>
              <w:rPr>
                <w:rFonts w:hint="eastAsia"/>
                <w:bCs/>
                <w:lang w:val="en-US" w:eastAsia="zh-CN"/>
              </w:rPr>
              <w:t>类和</w:t>
            </w:r>
            <w:r>
              <w:rPr>
                <w:bCs/>
              </w:rPr>
              <w:t>Ⅲ类射线装置的管电压最大为150kV，不开机状态不产生辐射。</w:t>
            </w:r>
          </w:p>
          <w:p w14:paraId="34470E63">
            <w:pPr>
              <w:ind w:firstLine="482"/>
              <w:rPr>
                <w:b/>
              </w:rPr>
            </w:pPr>
            <w:r>
              <w:rPr>
                <w:b/>
              </w:rPr>
              <w:t>2、非密封放射性物质污染源项分析</w:t>
            </w:r>
          </w:p>
          <w:p w14:paraId="24FFBDCA">
            <w:pPr>
              <w:ind w:firstLine="480"/>
              <w:rPr>
                <w:bCs/>
              </w:rPr>
            </w:pPr>
            <w:r>
              <w:rPr>
                <w:bCs/>
              </w:rPr>
              <w:t>①电离辐射：</w:t>
            </w:r>
          </w:p>
          <w:p w14:paraId="0220AF5A">
            <w:pPr>
              <w:ind w:firstLine="480"/>
            </w:pPr>
            <w:r>
              <w:rPr>
                <w:bCs/>
              </w:rPr>
              <w:t>A、贯穿辐射：本项目涉及使用的放射性核素包括：</w:t>
            </w:r>
            <w:r>
              <w:t>氟-18、镓-68、</w:t>
            </w:r>
            <w:r>
              <w:rPr>
                <w:bCs/>
              </w:rPr>
              <w:t>锶-89、锝-99m、碘-131、</w:t>
            </w:r>
            <w:r>
              <w:rPr>
                <w:rFonts w:hint="eastAsia"/>
                <w:lang w:val="en-US" w:eastAsia="zh-CN"/>
              </w:rPr>
              <w:t>磷</w:t>
            </w:r>
            <w:r>
              <w:t>-</w:t>
            </w:r>
            <w:r>
              <w:rPr>
                <w:rFonts w:hint="eastAsia"/>
                <w:lang w:val="en-US" w:eastAsia="zh-CN"/>
              </w:rPr>
              <w:t>32</w:t>
            </w:r>
            <w:r>
              <w:t>等，根据核素特性表（表1-1</w:t>
            </w:r>
            <w:r>
              <w:rPr>
                <w:rFonts w:hint="eastAsia"/>
              </w:rPr>
              <w:t>8</w:t>
            </w:r>
            <w:r>
              <w:t>），衰变方式包括EC、β</w:t>
            </w:r>
            <w:r>
              <w:rPr>
                <w:vertAlign w:val="superscript"/>
              </w:rPr>
              <w:t>-</w:t>
            </w:r>
            <w:r>
              <w:t>衰变、β</w:t>
            </w:r>
            <w:r>
              <w:rPr>
                <w:vertAlign w:val="superscript"/>
              </w:rPr>
              <w:t>+</w:t>
            </w:r>
            <w:r>
              <w:t>衰变，可产生γ射线、β</w:t>
            </w:r>
            <w:r>
              <w:rPr>
                <w:vertAlign w:val="superscript"/>
              </w:rPr>
              <w:t>-</w:t>
            </w:r>
            <w:r>
              <w:t>/β</w:t>
            </w:r>
            <w:r>
              <w:rPr>
                <w:vertAlign w:val="superscript"/>
              </w:rPr>
              <w:t>+</w:t>
            </w:r>
            <w:r>
              <w:t>粒子等，其中β粒子可与重质材料（如铅、铁）作用产生轫致辐射，同时正电子核素因产生正电子发生湮灭反应产生γ射线。</w:t>
            </w:r>
          </w:p>
          <w:p w14:paraId="7F60AF07">
            <w:pPr>
              <w:widowControl/>
              <w:ind w:firstLine="480"/>
            </w:pPr>
            <w:r>
              <w:t>B、表面污染：放射性核素在操作过程中因逸散可能造成工作场所沾染，同时病人在用药后因流动或住院对场所或被服等日用品造成污染，</w:t>
            </w:r>
            <w:r>
              <w:rPr>
                <w:rFonts w:hint="eastAsia"/>
                <w:lang w:val="en-US" w:eastAsia="zh-CN"/>
              </w:rPr>
              <w:t>主要为</w:t>
            </w:r>
            <w:r>
              <w:t>β表面污染。</w:t>
            </w:r>
          </w:p>
          <w:p w14:paraId="3B2795A1">
            <w:pPr>
              <w:ind w:firstLine="482"/>
              <w:rPr>
                <w:b/>
              </w:rPr>
            </w:pPr>
            <w:r>
              <w:rPr>
                <w:b/>
              </w:rPr>
              <w:t>2、放射性废水</w:t>
            </w:r>
          </w:p>
          <w:p w14:paraId="063C5904">
            <w:pPr>
              <w:widowControl/>
              <w:ind w:firstLine="480"/>
              <w:rPr>
                <w:rFonts w:hint="default" w:eastAsia="宋体"/>
                <w:lang w:val="en-US" w:eastAsia="zh-CN"/>
              </w:rPr>
            </w:pPr>
            <w:r>
              <w:rPr>
                <w:rFonts w:hint="eastAsia"/>
                <w:lang w:val="en-US" w:eastAsia="zh-CN"/>
              </w:rPr>
              <w:t>本项目DSA+CT、DSA和ERCP介入操作，使用</w:t>
            </w:r>
            <w:r>
              <w:rPr>
                <w:rFonts w:hint="default" w:ascii="Times New Roman" w:hAnsi="Times New Roman" w:cs="Times New Roman"/>
                <w:bCs/>
              </w:rPr>
              <w:t>Ⅱ</w:t>
            </w:r>
            <w:r>
              <w:rPr>
                <w:rFonts w:hint="eastAsia"/>
                <w:bCs/>
                <w:lang w:val="en-US" w:eastAsia="zh-CN"/>
              </w:rPr>
              <w:t>类</w:t>
            </w:r>
            <w:r>
              <w:rPr>
                <w:bCs/>
              </w:rPr>
              <w:t>射线装置</w:t>
            </w:r>
            <w:r>
              <w:rPr>
                <w:rFonts w:hint="eastAsia"/>
                <w:bCs/>
                <w:lang w:eastAsia="zh-CN"/>
              </w:rPr>
              <w:t>，</w:t>
            </w:r>
            <w:r>
              <w:rPr>
                <w:rFonts w:hint="eastAsia"/>
                <w:bCs/>
                <w:lang w:val="en-US" w:eastAsia="zh-CN"/>
              </w:rPr>
              <w:t>不产生放射性废水。</w:t>
            </w:r>
          </w:p>
          <w:p w14:paraId="548739E4">
            <w:pPr>
              <w:widowControl/>
              <w:ind w:firstLine="480"/>
            </w:pPr>
            <w:r>
              <w:t>本项目</w:t>
            </w:r>
            <w:r>
              <w:rPr>
                <w:rFonts w:hint="eastAsia"/>
                <w:lang w:val="en-US" w:eastAsia="zh-CN"/>
              </w:rPr>
              <w:t>核医学科</w:t>
            </w:r>
            <w:r>
              <w:t>放射性废水主要源自显像诊断</w:t>
            </w:r>
            <w:r>
              <w:rPr>
                <w:rFonts w:hint="eastAsia"/>
                <w:lang w:val="en-US" w:eastAsia="zh-CN"/>
              </w:rPr>
              <w:t>和核素治疗的</w:t>
            </w:r>
            <w:r>
              <w:t>病人（</w:t>
            </w:r>
            <w:r>
              <w:rPr>
                <w:rFonts w:hint="eastAsia"/>
                <w:lang w:val="en-US" w:eastAsia="zh-CN"/>
              </w:rPr>
              <w:t>均为门诊日间治疗</w:t>
            </w:r>
            <w:r>
              <w:rPr>
                <w:bCs/>
              </w:rPr>
              <w:t>，</w:t>
            </w:r>
            <w:r>
              <w:t>不需住院观察）注射给药后产生的少量排泄、清洗废水，</w:t>
            </w:r>
            <w:r>
              <w:rPr>
                <w:bCs/>
              </w:rPr>
              <w:t>用水定额</w:t>
            </w:r>
            <w:r>
              <w:t>以6L/（人·d）计</w:t>
            </w:r>
            <w:r>
              <w:rPr>
                <w:bCs/>
              </w:rPr>
              <w:t>。工作人员在完成一天的辐射工作后需进行污染监测，如有污染需进行去污清洗，且每天工作结束后会对场所进行清洁，</w:t>
            </w:r>
            <w:r>
              <w:rPr>
                <w:rFonts w:hint="eastAsia"/>
                <w:bCs/>
                <w:highlight w:val="none"/>
                <w:vertAlign w:val="baseline"/>
                <w:lang w:val="en-US" w:eastAsia="zh-CN"/>
              </w:rPr>
              <w:t>日清洁</w:t>
            </w:r>
            <w:r>
              <w:rPr>
                <w:bCs/>
                <w:highlight w:val="none"/>
              </w:rPr>
              <w:t>用水量约</w:t>
            </w:r>
            <w:r>
              <w:rPr>
                <w:rFonts w:hint="eastAsia"/>
                <w:bCs/>
                <w:highlight w:val="none"/>
                <w:lang w:val="en-US" w:eastAsia="zh-CN"/>
              </w:rPr>
              <w:t>406</w:t>
            </w:r>
            <w:r>
              <w:rPr>
                <w:bCs/>
                <w:highlight w:val="none"/>
              </w:rPr>
              <w:t>L/d。</w:t>
            </w:r>
          </w:p>
          <w:p w14:paraId="44C09EE3">
            <w:pPr>
              <w:ind w:firstLine="482"/>
              <w:rPr>
                <w:b/>
              </w:rPr>
            </w:pPr>
            <w:r>
              <w:rPr>
                <w:b/>
              </w:rPr>
              <w:t>3、放射性固废</w:t>
            </w:r>
          </w:p>
          <w:p w14:paraId="76A326DE">
            <w:pPr>
              <w:ind w:firstLine="480"/>
            </w:pPr>
            <w:r>
              <w:rPr>
                <w:rFonts w:hint="eastAsia"/>
                <w:lang w:val="en-US" w:eastAsia="zh-CN"/>
              </w:rPr>
              <w:t>本项目DSA+CT、DSA和ERCP介入操作，使用</w:t>
            </w:r>
            <w:r>
              <w:rPr>
                <w:rFonts w:hint="default" w:ascii="Times New Roman" w:hAnsi="Times New Roman" w:cs="Times New Roman"/>
                <w:bCs/>
              </w:rPr>
              <w:t>Ⅱ</w:t>
            </w:r>
            <w:r>
              <w:rPr>
                <w:rFonts w:hint="eastAsia"/>
                <w:bCs/>
                <w:lang w:val="en-US" w:eastAsia="zh-CN"/>
              </w:rPr>
              <w:t>类</w:t>
            </w:r>
            <w:r>
              <w:rPr>
                <w:bCs/>
              </w:rPr>
              <w:t>射线装置</w:t>
            </w:r>
            <w:r>
              <w:rPr>
                <w:rFonts w:hint="eastAsia"/>
                <w:bCs/>
                <w:lang w:eastAsia="zh-CN"/>
              </w:rPr>
              <w:t>，</w:t>
            </w:r>
            <w:r>
              <w:rPr>
                <w:rFonts w:hint="eastAsia"/>
                <w:bCs/>
                <w:lang w:val="en-US" w:eastAsia="zh-CN"/>
              </w:rPr>
              <w:t>不产生放射性固废。</w:t>
            </w:r>
          </w:p>
          <w:p w14:paraId="02F907B6">
            <w:pPr>
              <w:ind w:firstLine="480"/>
            </w:pPr>
            <w:r>
              <w:t>①</w:t>
            </w:r>
            <w:r>
              <w:rPr>
                <w:bCs/>
              </w:rPr>
              <w:t>氟-18、镓-68</w:t>
            </w:r>
            <w:r>
              <w:rPr>
                <w:rFonts w:hint="eastAsia"/>
                <w:bCs/>
                <w:lang w:val="en-US" w:eastAsia="zh-CN"/>
              </w:rPr>
              <w:t>和</w:t>
            </w:r>
            <w:r>
              <w:rPr>
                <w:bCs/>
              </w:rPr>
              <w:t>锝-99m均</w:t>
            </w:r>
            <w:r>
              <w:t>采取</w:t>
            </w:r>
            <w:r>
              <w:rPr>
                <w:bCs/>
              </w:rPr>
              <w:t>注射给药，产生的</w:t>
            </w:r>
            <w:r>
              <w:t>固体废物</w:t>
            </w:r>
            <w:r>
              <w:rPr>
                <w:bCs/>
              </w:rPr>
              <w:t>包括：</w:t>
            </w:r>
            <w:r>
              <w:rPr>
                <w:lang w:bidi="ar"/>
              </w:rPr>
              <w:t>使用过的</w:t>
            </w:r>
            <w:r>
              <w:rPr>
                <w:bCs/>
                <w:lang w:bidi="ar"/>
              </w:rPr>
              <w:t>一次性注射器、口罩、手套、空药瓶、棉签</w:t>
            </w:r>
            <w:r>
              <w:rPr>
                <w:bCs/>
              </w:rPr>
              <w:t>及擦</w:t>
            </w:r>
            <w:r>
              <w:t>拭</w:t>
            </w:r>
            <w:r>
              <w:rPr>
                <w:bCs/>
              </w:rPr>
              <w:t>废物等，产生量约50g/</w:t>
            </w:r>
            <w:r>
              <w:t>（d·人次）。</w:t>
            </w:r>
          </w:p>
          <w:p w14:paraId="6B94BA97">
            <w:pPr>
              <w:ind w:firstLine="480"/>
            </w:pPr>
            <w:r>
              <w:t>②锶-89采取</w:t>
            </w:r>
            <w:r>
              <w:rPr>
                <w:bCs/>
              </w:rPr>
              <w:t>注射给药，碘-131采取口服给药，产生的</w:t>
            </w:r>
            <w:r>
              <w:t>固体废物</w:t>
            </w:r>
            <w:r>
              <w:rPr>
                <w:bCs/>
              </w:rPr>
              <w:t>包括：</w:t>
            </w:r>
            <w:r>
              <w:rPr>
                <w:lang w:bidi="ar"/>
              </w:rPr>
              <w:t>使用过的一次性口杯/</w:t>
            </w:r>
            <w:r>
              <w:rPr>
                <w:bCs/>
                <w:lang w:bidi="ar"/>
              </w:rPr>
              <w:t>注射器、口罩、手套、空药瓶、棉签</w:t>
            </w:r>
            <w:r>
              <w:rPr>
                <w:bCs/>
              </w:rPr>
              <w:t>及擦</w:t>
            </w:r>
            <w:r>
              <w:t>拭</w:t>
            </w:r>
            <w:r>
              <w:rPr>
                <w:bCs/>
              </w:rPr>
              <w:t>废物等，产生量约50g/</w:t>
            </w:r>
            <w:r>
              <w:t>（d·人次）。</w:t>
            </w:r>
          </w:p>
          <w:p w14:paraId="0055A767">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lang w:val="en-US" w:eastAsia="zh-CN"/>
              </w:rPr>
            </w:pPr>
            <w:r>
              <w:t>③</w:t>
            </w:r>
            <w:r>
              <w:rPr>
                <w:rFonts w:hint="eastAsia"/>
                <w:lang w:val="en-US" w:eastAsia="zh-CN"/>
              </w:rPr>
              <w:t>磷-32需要预先自制敷贴器，</w:t>
            </w:r>
            <w:r>
              <w:rPr>
                <w:bCs/>
              </w:rPr>
              <w:t>产生的</w:t>
            </w:r>
            <w:r>
              <w:t>固体废物</w:t>
            </w:r>
            <w:r>
              <w:rPr>
                <w:bCs/>
              </w:rPr>
              <w:t>包括：</w:t>
            </w:r>
            <w:r>
              <w:rPr>
                <w:rFonts w:hint="eastAsia"/>
                <w:lang w:bidi="ar"/>
              </w:rPr>
              <w:t>使用过的移液瓶、滤纸、塑料薄膜、胶布、橡皮泥、注射器、口罩、手套、空药瓶、棉签及擦拭废物等</w:t>
            </w:r>
            <w:r>
              <w:rPr>
                <w:bCs/>
              </w:rPr>
              <w:t>，产生量约50g/</w:t>
            </w:r>
            <w:r>
              <w:t>（d·人次）</w:t>
            </w:r>
          </w:p>
          <w:p w14:paraId="4EFECC17">
            <w:pPr>
              <w:ind w:firstLine="480"/>
            </w:pPr>
            <w:r>
              <w:t>④</w:t>
            </w:r>
            <w:r>
              <w:rPr>
                <w:rFonts w:hint="eastAsia"/>
                <w:lang w:val="en-US" w:eastAsia="zh-CN"/>
              </w:rPr>
              <w:t>核医学科所用</w:t>
            </w:r>
            <w:r>
              <w:t>手套箱和场所废气排放口设置有初中效过滤器+高效过滤器，医院将定期对过滤器滤芯进行校正和更换，产生量约</w:t>
            </w:r>
            <w:r>
              <w:rPr>
                <w:rFonts w:hint="eastAsia"/>
                <w:lang w:val="en-US" w:eastAsia="zh-CN"/>
              </w:rPr>
              <w:t>2</w:t>
            </w:r>
            <w:r>
              <w:t>00kg/a。</w:t>
            </w:r>
          </w:p>
          <w:p w14:paraId="51C915D2">
            <w:pPr>
              <w:spacing w:line="240" w:lineRule="auto"/>
              <w:rPr>
                <w:rFonts w:eastAsia="黑体"/>
                <w:bCs/>
                <w:sz w:val="21"/>
                <w:szCs w:val="21"/>
              </w:rPr>
            </w:pPr>
          </w:p>
          <w:p w14:paraId="2A5703FD">
            <w:pPr>
              <w:ind w:firstLine="482"/>
              <w:rPr>
                <w:b/>
              </w:rPr>
            </w:pPr>
            <w:r>
              <w:rPr>
                <w:b/>
              </w:rPr>
              <w:t>4、放射性废气</w:t>
            </w:r>
          </w:p>
          <w:p w14:paraId="7AF1D340">
            <w:pPr>
              <w:ind w:firstLine="480"/>
            </w:pPr>
            <w:r>
              <w:rPr>
                <w:rFonts w:hint="eastAsia"/>
                <w:lang w:val="en-US" w:eastAsia="zh-CN"/>
              </w:rPr>
              <w:t>本项目DSA+CT、DSA和ERCP介入操作，使用</w:t>
            </w:r>
            <w:r>
              <w:rPr>
                <w:rFonts w:hint="default" w:ascii="Times New Roman" w:hAnsi="Times New Roman" w:cs="Times New Roman"/>
                <w:bCs/>
              </w:rPr>
              <w:t>Ⅱ</w:t>
            </w:r>
            <w:r>
              <w:rPr>
                <w:rFonts w:hint="eastAsia"/>
                <w:bCs/>
                <w:lang w:val="en-US" w:eastAsia="zh-CN"/>
              </w:rPr>
              <w:t>类</w:t>
            </w:r>
            <w:r>
              <w:rPr>
                <w:bCs/>
              </w:rPr>
              <w:t>射线装置</w:t>
            </w:r>
            <w:r>
              <w:rPr>
                <w:rFonts w:hint="eastAsia"/>
                <w:bCs/>
                <w:lang w:eastAsia="zh-CN"/>
              </w:rPr>
              <w:t>，</w:t>
            </w:r>
            <w:r>
              <w:rPr>
                <w:rFonts w:hint="eastAsia"/>
                <w:bCs/>
                <w:lang w:val="en-US" w:eastAsia="zh-CN"/>
              </w:rPr>
              <w:t>不产生放射性废气。</w:t>
            </w:r>
          </w:p>
          <w:p w14:paraId="6740CD8F">
            <w:pPr>
              <w:ind w:firstLine="480"/>
            </w:pPr>
            <w:r>
              <w:t>核医学科涉及使用的大部分核素均属于液态放射性药物，且均属于非挥发性化合物</w:t>
            </w:r>
            <w:r>
              <w:rPr>
                <w:bCs/>
              </w:rPr>
              <w:t>，采用负压瓶或成品针剂进行密封储存，在分装过程中采取注射器进行抽取，并最终通过静脉注射进入病人体内，在整个过</w:t>
            </w:r>
            <w:r>
              <w:rPr>
                <w:bCs/>
                <w:lang w:bidi="ar"/>
              </w:rPr>
              <w:t>程中注射类药物放射性核素气溶胶挥发量很小。本项目主要</w:t>
            </w:r>
            <w:r>
              <w:t>考虑使用</w:t>
            </w:r>
            <w:r>
              <w:rPr>
                <w:bCs/>
                <w:lang w:bidi="ar"/>
              </w:rPr>
              <w:t>易挥发性化合物</w:t>
            </w:r>
            <w:r>
              <w:t>的</w:t>
            </w:r>
            <w:r>
              <w:rPr>
                <w:lang w:bidi="ar"/>
              </w:rPr>
              <w:t>碘-131，</w:t>
            </w:r>
            <w:r>
              <w:rPr>
                <w:bCs/>
                <w:lang w:bidi="ar"/>
              </w:rPr>
              <w:t>其在操作过程中存在裸露液面，存在一定的挥发量。对于碘-131挥发性核素，保守考虑挥发量按日最大操作量的0.1%</w:t>
            </w:r>
            <w:r>
              <w:rPr>
                <w:lang w:bidi="ar"/>
              </w:rPr>
              <w:t>（数据引自《非密封放射性核素治疗后的患者出院考虑》（ICRP 94号出版物）</w:t>
            </w:r>
            <w:r>
              <w:rPr>
                <w:bCs/>
                <w:lang w:bidi="ar"/>
              </w:rPr>
              <w:t>。</w:t>
            </w:r>
            <w:r>
              <w:rPr>
                <w:lang w:bidi="ar"/>
              </w:rPr>
              <w:t>本项目碘-131日最大操作量为3.</w:t>
            </w:r>
            <w:r>
              <w:rPr>
                <w:rFonts w:hint="eastAsia"/>
                <w:lang w:val="en-US" w:eastAsia="zh-CN" w:bidi="ar"/>
              </w:rPr>
              <w:t>70</w:t>
            </w:r>
            <w:r>
              <w:rPr>
                <w:lang w:bidi="ar"/>
              </w:rPr>
              <w:t>×10</w:t>
            </w:r>
            <w:r>
              <w:rPr>
                <w:rFonts w:hint="eastAsia"/>
                <w:vertAlign w:val="superscript"/>
                <w:lang w:val="en-US" w:eastAsia="zh-CN" w:bidi="ar"/>
              </w:rPr>
              <w:t>9</w:t>
            </w:r>
            <w:r>
              <w:rPr>
                <w:lang w:bidi="ar"/>
              </w:rPr>
              <w:t>Bq，经计算碘-131日最大排放量为3.</w:t>
            </w:r>
            <w:r>
              <w:rPr>
                <w:rFonts w:hint="eastAsia"/>
                <w:lang w:val="en-US" w:eastAsia="zh-CN" w:bidi="ar"/>
              </w:rPr>
              <w:t>70</w:t>
            </w:r>
            <w:r>
              <w:rPr>
                <w:lang w:bidi="ar"/>
              </w:rPr>
              <w:t>×10</w:t>
            </w:r>
            <w:r>
              <w:rPr>
                <w:rFonts w:hint="eastAsia"/>
                <w:vertAlign w:val="superscript"/>
                <w:lang w:val="en-US" w:eastAsia="zh-CN" w:bidi="ar"/>
              </w:rPr>
              <w:t>6</w:t>
            </w:r>
            <w:r>
              <w:rPr>
                <w:lang w:bidi="ar"/>
              </w:rPr>
              <w:t>Bq。</w:t>
            </w:r>
          </w:p>
          <w:p w14:paraId="3C1AE02F">
            <w:pPr>
              <w:ind w:firstLine="482"/>
              <w:rPr>
                <w:b/>
                <w:bCs/>
              </w:rPr>
            </w:pPr>
            <w:r>
              <w:rPr>
                <w:b/>
                <w:bCs/>
              </w:rPr>
              <w:t>（二）非放射性污染源分析</w:t>
            </w:r>
          </w:p>
          <w:p w14:paraId="6E1740DD">
            <w:pPr>
              <w:ind w:firstLine="482"/>
              <w:rPr>
                <w:b/>
              </w:rPr>
            </w:pPr>
            <w:r>
              <w:rPr>
                <w:b/>
              </w:rPr>
              <w:t>1、非放射性废水</w:t>
            </w:r>
          </w:p>
          <w:p w14:paraId="7C6E1477">
            <w:pPr>
              <w:ind w:firstLine="480"/>
              <w:rPr>
                <w:bCs/>
                <w:lang w:bidi="ar"/>
              </w:rPr>
            </w:pPr>
            <w:r>
              <w:t>本项目</w:t>
            </w:r>
            <w:r>
              <w:rPr>
                <w:rFonts w:hint="eastAsia"/>
                <w:lang w:val="en-US" w:eastAsia="zh-CN"/>
              </w:rPr>
              <w:t>ERCP、</w:t>
            </w:r>
            <w:r>
              <w:t>DSA</w:t>
            </w:r>
            <w:r>
              <w:rPr>
                <w:rFonts w:hint="eastAsia"/>
              </w:rPr>
              <w:t>和CT</w:t>
            </w:r>
            <w:r>
              <w:t>采用数字成像，无废显影液、废定影液或清洗废水产生。</w:t>
            </w:r>
            <w:r>
              <w:rPr>
                <w:bCs/>
              </w:rPr>
              <w:t>医护人员和病人产生少量生活污水</w:t>
            </w:r>
            <w:r>
              <w:rPr>
                <w:rFonts w:hint="eastAsia"/>
                <w:bCs/>
              </w:rPr>
              <w:t>（产生量</w:t>
            </w:r>
            <w:r>
              <w:rPr>
                <w:rFonts w:hint="eastAsia"/>
                <w:bCs/>
                <w:highlight w:val="none"/>
              </w:rPr>
              <w:t>约</w:t>
            </w:r>
            <w:r>
              <w:rPr>
                <w:rFonts w:hint="eastAsia"/>
                <w:bCs/>
                <w:highlight w:val="none"/>
                <w:lang w:val="en-US" w:eastAsia="zh-CN"/>
              </w:rPr>
              <w:t>6000</w:t>
            </w:r>
            <w:r>
              <w:rPr>
                <w:rFonts w:hint="eastAsia"/>
                <w:bCs/>
                <w:highlight w:val="none"/>
              </w:rPr>
              <w:t>m</w:t>
            </w:r>
            <w:r>
              <w:rPr>
                <w:rFonts w:hint="eastAsia"/>
                <w:bCs/>
                <w:highlight w:val="none"/>
                <w:vertAlign w:val="superscript"/>
              </w:rPr>
              <w:t>3</w:t>
            </w:r>
            <w:r>
              <w:rPr>
                <w:rFonts w:hint="eastAsia"/>
                <w:bCs/>
                <w:highlight w:val="none"/>
              </w:rPr>
              <w:t>/a）</w:t>
            </w:r>
            <w:r>
              <w:t>，</w:t>
            </w:r>
            <w:r>
              <w:rPr>
                <w:rFonts w:hint="eastAsia"/>
                <w:lang w:val="en-US" w:eastAsia="zh-CN"/>
              </w:rPr>
              <w:t>经</w:t>
            </w:r>
            <w:r>
              <w:rPr>
                <w:color w:val="0D0D0D"/>
              </w:rPr>
              <w:t>医院污水处理</w:t>
            </w:r>
            <w:r>
              <w:rPr>
                <w:rFonts w:hint="eastAsia"/>
                <w:color w:val="0D0D0D"/>
              </w:rPr>
              <w:t>设施</w:t>
            </w:r>
            <w:r>
              <w:rPr>
                <w:color w:val="0D0D0D"/>
              </w:rPr>
              <w:t>处理达标后接入市政污水管网</w:t>
            </w:r>
            <w:r>
              <w:rPr>
                <w:bCs/>
              </w:rPr>
              <w:t>。</w:t>
            </w:r>
          </w:p>
          <w:p w14:paraId="2DB61482">
            <w:pPr>
              <w:ind w:firstLine="482"/>
              <w:rPr>
                <w:b/>
              </w:rPr>
            </w:pPr>
            <w:r>
              <w:rPr>
                <w:b/>
              </w:rPr>
              <w:t>2、非放射性固废</w:t>
            </w:r>
          </w:p>
          <w:p w14:paraId="3D3D7939">
            <w:pPr>
              <w:ind w:firstLine="480"/>
              <w:rPr>
                <w:bCs/>
              </w:rPr>
            </w:pPr>
            <w:r>
              <w:rPr>
                <w:bCs/>
                <w:lang w:bidi="ar"/>
              </w:rPr>
              <w:t>本项目产生的生活垃圾依托</w:t>
            </w:r>
            <w:r>
              <w:rPr>
                <w:rFonts w:hint="eastAsia"/>
                <w:bCs/>
                <w:lang w:eastAsia="zh-CN" w:bidi="ar"/>
              </w:rPr>
              <w:t>门诊医技楼</w:t>
            </w:r>
            <w:r>
              <w:rPr>
                <w:bCs/>
                <w:lang w:bidi="ar"/>
              </w:rPr>
              <w:t>拟建设的收集系统进行回收后由当地环卫部门清运。</w:t>
            </w:r>
          </w:p>
          <w:p w14:paraId="7A6049CF">
            <w:pPr>
              <w:numPr>
                <w:ilvl w:val="0"/>
                <w:numId w:val="9"/>
              </w:numPr>
              <w:ind w:firstLine="482"/>
            </w:pPr>
            <w:r>
              <w:rPr>
                <w:b/>
              </w:rPr>
              <w:t>非放射性废气</w:t>
            </w:r>
          </w:p>
          <w:p w14:paraId="2F602386">
            <w:pPr>
              <w:ind w:firstLine="480"/>
              <w:rPr>
                <w:bCs/>
              </w:rPr>
            </w:pPr>
            <w:r>
              <w:rPr>
                <w:bCs/>
              </w:rPr>
              <w:t>本项目非放射性废气主要来源于γ射线或X射线与空气发生电离作用，产生臭氧和氮氧化物，其中放射性同位素和Ⅲ类射线装置产生的臭氧量和氮氧化物量较少，可不予考虑</w:t>
            </w:r>
            <w:r>
              <w:rPr>
                <w:rFonts w:hint="eastAsia"/>
                <w:bCs/>
                <w:lang w:eastAsia="zh-CN"/>
              </w:rPr>
              <w:t>。</w:t>
            </w:r>
          </w:p>
          <w:p w14:paraId="1FDDD1A2">
            <w:pPr>
              <w:ind w:firstLine="482"/>
              <w:rPr>
                <w:b/>
              </w:rPr>
            </w:pPr>
            <w:r>
              <w:rPr>
                <w:b/>
              </w:rPr>
              <w:t>4、噪声</w:t>
            </w:r>
          </w:p>
          <w:p w14:paraId="2CDA4260">
            <w:pPr>
              <w:ind w:firstLine="480"/>
            </w:pPr>
            <w:r>
              <w:rPr>
                <w:bCs/>
              </w:rPr>
              <w:t>区域通排风风机工作时将产生一定的噪声，噪声源强不超过65dB(A)，经风机机房墙体隔声和距离衰减后，对周围声环境影响较小。</w:t>
            </w:r>
          </w:p>
        </w:tc>
      </w:tr>
    </w:tbl>
    <w:p w14:paraId="14F07478">
      <w:pPr>
        <w:pageBreakBefore/>
        <w:outlineLvl w:val="0"/>
        <w:rPr>
          <w:b/>
          <w:sz w:val="28"/>
          <w:szCs w:val="28"/>
        </w:rPr>
      </w:pPr>
      <w:bookmarkStart w:id="36" w:name="_Toc194317399"/>
      <w:r>
        <w:rPr>
          <w:b/>
          <w:sz w:val="28"/>
          <w:szCs w:val="28"/>
        </w:rPr>
        <w:t>表10：辐射安全与防护</w:t>
      </w:r>
      <w:bookmarkEnd w:id="36"/>
    </w:p>
    <w:tbl>
      <w:tblPr>
        <w:tblStyle w:val="5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5"/>
      </w:tblGrid>
      <w:tr w14:paraId="13DE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5000" w:type="pct"/>
          </w:tcPr>
          <w:p w14:paraId="67B0DA1C">
            <w:pPr>
              <w:jc w:val="left"/>
              <w:rPr>
                <w:rFonts w:eastAsia="黑体"/>
                <w:bCs/>
              </w:rPr>
            </w:pPr>
            <w:r>
              <w:rPr>
                <w:rFonts w:eastAsia="黑体"/>
                <w:bCs/>
              </w:rPr>
              <w:t>项目安全设施</w:t>
            </w:r>
          </w:p>
          <w:p w14:paraId="06AC5F0F">
            <w:pPr>
              <w:ind w:firstLine="480"/>
            </w:pPr>
            <w:r>
              <w:t>通过污染源分析可知，本项目产生的主要污染物为X射线（含轫致辐射）、β射线、γ射线和表面污染。同时核医学科运行过程还会产生放射性废水、放射性固废和放射性废气等。针对这些污染物，建设单位在设计阶段均制定了相应的辐射安全与防护措施以及污染防治措施。</w:t>
            </w:r>
          </w:p>
          <w:p w14:paraId="1DC771BB">
            <w:pPr>
              <w:rPr>
                <w:rFonts w:eastAsia="黑体"/>
              </w:rPr>
            </w:pPr>
            <w:r>
              <w:rPr>
                <w:rFonts w:eastAsia="黑体"/>
              </w:rPr>
              <w:t>一、平面布置合理性分析</w:t>
            </w:r>
          </w:p>
          <w:p w14:paraId="6BF99396">
            <w:pPr>
              <w:widowControl/>
              <w:ind w:firstLine="482"/>
              <w:rPr>
                <w:b/>
              </w:rPr>
            </w:pPr>
            <w:r>
              <w:rPr>
                <w:rFonts w:hint="eastAsia"/>
                <w:b/>
                <w:lang w:val="en-US" w:eastAsia="zh-CN"/>
              </w:rPr>
              <w:t>1</w:t>
            </w:r>
            <w:r>
              <w:rPr>
                <w:b/>
              </w:rPr>
              <w:t>、</w:t>
            </w:r>
            <w:r>
              <w:rPr>
                <w:rFonts w:hint="eastAsia"/>
                <w:b/>
                <w:lang w:val="en-US" w:eastAsia="zh-CN"/>
              </w:rPr>
              <w:t>负一层</w:t>
            </w:r>
            <w:r>
              <w:rPr>
                <w:b/>
              </w:rPr>
              <w:t>核医学科场所布置及功能</w:t>
            </w:r>
          </w:p>
          <w:p w14:paraId="609FCA17">
            <w:pPr>
              <w:widowControl/>
              <w:ind w:firstLine="480"/>
              <w:rPr>
                <w:bCs/>
              </w:rPr>
            </w:pPr>
            <w:r>
              <w:rPr>
                <w:bCs/>
              </w:rPr>
              <w:t>本项目核医学科</w:t>
            </w:r>
            <w:r>
              <w:rPr>
                <w:rFonts w:hint="eastAsia"/>
                <w:bCs/>
                <w:lang w:val="en-US" w:eastAsia="zh-CN"/>
              </w:rPr>
              <w:t>布设于门诊医技楼负一层</w:t>
            </w:r>
            <w:r>
              <w:rPr>
                <w:bCs/>
              </w:rPr>
              <w:t>，</w:t>
            </w:r>
            <w:r>
              <w:rPr>
                <w:rFonts w:hint="default" w:ascii="Times New Roman" w:hAnsi="Times New Roman" w:eastAsia="宋体" w:cs="Times New Roman"/>
                <w:sz w:val="24"/>
                <w:szCs w:val="24"/>
                <w:highlight w:val="none"/>
              </w:rPr>
              <w:t>东侧为</w:t>
            </w:r>
            <w:r>
              <w:rPr>
                <w:rFonts w:hint="eastAsia" w:cs="Times New Roman"/>
                <w:sz w:val="24"/>
                <w:szCs w:val="24"/>
                <w:highlight w:val="none"/>
                <w:lang w:val="en-US" w:eastAsia="zh-CN"/>
              </w:rPr>
              <w:t>配电机房</w:t>
            </w:r>
            <w:r>
              <w:rPr>
                <w:rFonts w:hint="default" w:ascii="Times New Roman" w:hAnsi="Times New Roman" w:eastAsia="宋体" w:cs="Times New Roman"/>
                <w:sz w:val="24"/>
                <w:szCs w:val="24"/>
                <w:highlight w:val="none"/>
              </w:rPr>
              <w:t>，西侧为</w:t>
            </w:r>
            <w:r>
              <w:rPr>
                <w:rFonts w:hint="eastAsia" w:cs="Times New Roman"/>
                <w:sz w:val="24"/>
                <w:szCs w:val="24"/>
                <w:highlight w:val="none"/>
                <w:lang w:val="en-US" w:eastAsia="zh-CN"/>
              </w:rPr>
              <w:t>回填土</w:t>
            </w:r>
            <w:r>
              <w:rPr>
                <w:rFonts w:hint="default" w:ascii="Times New Roman" w:hAnsi="Times New Roman" w:eastAsia="宋体" w:cs="Times New Roman"/>
                <w:sz w:val="24"/>
                <w:szCs w:val="24"/>
                <w:highlight w:val="none"/>
              </w:rPr>
              <w:t>，南侧为</w:t>
            </w:r>
            <w:r>
              <w:rPr>
                <w:rFonts w:hint="eastAsia" w:cs="Times New Roman"/>
                <w:sz w:val="24"/>
                <w:szCs w:val="24"/>
                <w:highlight w:val="none"/>
                <w:lang w:val="en-US" w:eastAsia="zh-CN"/>
              </w:rPr>
              <w:t>总务维修办公室、设备维修办公室、总务库房和设备库房等</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一层放射科机房及办公区域</w:t>
            </w:r>
            <w:r>
              <w:rPr>
                <w:rFonts w:hint="default" w:ascii="Times New Roman" w:hAnsi="Times New Roman" w:eastAsia="宋体" w:cs="Times New Roman"/>
                <w:sz w:val="24"/>
                <w:szCs w:val="24"/>
                <w:highlight w:val="none"/>
              </w:rPr>
              <w:t>，楼下为</w:t>
            </w:r>
            <w:r>
              <w:rPr>
                <w:rFonts w:hint="eastAsia" w:cs="Times New Roman"/>
                <w:sz w:val="24"/>
                <w:szCs w:val="24"/>
                <w:highlight w:val="none"/>
                <w:lang w:val="en-US" w:eastAsia="zh-CN"/>
              </w:rPr>
              <w:t>负二层</w:t>
            </w:r>
            <w:r>
              <w:rPr>
                <w:rFonts w:hint="default" w:ascii="Times New Roman" w:hAnsi="Times New Roman" w:eastAsia="宋体" w:cs="Times New Roman"/>
                <w:sz w:val="24"/>
                <w:szCs w:val="24"/>
                <w:highlight w:val="none"/>
              </w:rPr>
              <w:t>地下</w:t>
            </w:r>
            <w:r>
              <w:rPr>
                <w:rFonts w:hint="eastAsia" w:cs="Times New Roman"/>
                <w:sz w:val="24"/>
                <w:szCs w:val="24"/>
                <w:highlight w:val="none"/>
                <w:lang w:val="en-US" w:eastAsia="zh-CN"/>
              </w:rPr>
              <w:t>停车场</w:t>
            </w:r>
            <w:r>
              <w:rPr>
                <w:rFonts w:hint="default" w:ascii="Times New Roman" w:hAnsi="Times New Roman" w:eastAsia="宋体" w:cs="Times New Roman"/>
                <w:sz w:val="24"/>
                <w:szCs w:val="24"/>
                <w:highlight w:val="none"/>
              </w:rPr>
              <w:t>。</w:t>
            </w:r>
          </w:p>
          <w:p w14:paraId="6AED561F">
            <w:pPr>
              <w:widowControl/>
              <w:ind w:firstLine="480"/>
              <w:rPr>
                <w:bCs/>
              </w:rPr>
            </w:pPr>
            <w:r>
              <w:rPr>
                <w:bCs/>
              </w:rPr>
              <w:t>从东往西依次布置：储源室</w:t>
            </w:r>
            <w:r>
              <w:rPr>
                <w:rFonts w:hint="eastAsia"/>
                <w:bCs/>
                <w:lang w:val="en-US" w:eastAsia="zh-CN"/>
              </w:rPr>
              <w:t>1#</w:t>
            </w:r>
            <w:r>
              <w:rPr>
                <w:bCs/>
              </w:rPr>
              <w:t>、分装室</w:t>
            </w:r>
            <w:r>
              <w:rPr>
                <w:rFonts w:hint="eastAsia"/>
                <w:bCs/>
                <w:lang w:val="en-US" w:eastAsia="zh-CN"/>
              </w:rPr>
              <w:t>1#</w:t>
            </w:r>
            <w:r>
              <w:rPr>
                <w:bCs/>
              </w:rPr>
              <w:t>、</w:t>
            </w:r>
            <w:r>
              <w:rPr>
                <w:rFonts w:hint="eastAsia"/>
                <w:bCs/>
                <w:lang w:val="en-US" w:eastAsia="zh-CN"/>
              </w:rPr>
              <w:t>PET</w:t>
            </w:r>
            <w:r>
              <w:rPr>
                <w:bCs/>
              </w:rPr>
              <w:t>注射室</w:t>
            </w:r>
            <w:r>
              <w:rPr>
                <w:rFonts w:hint="eastAsia"/>
                <w:bCs/>
                <w:lang w:eastAsia="zh-CN"/>
              </w:rPr>
              <w:t>、</w:t>
            </w:r>
            <w:r>
              <w:rPr>
                <w:rFonts w:hint="eastAsia"/>
                <w:bCs/>
                <w:lang w:val="en-US" w:eastAsia="zh-CN"/>
              </w:rPr>
              <w:t>ECT注射室</w:t>
            </w:r>
            <w:r>
              <w:rPr>
                <w:bCs/>
              </w:rPr>
              <w:t>、</w:t>
            </w:r>
            <w:r>
              <w:rPr>
                <w:rFonts w:hint="eastAsia"/>
                <w:bCs/>
                <w:lang w:val="en-US" w:eastAsia="zh-CN"/>
              </w:rPr>
              <w:t>敷贴室1#、敷贴室2#、甲功室、抢救室、PET</w:t>
            </w:r>
            <w:r>
              <w:rPr>
                <w:bCs/>
              </w:rPr>
              <w:t>注射后等候室</w:t>
            </w:r>
            <w:r>
              <w:rPr>
                <w:rFonts w:hint="eastAsia"/>
                <w:bCs/>
                <w:lang w:eastAsia="zh-CN"/>
              </w:rPr>
              <w:t>、</w:t>
            </w:r>
            <w:r>
              <w:rPr>
                <w:rFonts w:hint="eastAsia"/>
                <w:bCs/>
                <w:lang w:val="en-US" w:eastAsia="zh-CN"/>
              </w:rPr>
              <w:t>ECT注射后等候室</w:t>
            </w:r>
            <w:r>
              <w:rPr>
                <w:bCs/>
              </w:rPr>
              <w:t>、</w:t>
            </w:r>
            <w:r>
              <w:rPr>
                <w:rFonts w:hint="eastAsia"/>
                <w:bCs/>
                <w:lang w:val="en-US" w:eastAsia="zh-CN"/>
              </w:rPr>
              <w:t>S</w:t>
            </w:r>
            <w:r>
              <w:rPr>
                <w:bCs/>
              </w:rPr>
              <w:t>PE</w:t>
            </w:r>
            <w:r>
              <w:rPr>
                <w:rFonts w:hint="eastAsia"/>
                <w:bCs/>
                <w:lang w:val="en-US" w:eastAsia="zh-CN"/>
              </w:rPr>
              <w:t>C</w:t>
            </w:r>
            <w:r>
              <w:rPr>
                <w:bCs/>
              </w:rPr>
              <w:t>T/CT机房</w:t>
            </w:r>
            <w:r>
              <w:rPr>
                <w:rFonts w:hint="eastAsia"/>
                <w:bCs/>
                <w:lang w:eastAsia="zh-CN"/>
              </w:rPr>
              <w:t>、</w:t>
            </w:r>
            <w:r>
              <w:rPr>
                <w:rFonts w:hint="eastAsia"/>
                <w:bCs/>
                <w:lang w:val="en-US" w:eastAsia="zh-CN"/>
              </w:rPr>
              <w:t>共用控制室、PET机房</w:t>
            </w:r>
            <w:r>
              <w:rPr>
                <w:bCs/>
              </w:rPr>
              <w:t>、</w:t>
            </w:r>
            <w:r>
              <w:rPr>
                <w:rFonts w:hint="eastAsia"/>
                <w:bCs/>
                <w:lang w:val="en-US" w:eastAsia="zh-CN"/>
              </w:rPr>
              <w:t>PET留观</w:t>
            </w:r>
            <w:r>
              <w:rPr>
                <w:bCs/>
              </w:rPr>
              <w:t>室</w:t>
            </w:r>
            <w:r>
              <w:rPr>
                <w:rFonts w:hint="eastAsia"/>
                <w:bCs/>
                <w:lang w:eastAsia="zh-CN"/>
              </w:rPr>
              <w:t>、</w:t>
            </w:r>
            <w:r>
              <w:rPr>
                <w:rFonts w:hint="eastAsia"/>
                <w:bCs/>
                <w:lang w:val="en-US" w:eastAsia="zh-CN"/>
              </w:rPr>
              <w:t>ECT留观室、</w:t>
            </w:r>
            <w:r>
              <w:rPr>
                <w:bCs/>
              </w:rPr>
              <w:t>放废暂存间、</w:t>
            </w:r>
            <w:r>
              <w:rPr>
                <w:rFonts w:hint="eastAsia"/>
                <w:bCs/>
                <w:lang w:val="en-US" w:eastAsia="zh-CN"/>
              </w:rPr>
              <w:t>Sr-89注射室、I-131服药室、分装室2#、日间留观室、</w:t>
            </w:r>
            <w:r>
              <w:rPr>
                <w:bCs/>
              </w:rPr>
              <w:t>储源室</w:t>
            </w:r>
            <w:r>
              <w:rPr>
                <w:rFonts w:hint="eastAsia"/>
                <w:bCs/>
                <w:lang w:val="en-US" w:eastAsia="zh-CN"/>
              </w:rPr>
              <w:t>2#</w:t>
            </w:r>
            <w:r>
              <w:rPr>
                <w:bCs/>
              </w:rPr>
              <w:t>及其他配套辅助房间等辐射工作场所。</w:t>
            </w:r>
          </w:p>
          <w:p w14:paraId="2E0DC14C">
            <w:pPr>
              <w:spacing w:before="163" w:line="240" w:lineRule="auto"/>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表10-</w:t>
            </w:r>
            <w:r>
              <w:rPr>
                <w:rFonts w:hint="default" w:ascii="Times New Roman" w:hAnsi="Times New Roman" w:eastAsia="宋体" w:cs="Times New Roman"/>
                <w:b/>
                <w:bCs w:val="0"/>
                <w:sz w:val="21"/>
                <w:szCs w:val="21"/>
                <w:lang w:val="en-US" w:eastAsia="zh-CN"/>
              </w:rPr>
              <w:t>1</w:t>
            </w:r>
            <w:r>
              <w:rPr>
                <w:rFonts w:hint="default" w:ascii="Times New Roman" w:hAnsi="Times New Roman" w:eastAsia="宋体" w:cs="Times New Roman"/>
                <w:b/>
                <w:bCs w:val="0"/>
                <w:sz w:val="21"/>
                <w:szCs w:val="21"/>
              </w:rPr>
              <w:t xml:space="preserve">  负一层正电子影像区主要涉放场所功能</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44"/>
              <w:gridCol w:w="3302"/>
              <w:gridCol w:w="2753"/>
            </w:tblGrid>
            <w:tr w14:paraId="575C93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60BD58F3">
                  <w:pPr>
                    <w:spacing w:line="360" w:lineRule="exact"/>
                    <w:jc w:val="center"/>
                    <w:rPr>
                      <w:b/>
                      <w:bCs w:val="0"/>
                      <w:sz w:val="21"/>
                      <w:szCs w:val="21"/>
                      <w:lang w:bidi="ar"/>
                    </w:rPr>
                  </w:pPr>
                  <w:r>
                    <w:rPr>
                      <w:b/>
                      <w:bCs w:val="0"/>
                      <w:sz w:val="21"/>
                      <w:szCs w:val="21"/>
                      <w:lang w:bidi="ar"/>
                    </w:rPr>
                    <w:t>主要涉放功能房间</w:t>
                  </w:r>
                </w:p>
              </w:tc>
              <w:tc>
                <w:tcPr>
                  <w:tcW w:w="1876" w:type="pct"/>
                  <w:vAlign w:val="center"/>
                </w:tcPr>
                <w:p w14:paraId="5B0A4209">
                  <w:pPr>
                    <w:spacing w:line="360" w:lineRule="exact"/>
                    <w:jc w:val="center"/>
                    <w:rPr>
                      <w:b/>
                      <w:bCs w:val="0"/>
                      <w:sz w:val="21"/>
                      <w:szCs w:val="21"/>
                      <w:lang w:bidi="ar"/>
                    </w:rPr>
                  </w:pPr>
                  <w:r>
                    <w:rPr>
                      <w:b/>
                      <w:bCs w:val="0"/>
                      <w:sz w:val="21"/>
                      <w:szCs w:val="21"/>
                      <w:lang w:bidi="ar"/>
                    </w:rPr>
                    <w:t>功能用途</w:t>
                  </w:r>
                </w:p>
              </w:tc>
              <w:tc>
                <w:tcPr>
                  <w:tcW w:w="1564" w:type="pct"/>
                  <w:vAlign w:val="center"/>
                </w:tcPr>
                <w:p w14:paraId="3394325B">
                  <w:pPr>
                    <w:spacing w:line="360" w:lineRule="exact"/>
                    <w:jc w:val="center"/>
                    <w:rPr>
                      <w:b/>
                      <w:bCs w:val="0"/>
                      <w:sz w:val="21"/>
                      <w:szCs w:val="21"/>
                      <w:lang w:bidi="ar"/>
                    </w:rPr>
                  </w:pPr>
                  <w:r>
                    <w:rPr>
                      <w:b/>
                      <w:bCs w:val="0"/>
                      <w:sz w:val="21"/>
                      <w:szCs w:val="21"/>
                      <w:lang w:bidi="ar"/>
                    </w:rPr>
                    <w:t>备注</w:t>
                  </w:r>
                </w:p>
              </w:tc>
            </w:tr>
            <w:tr w14:paraId="7FA893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159E9835">
                  <w:pPr>
                    <w:spacing w:line="360" w:lineRule="exact"/>
                    <w:jc w:val="center"/>
                    <w:rPr>
                      <w:rFonts w:hint="default" w:eastAsia="宋体"/>
                      <w:bCs/>
                      <w:sz w:val="21"/>
                      <w:szCs w:val="21"/>
                      <w:lang w:val="en-US" w:eastAsia="zh-CN" w:bidi="ar"/>
                    </w:rPr>
                  </w:pPr>
                  <w:r>
                    <w:rPr>
                      <w:bCs/>
                      <w:sz w:val="21"/>
                      <w:szCs w:val="21"/>
                    </w:rPr>
                    <w:t>分装室</w:t>
                  </w:r>
                  <w:r>
                    <w:rPr>
                      <w:rFonts w:hint="eastAsia"/>
                      <w:bCs/>
                      <w:sz w:val="21"/>
                      <w:szCs w:val="21"/>
                      <w:lang w:val="en-US" w:eastAsia="zh-CN"/>
                    </w:rPr>
                    <w:t>1#</w:t>
                  </w:r>
                </w:p>
              </w:tc>
              <w:tc>
                <w:tcPr>
                  <w:tcW w:w="1876" w:type="pct"/>
                  <w:vAlign w:val="center"/>
                </w:tcPr>
                <w:p w14:paraId="0041EB58">
                  <w:pPr>
                    <w:spacing w:line="360" w:lineRule="exact"/>
                    <w:jc w:val="center"/>
                    <w:rPr>
                      <w:rFonts w:hint="default" w:eastAsia="宋体"/>
                      <w:bCs/>
                      <w:sz w:val="21"/>
                      <w:szCs w:val="21"/>
                      <w:lang w:val="en-US" w:eastAsia="zh-CN" w:bidi="ar"/>
                    </w:rPr>
                  </w:pPr>
                  <w:r>
                    <w:rPr>
                      <w:bCs/>
                      <w:sz w:val="21"/>
                      <w:szCs w:val="21"/>
                      <w:vertAlign w:val="superscript"/>
                    </w:rPr>
                    <w:t>18</w:t>
                  </w:r>
                  <w:r>
                    <w:rPr>
                      <w:bCs/>
                      <w:sz w:val="21"/>
                      <w:szCs w:val="21"/>
                    </w:rPr>
                    <w:t>F、</w:t>
                  </w:r>
                  <w:r>
                    <w:rPr>
                      <w:bCs/>
                      <w:sz w:val="21"/>
                      <w:szCs w:val="21"/>
                      <w:vertAlign w:val="superscript"/>
                    </w:rPr>
                    <w:t>68</w:t>
                  </w:r>
                  <w:r>
                    <w:rPr>
                      <w:bCs/>
                      <w:sz w:val="21"/>
                      <w:szCs w:val="21"/>
                    </w:rPr>
                    <w:t>Ga、</w:t>
                  </w:r>
                  <w:r>
                    <w:rPr>
                      <w:rFonts w:hint="default" w:ascii="Times New Roman" w:hAnsi="Times New Roman" w:eastAsia="宋体" w:cs="Times New Roman"/>
                      <w:bCs/>
                      <w:spacing w:val="-6"/>
                      <w:sz w:val="21"/>
                      <w:szCs w:val="21"/>
                      <w:vertAlign w:val="superscript"/>
                      <w:lang w:bidi="ar"/>
                    </w:rPr>
                    <w:t>99m</w:t>
                  </w:r>
                  <w:r>
                    <w:rPr>
                      <w:rFonts w:hint="default" w:ascii="Times New Roman" w:hAnsi="Times New Roman" w:eastAsia="宋体" w:cs="Times New Roman"/>
                      <w:bCs/>
                      <w:spacing w:val="-6"/>
                      <w:sz w:val="21"/>
                      <w:szCs w:val="21"/>
                      <w:lang w:bidi="ar"/>
                    </w:rPr>
                    <w:t>Tc</w:t>
                  </w:r>
                  <w:r>
                    <w:rPr>
                      <w:bCs/>
                      <w:sz w:val="21"/>
                      <w:szCs w:val="21"/>
                    </w:rPr>
                    <w:t>的分装场所</w:t>
                  </w:r>
                  <w:r>
                    <w:rPr>
                      <w:rFonts w:hint="eastAsia"/>
                      <w:bCs/>
                      <w:sz w:val="21"/>
                      <w:szCs w:val="21"/>
                      <w:lang w:eastAsia="zh-CN"/>
                    </w:rPr>
                    <w:t>，</w:t>
                  </w:r>
                  <w:r>
                    <w:rPr>
                      <w:rFonts w:hint="eastAsia"/>
                      <w:bCs/>
                      <w:sz w:val="21"/>
                      <w:szCs w:val="21"/>
                      <w:vertAlign w:val="superscript"/>
                      <w:lang w:val="en-US" w:eastAsia="zh-CN"/>
                    </w:rPr>
                    <w:t>32</w:t>
                  </w:r>
                  <w:r>
                    <w:rPr>
                      <w:rFonts w:hint="eastAsia"/>
                      <w:bCs/>
                      <w:sz w:val="21"/>
                      <w:szCs w:val="21"/>
                      <w:lang w:val="en-US" w:eastAsia="zh-CN"/>
                    </w:rPr>
                    <w:t>P敷贴器的制作场所</w:t>
                  </w:r>
                </w:p>
              </w:tc>
              <w:tc>
                <w:tcPr>
                  <w:tcW w:w="1564" w:type="pct"/>
                  <w:vAlign w:val="center"/>
                </w:tcPr>
                <w:p w14:paraId="7BEE4A62">
                  <w:pPr>
                    <w:spacing w:line="360" w:lineRule="exact"/>
                    <w:jc w:val="center"/>
                    <w:rPr>
                      <w:bCs/>
                      <w:sz w:val="21"/>
                      <w:szCs w:val="21"/>
                      <w:lang w:bidi="ar"/>
                    </w:rPr>
                  </w:pPr>
                  <w:r>
                    <w:rPr>
                      <w:bCs/>
                      <w:sz w:val="21"/>
                      <w:szCs w:val="21"/>
                    </w:rPr>
                    <w:t>设置</w:t>
                  </w:r>
                  <w:r>
                    <w:rPr>
                      <w:rFonts w:hint="eastAsia"/>
                      <w:bCs/>
                      <w:sz w:val="21"/>
                      <w:szCs w:val="21"/>
                      <w:lang w:val="en-US" w:eastAsia="zh-CN"/>
                    </w:rPr>
                    <w:t>3</w:t>
                  </w:r>
                  <w:r>
                    <w:rPr>
                      <w:bCs/>
                      <w:sz w:val="21"/>
                      <w:szCs w:val="21"/>
                      <w:lang w:bidi="ar"/>
                    </w:rPr>
                    <w:t>套手套箱</w:t>
                  </w:r>
                </w:p>
              </w:tc>
            </w:tr>
            <w:tr w14:paraId="0F1180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012AC92F">
                  <w:pPr>
                    <w:spacing w:line="360" w:lineRule="exact"/>
                    <w:jc w:val="center"/>
                    <w:rPr>
                      <w:bCs/>
                      <w:sz w:val="21"/>
                      <w:szCs w:val="21"/>
                      <w:lang w:bidi="ar"/>
                    </w:rPr>
                  </w:pPr>
                  <w:r>
                    <w:rPr>
                      <w:rFonts w:hint="eastAsia"/>
                      <w:bCs/>
                      <w:sz w:val="21"/>
                      <w:szCs w:val="21"/>
                      <w:lang w:val="en-US" w:eastAsia="zh-CN"/>
                    </w:rPr>
                    <w:t>PET</w:t>
                  </w:r>
                  <w:r>
                    <w:rPr>
                      <w:bCs/>
                      <w:sz w:val="21"/>
                      <w:szCs w:val="21"/>
                    </w:rPr>
                    <w:t>注射室</w:t>
                  </w:r>
                </w:p>
              </w:tc>
              <w:tc>
                <w:tcPr>
                  <w:tcW w:w="1876" w:type="pct"/>
                  <w:vAlign w:val="center"/>
                </w:tcPr>
                <w:p w14:paraId="6174B490">
                  <w:pPr>
                    <w:spacing w:line="360" w:lineRule="exact"/>
                    <w:jc w:val="center"/>
                    <w:rPr>
                      <w:bCs/>
                      <w:sz w:val="21"/>
                      <w:szCs w:val="21"/>
                      <w:lang w:bidi="ar"/>
                    </w:rPr>
                  </w:pPr>
                  <w:r>
                    <w:rPr>
                      <w:bCs/>
                      <w:sz w:val="21"/>
                      <w:szCs w:val="21"/>
                      <w:lang w:bidi="ar"/>
                    </w:rPr>
                    <w:t>患者在此注射</w:t>
                  </w:r>
                  <w:r>
                    <w:rPr>
                      <w:rFonts w:hint="eastAsia"/>
                      <w:bCs/>
                      <w:sz w:val="21"/>
                      <w:szCs w:val="21"/>
                      <w:lang w:val="en-US" w:eastAsia="zh-CN" w:bidi="ar"/>
                    </w:rPr>
                    <w:t>正电子</w:t>
                  </w:r>
                  <w:r>
                    <w:rPr>
                      <w:bCs/>
                      <w:sz w:val="21"/>
                      <w:szCs w:val="21"/>
                      <w:lang w:bidi="ar"/>
                    </w:rPr>
                    <w:t>药物</w:t>
                  </w:r>
                </w:p>
              </w:tc>
              <w:tc>
                <w:tcPr>
                  <w:tcW w:w="1564" w:type="pct"/>
                  <w:vAlign w:val="center"/>
                </w:tcPr>
                <w:p w14:paraId="553FE3C3">
                  <w:pPr>
                    <w:spacing w:line="360" w:lineRule="exact"/>
                    <w:jc w:val="center"/>
                    <w:rPr>
                      <w:bCs/>
                      <w:sz w:val="21"/>
                      <w:szCs w:val="21"/>
                      <w:lang w:bidi="ar"/>
                    </w:rPr>
                  </w:pPr>
                  <w:r>
                    <w:rPr>
                      <w:bCs/>
                      <w:sz w:val="21"/>
                      <w:szCs w:val="21"/>
                    </w:rPr>
                    <w:t>/</w:t>
                  </w:r>
                </w:p>
              </w:tc>
            </w:tr>
            <w:tr w14:paraId="2FC973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28247408">
                  <w:pPr>
                    <w:spacing w:line="360" w:lineRule="exact"/>
                    <w:jc w:val="center"/>
                    <w:rPr>
                      <w:rFonts w:hint="default" w:eastAsia="宋体"/>
                      <w:bCs/>
                      <w:sz w:val="21"/>
                      <w:szCs w:val="21"/>
                      <w:lang w:val="en-US" w:eastAsia="zh-CN"/>
                    </w:rPr>
                  </w:pPr>
                  <w:r>
                    <w:rPr>
                      <w:rFonts w:hint="eastAsia"/>
                      <w:bCs/>
                      <w:sz w:val="21"/>
                      <w:szCs w:val="21"/>
                      <w:lang w:val="en-US" w:eastAsia="zh-CN"/>
                    </w:rPr>
                    <w:t>ECT注射室</w:t>
                  </w:r>
                </w:p>
              </w:tc>
              <w:tc>
                <w:tcPr>
                  <w:tcW w:w="1876" w:type="pct"/>
                  <w:vAlign w:val="center"/>
                </w:tcPr>
                <w:p w14:paraId="15518BBB">
                  <w:pPr>
                    <w:spacing w:line="360" w:lineRule="exact"/>
                    <w:jc w:val="center"/>
                    <w:rPr>
                      <w:bCs/>
                      <w:sz w:val="21"/>
                      <w:szCs w:val="21"/>
                      <w:lang w:bidi="ar"/>
                    </w:rPr>
                  </w:pPr>
                  <w:r>
                    <w:rPr>
                      <w:bCs/>
                      <w:sz w:val="21"/>
                      <w:szCs w:val="21"/>
                      <w:lang w:bidi="ar"/>
                    </w:rPr>
                    <w:t>患者在此注射</w:t>
                  </w:r>
                  <w:r>
                    <w:rPr>
                      <w:rFonts w:hint="eastAsia"/>
                      <w:bCs/>
                      <w:sz w:val="21"/>
                      <w:szCs w:val="21"/>
                      <w:lang w:val="en-US" w:eastAsia="zh-CN" w:bidi="ar"/>
                    </w:rPr>
                    <w:t>单光子</w:t>
                  </w:r>
                  <w:r>
                    <w:rPr>
                      <w:bCs/>
                      <w:sz w:val="21"/>
                      <w:szCs w:val="21"/>
                      <w:lang w:bidi="ar"/>
                    </w:rPr>
                    <w:t>药物</w:t>
                  </w:r>
                </w:p>
              </w:tc>
              <w:tc>
                <w:tcPr>
                  <w:tcW w:w="1564" w:type="pct"/>
                  <w:vAlign w:val="center"/>
                </w:tcPr>
                <w:p w14:paraId="3166532B">
                  <w:pPr>
                    <w:spacing w:line="360" w:lineRule="exact"/>
                    <w:jc w:val="center"/>
                    <w:rPr>
                      <w:bCs/>
                      <w:sz w:val="21"/>
                      <w:szCs w:val="21"/>
                    </w:rPr>
                  </w:pPr>
                </w:p>
              </w:tc>
            </w:tr>
            <w:tr w14:paraId="3F996E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shd w:val="clear" w:color="auto" w:fill="auto"/>
                  <w:vAlign w:val="center"/>
                </w:tcPr>
                <w:p w14:paraId="2CBDA182">
                  <w:pPr>
                    <w:spacing w:line="360" w:lineRule="exact"/>
                    <w:jc w:val="center"/>
                    <w:rPr>
                      <w:rFonts w:hint="default" w:ascii="Times New Roman" w:hAnsi="Times New Roman" w:eastAsia="宋体" w:cs="Times New Roman"/>
                      <w:bCs/>
                      <w:sz w:val="21"/>
                      <w:szCs w:val="21"/>
                      <w:lang w:val="en-US" w:eastAsia="zh-CN" w:bidi="ar"/>
                    </w:rPr>
                  </w:pPr>
                  <w:r>
                    <w:rPr>
                      <w:bCs/>
                      <w:sz w:val="21"/>
                      <w:szCs w:val="21"/>
                    </w:rPr>
                    <w:t>储源室</w:t>
                  </w:r>
                  <w:r>
                    <w:rPr>
                      <w:rFonts w:hint="eastAsia"/>
                      <w:bCs/>
                      <w:sz w:val="21"/>
                      <w:szCs w:val="21"/>
                      <w:lang w:val="en-US" w:eastAsia="zh-CN"/>
                    </w:rPr>
                    <w:t>1#</w:t>
                  </w:r>
                </w:p>
              </w:tc>
              <w:tc>
                <w:tcPr>
                  <w:tcW w:w="1876" w:type="pct"/>
                  <w:shd w:val="clear" w:color="auto" w:fill="auto"/>
                  <w:vAlign w:val="center"/>
                </w:tcPr>
                <w:p w14:paraId="7473599F">
                  <w:pPr>
                    <w:spacing w:line="360" w:lineRule="exact"/>
                    <w:jc w:val="center"/>
                    <w:rPr>
                      <w:rFonts w:ascii="Times New Roman" w:hAnsi="Times New Roman" w:eastAsia="宋体" w:cs="Times New Roman"/>
                      <w:bCs/>
                      <w:sz w:val="21"/>
                      <w:szCs w:val="21"/>
                      <w:lang w:val="en-US" w:eastAsia="zh-CN" w:bidi="ar"/>
                    </w:rPr>
                  </w:pPr>
                  <w:r>
                    <w:rPr>
                      <w:bCs/>
                      <w:sz w:val="21"/>
                      <w:szCs w:val="21"/>
                      <w:vertAlign w:val="superscript"/>
                    </w:rPr>
                    <w:t>18</w:t>
                  </w:r>
                  <w:r>
                    <w:rPr>
                      <w:bCs/>
                      <w:sz w:val="21"/>
                      <w:szCs w:val="21"/>
                    </w:rPr>
                    <w:t>F、</w:t>
                  </w:r>
                  <w:r>
                    <w:rPr>
                      <w:bCs/>
                      <w:sz w:val="21"/>
                      <w:szCs w:val="21"/>
                      <w:vertAlign w:val="superscript"/>
                    </w:rPr>
                    <w:t>68</w:t>
                  </w:r>
                  <w:r>
                    <w:rPr>
                      <w:bCs/>
                      <w:sz w:val="21"/>
                      <w:szCs w:val="21"/>
                    </w:rPr>
                    <w:t>Ga、</w:t>
                  </w:r>
                  <w:r>
                    <w:rPr>
                      <w:rFonts w:hint="default" w:ascii="Times New Roman" w:hAnsi="Times New Roman" w:eastAsia="宋体" w:cs="Times New Roman"/>
                      <w:bCs/>
                      <w:spacing w:val="-6"/>
                      <w:sz w:val="21"/>
                      <w:szCs w:val="21"/>
                      <w:vertAlign w:val="superscript"/>
                      <w:lang w:bidi="ar"/>
                    </w:rPr>
                    <w:t>99m</w:t>
                  </w:r>
                  <w:r>
                    <w:rPr>
                      <w:rFonts w:hint="default" w:ascii="Times New Roman" w:hAnsi="Times New Roman" w:eastAsia="宋体" w:cs="Times New Roman"/>
                      <w:bCs/>
                      <w:spacing w:val="-6"/>
                      <w:sz w:val="21"/>
                      <w:szCs w:val="21"/>
                      <w:lang w:bidi="ar"/>
                    </w:rPr>
                    <w:t>Tc</w:t>
                  </w:r>
                  <w:r>
                    <w:rPr>
                      <w:rFonts w:hint="eastAsia" w:cs="Times New Roman"/>
                      <w:bCs/>
                      <w:spacing w:val="-6"/>
                      <w:sz w:val="21"/>
                      <w:szCs w:val="21"/>
                      <w:lang w:eastAsia="zh-CN" w:bidi="ar"/>
                    </w:rPr>
                    <w:t>、</w:t>
                  </w:r>
                  <w:r>
                    <w:rPr>
                      <w:rFonts w:hint="eastAsia"/>
                      <w:bCs/>
                      <w:sz w:val="21"/>
                      <w:szCs w:val="21"/>
                      <w:vertAlign w:val="superscript"/>
                      <w:lang w:val="en-US" w:eastAsia="zh-CN"/>
                    </w:rPr>
                    <w:t>32</w:t>
                  </w:r>
                  <w:r>
                    <w:rPr>
                      <w:rFonts w:hint="eastAsia"/>
                      <w:bCs/>
                      <w:sz w:val="21"/>
                      <w:szCs w:val="21"/>
                      <w:lang w:val="en-US" w:eastAsia="zh-CN"/>
                    </w:rPr>
                    <w:t>P</w:t>
                  </w:r>
                  <w:r>
                    <w:rPr>
                      <w:bCs/>
                      <w:sz w:val="21"/>
                      <w:szCs w:val="21"/>
                    </w:rPr>
                    <w:t>放射性药物的存放场所</w:t>
                  </w:r>
                </w:p>
              </w:tc>
              <w:tc>
                <w:tcPr>
                  <w:tcW w:w="1564" w:type="pct"/>
                  <w:vAlign w:val="center"/>
                </w:tcPr>
                <w:p w14:paraId="26F97E31">
                  <w:pPr>
                    <w:spacing w:line="360" w:lineRule="exact"/>
                    <w:jc w:val="center"/>
                    <w:rPr>
                      <w:bCs/>
                      <w:sz w:val="21"/>
                      <w:szCs w:val="21"/>
                    </w:rPr>
                  </w:pPr>
                </w:p>
              </w:tc>
            </w:tr>
            <w:tr w14:paraId="514849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1559" w:type="pct"/>
                  <w:shd w:val="clear" w:color="auto" w:fill="auto"/>
                  <w:vAlign w:val="center"/>
                </w:tcPr>
                <w:p w14:paraId="2D8B5904">
                  <w:pPr>
                    <w:spacing w:line="360" w:lineRule="exact"/>
                    <w:jc w:val="center"/>
                    <w:rPr>
                      <w:rFonts w:hint="default" w:ascii="Times New Roman" w:hAnsi="Times New Roman" w:eastAsia="宋体" w:cs="Times New Roman"/>
                      <w:bCs/>
                      <w:sz w:val="21"/>
                      <w:szCs w:val="21"/>
                      <w:lang w:val="en-US" w:eastAsia="zh-CN" w:bidi="ar"/>
                    </w:rPr>
                  </w:pPr>
                  <w:r>
                    <w:rPr>
                      <w:bCs/>
                      <w:sz w:val="21"/>
                      <w:szCs w:val="21"/>
                    </w:rPr>
                    <w:t>放废暂存间</w:t>
                  </w:r>
                </w:p>
              </w:tc>
              <w:tc>
                <w:tcPr>
                  <w:tcW w:w="1876" w:type="pct"/>
                  <w:shd w:val="clear" w:color="auto" w:fill="auto"/>
                  <w:vAlign w:val="center"/>
                </w:tcPr>
                <w:p w14:paraId="55E2B748">
                  <w:pPr>
                    <w:spacing w:line="360" w:lineRule="exact"/>
                    <w:jc w:val="center"/>
                    <w:rPr>
                      <w:rFonts w:ascii="Times New Roman" w:hAnsi="Times New Roman" w:eastAsia="宋体" w:cs="Times New Roman"/>
                      <w:bCs/>
                      <w:sz w:val="21"/>
                      <w:szCs w:val="21"/>
                      <w:lang w:val="en-US" w:eastAsia="zh-CN" w:bidi="ar"/>
                    </w:rPr>
                  </w:pPr>
                  <w:r>
                    <w:rPr>
                      <w:bCs/>
                      <w:sz w:val="21"/>
                      <w:szCs w:val="21"/>
                    </w:rPr>
                    <w:t>放射性废物的暂存场所</w:t>
                  </w:r>
                </w:p>
              </w:tc>
              <w:tc>
                <w:tcPr>
                  <w:tcW w:w="1564" w:type="pct"/>
                  <w:vAlign w:val="center"/>
                </w:tcPr>
                <w:p w14:paraId="759E3446">
                  <w:pPr>
                    <w:spacing w:line="360" w:lineRule="exact"/>
                    <w:jc w:val="center"/>
                    <w:rPr>
                      <w:bCs/>
                      <w:sz w:val="21"/>
                      <w:szCs w:val="21"/>
                      <w:lang w:bidi="ar"/>
                    </w:rPr>
                  </w:pPr>
                  <w:r>
                    <w:rPr>
                      <w:bCs/>
                      <w:sz w:val="21"/>
                      <w:szCs w:val="21"/>
                    </w:rPr>
                    <w:t>/</w:t>
                  </w:r>
                </w:p>
              </w:tc>
            </w:tr>
            <w:tr w14:paraId="07DEC4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5D3B9F2F">
                  <w:pPr>
                    <w:spacing w:line="360" w:lineRule="exact"/>
                    <w:jc w:val="center"/>
                    <w:rPr>
                      <w:rFonts w:hint="eastAsia" w:eastAsia="宋体"/>
                      <w:bCs/>
                      <w:sz w:val="21"/>
                      <w:szCs w:val="21"/>
                      <w:lang w:val="en-US" w:eastAsia="zh-CN" w:bidi="ar"/>
                    </w:rPr>
                  </w:pPr>
                  <w:r>
                    <w:rPr>
                      <w:rFonts w:hint="eastAsia"/>
                      <w:bCs/>
                      <w:sz w:val="21"/>
                      <w:szCs w:val="21"/>
                      <w:lang w:val="en-US" w:eastAsia="zh-CN" w:bidi="ar"/>
                    </w:rPr>
                    <w:t>敷贴室（1#、2#）</w:t>
                  </w:r>
                </w:p>
              </w:tc>
              <w:tc>
                <w:tcPr>
                  <w:tcW w:w="1876" w:type="pct"/>
                  <w:vAlign w:val="center"/>
                </w:tcPr>
                <w:p w14:paraId="5356C7E8">
                  <w:pPr>
                    <w:spacing w:line="360" w:lineRule="exact"/>
                    <w:jc w:val="center"/>
                    <w:rPr>
                      <w:rFonts w:hint="default" w:eastAsia="宋体"/>
                      <w:bCs/>
                      <w:sz w:val="21"/>
                      <w:szCs w:val="21"/>
                      <w:lang w:val="en-US" w:eastAsia="zh-CN" w:bidi="ar"/>
                    </w:rPr>
                  </w:pPr>
                  <w:r>
                    <w:rPr>
                      <w:rFonts w:hint="eastAsia"/>
                      <w:bCs/>
                      <w:sz w:val="21"/>
                      <w:szCs w:val="21"/>
                      <w:lang w:val="en-US" w:eastAsia="zh-CN" w:bidi="ar"/>
                    </w:rPr>
                    <w:t>患者在此接受敷贴治疗</w:t>
                  </w:r>
                </w:p>
              </w:tc>
              <w:tc>
                <w:tcPr>
                  <w:tcW w:w="1564" w:type="pct"/>
                  <w:vAlign w:val="center"/>
                </w:tcPr>
                <w:p w14:paraId="433FF675">
                  <w:pPr>
                    <w:spacing w:line="360" w:lineRule="exact"/>
                    <w:jc w:val="center"/>
                    <w:rPr>
                      <w:bCs/>
                      <w:sz w:val="21"/>
                      <w:szCs w:val="21"/>
                      <w:lang w:bidi="ar"/>
                    </w:rPr>
                  </w:pPr>
                  <w:r>
                    <w:rPr>
                      <w:bCs/>
                      <w:sz w:val="21"/>
                      <w:szCs w:val="21"/>
                    </w:rPr>
                    <w:t>/</w:t>
                  </w:r>
                </w:p>
              </w:tc>
            </w:tr>
            <w:tr w14:paraId="60E2F2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709C3E30">
                  <w:pPr>
                    <w:spacing w:line="360" w:lineRule="exact"/>
                    <w:jc w:val="center"/>
                    <w:rPr>
                      <w:rFonts w:hint="default"/>
                      <w:bCs/>
                      <w:sz w:val="21"/>
                      <w:szCs w:val="21"/>
                      <w:lang w:val="en-US" w:eastAsia="zh-CN" w:bidi="ar"/>
                    </w:rPr>
                  </w:pPr>
                  <w:r>
                    <w:rPr>
                      <w:rFonts w:hint="eastAsia"/>
                      <w:bCs/>
                      <w:sz w:val="21"/>
                      <w:szCs w:val="21"/>
                      <w:lang w:val="en-US" w:eastAsia="zh-CN" w:bidi="ar"/>
                    </w:rPr>
                    <w:t>甲功室</w:t>
                  </w:r>
                </w:p>
              </w:tc>
              <w:tc>
                <w:tcPr>
                  <w:tcW w:w="1876" w:type="pct"/>
                  <w:vAlign w:val="center"/>
                </w:tcPr>
                <w:p w14:paraId="78C73C3C">
                  <w:pPr>
                    <w:spacing w:line="360" w:lineRule="exact"/>
                    <w:jc w:val="center"/>
                    <w:rPr>
                      <w:rFonts w:hint="eastAsia"/>
                      <w:bCs/>
                      <w:sz w:val="21"/>
                      <w:szCs w:val="21"/>
                      <w:lang w:val="en-US" w:eastAsia="zh-CN" w:bidi="ar"/>
                    </w:rPr>
                  </w:pPr>
                  <w:r>
                    <w:rPr>
                      <w:rFonts w:hint="eastAsia"/>
                      <w:bCs/>
                      <w:sz w:val="21"/>
                      <w:szCs w:val="21"/>
                      <w:lang w:val="en-US" w:eastAsia="zh-CN" w:bidi="ar"/>
                    </w:rPr>
                    <w:t>患者在此接受进行甲吸检查</w:t>
                  </w:r>
                </w:p>
              </w:tc>
              <w:tc>
                <w:tcPr>
                  <w:tcW w:w="1564" w:type="pct"/>
                  <w:vAlign w:val="center"/>
                </w:tcPr>
                <w:p w14:paraId="6F46899F">
                  <w:pPr>
                    <w:spacing w:line="360" w:lineRule="exact"/>
                    <w:jc w:val="center"/>
                    <w:rPr>
                      <w:rFonts w:hint="eastAsia" w:eastAsia="宋体"/>
                      <w:bCs/>
                      <w:sz w:val="21"/>
                      <w:szCs w:val="21"/>
                      <w:lang w:val="en-US" w:eastAsia="zh-CN"/>
                    </w:rPr>
                  </w:pPr>
                  <w:r>
                    <w:rPr>
                      <w:rFonts w:hint="eastAsia"/>
                      <w:bCs/>
                      <w:sz w:val="21"/>
                      <w:szCs w:val="21"/>
                      <w:lang w:val="en-US" w:eastAsia="zh-CN"/>
                    </w:rPr>
                    <w:t>/</w:t>
                  </w:r>
                </w:p>
              </w:tc>
            </w:tr>
            <w:tr w14:paraId="37E610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083519C1">
                  <w:pPr>
                    <w:spacing w:line="360" w:lineRule="exact"/>
                    <w:jc w:val="center"/>
                    <w:rPr>
                      <w:bCs/>
                      <w:sz w:val="21"/>
                      <w:szCs w:val="21"/>
                      <w:lang w:bidi="ar"/>
                    </w:rPr>
                  </w:pPr>
                  <w:r>
                    <w:rPr>
                      <w:bCs/>
                      <w:sz w:val="21"/>
                      <w:szCs w:val="21"/>
                    </w:rPr>
                    <w:t>PET/CT机房</w:t>
                  </w:r>
                </w:p>
              </w:tc>
              <w:tc>
                <w:tcPr>
                  <w:tcW w:w="1876" w:type="pct"/>
                  <w:vAlign w:val="center"/>
                </w:tcPr>
                <w:p w14:paraId="7829C54C">
                  <w:pPr>
                    <w:spacing w:line="360" w:lineRule="exact"/>
                    <w:jc w:val="center"/>
                    <w:rPr>
                      <w:bCs/>
                      <w:sz w:val="21"/>
                      <w:szCs w:val="21"/>
                      <w:lang w:bidi="ar"/>
                    </w:rPr>
                  </w:pPr>
                  <w:r>
                    <w:rPr>
                      <w:rFonts w:hint="eastAsia"/>
                      <w:bCs/>
                      <w:sz w:val="21"/>
                      <w:szCs w:val="21"/>
                      <w:lang w:val="en-US" w:eastAsia="zh-CN" w:bidi="ar"/>
                    </w:rPr>
                    <w:t>正电子</w:t>
                  </w:r>
                  <w:r>
                    <w:rPr>
                      <w:bCs/>
                      <w:sz w:val="21"/>
                      <w:szCs w:val="21"/>
                      <w:lang w:bidi="ar"/>
                    </w:rPr>
                    <w:t>给药后患者在此接受检查</w:t>
                  </w:r>
                </w:p>
              </w:tc>
              <w:tc>
                <w:tcPr>
                  <w:tcW w:w="1564" w:type="pct"/>
                  <w:vAlign w:val="center"/>
                </w:tcPr>
                <w:p w14:paraId="7582D9AF">
                  <w:pPr>
                    <w:spacing w:line="360" w:lineRule="exact"/>
                    <w:jc w:val="center"/>
                    <w:rPr>
                      <w:bCs/>
                      <w:sz w:val="21"/>
                      <w:szCs w:val="21"/>
                      <w:lang w:bidi="ar"/>
                    </w:rPr>
                  </w:pPr>
                  <w:r>
                    <w:rPr>
                      <w:bCs/>
                      <w:sz w:val="21"/>
                      <w:szCs w:val="21"/>
                      <w:lang w:bidi="ar"/>
                    </w:rPr>
                    <w:t>机房</w:t>
                  </w:r>
                  <w:r>
                    <w:rPr>
                      <w:rFonts w:hint="eastAsia"/>
                      <w:bCs/>
                      <w:sz w:val="21"/>
                      <w:szCs w:val="21"/>
                      <w:lang w:val="en-US" w:eastAsia="zh-CN" w:bidi="ar"/>
                    </w:rPr>
                    <w:t>内</w:t>
                  </w:r>
                  <w:r>
                    <w:rPr>
                      <w:bCs/>
                      <w:sz w:val="21"/>
                      <w:szCs w:val="21"/>
                      <w:lang w:bidi="ar"/>
                    </w:rPr>
                    <w:t>配置1台140kV、900mA的PET/CT</w:t>
                  </w:r>
                </w:p>
              </w:tc>
            </w:tr>
            <w:tr w14:paraId="3213E5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100577B7">
                  <w:pPr>
                    <w:spacing w:line="360" w:lineRule="exact"/>
                    <w:jc w:val="center"/>
                    <w:rPr>
                      <w:bCs/>
                      <w:sz w:val="21"/>
                      <w:szCs w:val="21"/>
                      <w:lang w:bidi="ar"/>
                    </w:rPr>
                  </w:pPr>
                  <w:r>
                    <w:rPr>
                      <w:rFonts w:hint="eastAsia"/>
                      <w:bCs/>
                      <w:sz w:val="21"/>
                      <w:szCs w:val="21"/>
                      <w:lang w:val="en-US" w:eastAsia="zh-CN"/>
                    </w:rPr>
                    <w:t>S</w:t>
                  </w:r>
                  <w:r>
                    <w:rPr>
                      <w:bCs/>
                      <w:sz w:val="21"/>
                      <w:szCs w:val="21"/>
                    </w:rPr>
                    <w:t>PE</w:t>
                  </w:r>
                  <w:r>
                    <w:rPr>
                      <w:rFonts w:hint="eastAsia"/>
                      <w:bCs/>
                      <w:sz w:val="21"/>
                      <w:szCs w:val="21"/>
                      <w:lang w:val="en-US" w:eastAsia="zh-CN"/>
                    </w:rPr>
                    <w:t>C</w:t>
                  </w:r>
                  <w:r>
                    <w:rPr>
                      <w:bCs/>
                      <w:sz w:val="21"/>
                      <w:szCs w:val="21"/>
                    </w:rPr>
                    <w:t>T/</w:t>
                  </w:r>
                  <w:r>
                    <w:rPr>
                      <w:rFonts w:hint="eastAsia"/>
                      <w:bCs/>
                      <w:sz w:val="21"/>
                      <w:szCs w:val="21"/>
                      <w:lang w:val="en-US" w:eastAsia="zh-CN"/>
                    </w:rPr>
                    <w:t>CT</w:t>
                  </w:r>
                  <w:r>
                    <w:rPr>
                      <w:bCs/>
                      <w:sz w:val="21"/>
                      <w:szCs w:val="21"/>
                    </w:rPr>
                    <w:t>机房</w:t>
                  </w:r>
                </w:p>
              </w:tc>
              <w:tc>
                <w:tcPr>
                  <w:tcW w:w="1876" w:type="pct"/>
                  <w:vAlign w:val="center"/>
                </w:tcPr>
                <w:p w14:paraId="3CCE6406">
                  <w:pPr>
                    <w:spacing w:line="360" w:lineRule="exact"/>
                    <w:jc w:val="center"/>
                    <w:rPr>
                      <w:bCs/>
                      <w:sz w:val="21"/>
                      <w:szCs w:val="21"/>
                      <w:lang w:bidi="ar"/>
                    </w:rPr>
                  </w:pPr>
                  <w:r>
                    <w:rPr>
                      <w:rFonts w:hint="eastAsia"/>
                      <w:bCs/>
                      <w:sz w:val="21"/>
                      <w:szCs w:val="21"/>
                      <w:lang w:val="en-US" w:eastAsia="zh-CN" w:bidi="ar"/>
                    </w:rPr>
                    <w:t>单光子</w:t>
                  </w:r>
                  <w:r>
                    <w:rPr>
                      <w:bCs/>
                      <w:sz w:val="21"/>
                      <w:szCs w:val="21"/>
                      <w:lang w:bidi="ar"/>
                    </w:rPr>
                    <w:t>给药后患者在此接受检查</w:t>
                  </w:r>
                </w:p>
              </w:tc>
              <w:tc>
                <w:tcPr>
                  <w:tcW w:w="1564" w:type="pct"/>
                  <w:vAlign w:val="center"/>
                </w:tcPr>
                <w:p w14:paraId="54E00B07">
                  <w:pPr>
                    <w:spacing w:line="360" w:lineRule="exact"/>
                    <w:jc w:val="center"/>
                    <w:rPr>
                      <w:bCs/>
                      <w:sz w:val="21"/>
                      <w:szCs w:val="21"/>
                      <w:lang w:bidi="ar"/>
                    </w:rPr>
                  </w:pPr>
                  <w:r>
                    <w:rPr>
                      <w:bCs/>
                      <w:sz w:val="21"/>
                      <w:szCs w:val="21"/>
                      <w:lang w:bidi="ar"/>
                    </w:rPr>
                    <w:t>机房</w:t>
                  </w:r>
                  <w:r>
                    <w:rPr>
                      <w:rFonts w:hint="eastAsia"/>
                      <w:bCs/>
                      <w:sz w:val="21"/>
                      <w:szCs w:val="21"/>
                      <w:lang w:val="en-US" w:eastAsia="zh-CN" w:bidi="ar"/>
                    </w:rPr>
                    <w:t>内</w:t>
                  </w:r>
                  <w:r>
                    <w:rPr>
                      <w:bCs/>
                      <w:sz w:val="21"/>
                      <w:szCs w:val="21"/>
                      <w:lang w:bidi="ar"/>
                    </w:rPr>
                    <w:t>配置1台140kV、900mA的</w:t>
                  </w:r>
                  <w:r>
                    <w:rPr>
                      <w:rFonts w:hint="eastAsia"/>
                      <w:bCs/>
                      <w:sz w:val="21"/>
                      <w:szCs w:val="21"/>
                      <w:lang w:val="en-US" w:eastAsia="zh-CN" w:bidi="ar"/>
                    </w:rPr>
                    <w:t>S</w:t>
                  </w:r>
                  <w:r>
                    <w:rPr>
                      <w:bCs/>
                      <w:sz w:val="21"/>
                      <w:szCs w:val="21"/>
                      <w:lang w:bidi="ar"/>
                    </w:rPr>
                    <w:t>PE</w:t>
                  </w:r>
                  <w:r>
                    <w:rPr>
                      <w:rFonts w:hint="eastAsia"/>
                      <w:bCs/>
                      <w:sz w:val="21"/>
                      <w:szCs w:val="21"/>
                      <w:lang w:val="en-US" w:eastAsia="zh-CN" w:bidi="ar"/>
                    </w:rPr>
                    <w:t>C</w:t>
                  </w:r>
                  <w:r>
                    <w:rPr>
                      <w:bCs/>
                      <w:sz w:val="21"/>
                      <w:szCs w:val="21"/>
                      <w:lang w:bidi="ar"/>
                    </w:rPr>
                    <w:t>T/CT</w:t>
                  </w:r>
                </w:p>
              </w:tc>
            </w:tr>
            <w:tr w14:paraId="04EC7A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463C89C0">
                  <w:pPr>
                    <w:spacing w:line="360" w:lineRule="exact"/>
                    <w:jc w:val="center"/>
                    <w:rPr>
                      <w:rFonts w:hint="default"/>
                      <w:bCs/>
                      <w:sz w:val="21"/>
                      <w:szCs w:val="21"/>
                      <w:lang w:val="en-US" w:eastAsia="zh-CN"/>
                    </w:rPr>
                  </w:pPr>
                  <w:r>
                    <w:rPr>
                      <w:rFonts w:hint="eastAsia"/>
                      <w:bCs/>
                      <w:sz w:val="21"/>
                      <w:szCs w:val="21"/>
                      <w:lang w:val="en-US" w:eastAsia="zh-CN"/>
                    </w:rPr>
                    <w:t>PET</w:t>
                  </w:r>
                  <w:r>
                    <w:rPr>
                      <w:bCs/>
                      <w:sz w:val="21"/>
                      <w:szCs w:val="21"/>
                    </w:rPr>
                    <w:t>注射后等候室</w:t>
                  </w:r>
                </w:p>
              </w:tc>
              <w:tc>
                <w:tcPr>
                  <w:tcW w:w="1876" w:type="pct"/>
                  <w:vAlign w:val="center"/>
                </w:tcPr>
                <w:p w14:paraId="738F6E11">
                  <w:pPr>
                    <w:spacing w:line="360" w:lineRule="exact"/>
                    <w:jc w:val="center"/>
                    <w:rPr>
                      <w:rFonts w:hint="eastAsia"/>
                      <w:bCs/>
                      <w:sz w:val="21"/>
                      <w:szCs w:val="21"/>
                      <w:lang w:val="en-US" w:eastAsia="zh-CN" w:bidi="ar"/>
                    </w:rPr>
                  </w:pPr>
                  <w:r>
                    <w:rPr>
                      <w:rFonts w:hint="eastAsia"/>
                      <w:bCs/>
                      <w:sz w:val="21"/>
                      <w:szCs w:val="21"/>
                      <w:lang w:val="en-US" w:eastAsia="zh-CN" w:bidi="ar"/>
                    </w:rPr>
                    <w:t>正电子</w:t>
                  </w:r>
                  <w:r>
                    <w:rPr>
                      <w:bCs/>
                      <w:sz w:val="21"/>
                      <w:szCs w:val="21"/>
                      <w:lang w:bidi="ar"/>
                    </w:rPr>
                    <w:t>给药后患者在此等候检查</w:t>
                  </w:r>
                </w:p>
              </w:tc>
              <w:tc>
                <w:tcPr>
                  <w:tcW w:w="1564" w:type="pct"/>
                  <w:vAlign w:val="center"/>
                </w:tcPr>
                <w:p w14:paraId="10F4E203">
                  <w:pPr>
                    <w:spacing w:line="360" w:lineRule="exact"/>
                    <w:jc w:val="center"/>
                    <w:rPr>
                      <w:bCs/>
                      <w:sz w:val="21"/>
                      <w:szCs w:val="21"/>
                      <w:lang w:bidi="ar"/>
                    </w:rPr>
                  </w:pPr>
                </w:p>
              </w:tc>
            </w:tr>
            <w:tr w14:paraId="3F108A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6C2B2415">
                  <w:pPr>
                    <w:spacing w:line="360" w:lineRule="exact"/>
                    <w:jc w:val="center"/>
                    <w:rPr>
                      <w:rFonts w:hint="default"/>
                      <w:bCs/>
                      <w:sz w:val="21"/>
                      <w:szCs w:val="21"/>
                      <w:lang w:val="en-US" w:eastAsia="zh-CN"/>
                    </w:rPr>
                  </w:pPr>
                  <w:r>
                    <w:rPr>
                      <w:rFonts w:hint="eastAsia"/>
                      <w:bCs/>
                      <w:sz w:val="21"/>
                      <w:szCs w:val="21"/>
                      <w:lang w:val="en-US" w:eastAsia="zh-CN"/>
                    </w:rPr>
                    <w:t>ECT</w:t>
                  </w:r>
                  <w:r>
                    <w:rPr>
                      <w:bCs/>
                      <w:sz w:val="21"/>
                      <w:szCs w:val="21"/>
                    </w:rPr>
                    <w:t>注射后等候室</w:t>
                  </w:r>
                </w:p>
              </w:tc>
              <w:tc>
                <w:tcPr>
                  <w:tcW w:w="1876" w:type="pct"/>
                  <w:vAlign w:val="center"/>
                </w:tcPr>
                <w:p w14:paraId="4D18E145">
                  <w:pPr>
                    <w:spacing w:line="360" w:lineRule="exact"/>
                    <w:jc w:val="center"/>
                    <w:rPr>
                      <w:rFonts w:hint="eastAsia"/>
                      <w:bCs/>
                      <w:sz w:val="21"/>
                      <w:szCs w:val="21"/>
                      <w:lang w:val="en-US" w:eastAsia="zh-CN" w:bidi="ar"/>
                    </w:rPr>
                  </w:pPr>
                  <w:r>
                    <w:rPr>
                      <w:rFonts w:hint="eastAsia"/>
                      <w:bCs/>
                      <w:sz w:val="21"/>
                      <w:szCs w:val="21"/>
                      <w:lang w:val="en-US" w:eastAsia="zh-CN" w:bidi="ar"/>
                    </w:rPr>
                    <w:t>单光子</w:t>
                  </w:r>
                  <w:r>
                    <w:rPr>
                      <w:bCs/>
                      <w:sz w:val="21"/>
                      <w:szCs w:val="21"/>
                      <w:lang w:bidi="ar"/>
                    </w:rPr>
                    <w:t>给药后患者在此等候检查</w:t>
                  </w:r>
                </w:p>
              </w:tc>
              <w:tc>
                <w:tcPr>
                  <w:tcW w:w="1564" w:type="pct"/>
                  <w:vAlign w:val="center"/>
                </w:tcPr>
                <w:p w14:paraId="0BAA148E">
                  <w:pPr>
                    <w:spacing w:line="360" w:lineRule="exact"/>
                    <w:jc w:val="center"/>
                    <w:rPr>
                      <w:bCs/>
                      <w:sz w:val="21"/>
                      <w:szCs w:val="21"/>
                      <w:lang w:bidi="ar"/>
                    </w:rPr>
                  </w:pPr>
                </w:p>
              </w:tc>
            </w:tr>
            <w:tr w14:paraId="6FF8CC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404552EC">
                  <w:pPr>
                    <w:spacing w:line="360" w:lineRule="exact"/>
                    <w:jc w:val="center"/>
                    <w:rPr>
                      <w:rFonts w:hint="eastAsia" w:eastAsia="宋体"/>
                      <w:bCs/>
                      <w:sz w:val="21"/>
                      <w:szCs w:val="21"/>
                      <w:lang w:eastAsia="zh-CN" w:bidi="ar"/>
                    </w:rPr>
                  </w:pPr>
                  <w:r>
                    <w:rPr>
                      <w:rFonts w:hint="eastAsia"/>
                      <w:bCs/>
                      <w:sz w:val="21"/>
                      <w:szCs w:val="21"/>
                      <w:lang w:val="en-US" w:eastAsia="zh-CN"/>
                    </w:rPr>
                    <w:t>抢救室</w:t>
                  </w:r>
                </w:p>
              </w:tc>
              <w:tc>
                <w:tcPr>
                  <w:tcW w:w="1876" w:type="pct"/>
                  <w:vAlign w:val="center"/>
                </w:tcPr>
                <w:p w14:paraId="3E8AEF5E">
                  <w:pPr>
                    <w:spacing w:line="360" w:lineRule="exact"/>
                    <w:jc w:val="center"/>
                    <w:rPr>
                      <w:bCs/>
                      <w:sz w:val="21"/>
                      <w:szCs w:val="21"/>
                      <w:lang w:bidi="ar"/>
                    </w:rPr>
                  </w:pPr>
                  <w:r>
                    <w:rPr>
                      <w:bCs/>
                      <w:sz w:val="21"/>
                      <w:szCs w:val="21"/>
                      <w:lang w:bidi="ar"/>
                    </w:rPr>
                    <w:t>如有意外时，可在此进行患者的紧急处理</w:t>
                  </w:r>
                </w:p>
              </w:tc>
              <w:tc>
                <w:tcPr>
                  <w:tcW w:w="1564" w:type="pct"/>
                  <w:vAlign w:val="center"/>
                </w:tcPr>
                <w:p w14:paraId="13433395">
                  <w:pPr>
                    <w:spacing w:line="360" w:lineRule="exact"/>
                    <w:jc w:val="center"/>
                    <w:rPr>
                      <w:bCs/>
                      <w:sz w:val="21"/>
                      <w:szCs w:val="21"/>
                      <w:lang w:bidi="ar"/>
                    </w:rPr>
                  </w:pPr>
                </w:p>
                <w:p w14:paraId="6A262491">
                  <w:pPr>
                    <w:spacing w:line="360" w:lineRule="exact"/>
                    <w:jc w:val="center"/>
                    <w:rPr>
                      <w:bCs/>
                      <w:sz w:val="21"/>
                      <w:szCs w:val="21"/>
                      <w:lang w:bidi="ar"/>
                    </w:rPr>
                  </w:pPr>
                </w:p>
              </w:tc>
            </w:tr>
            <w:tr w14:paraId="2B4602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shd w:val="clear" w:color="auto" w:fill="auto"/>
                  <w:vAlign w:val="center"/>
                </w:tcPr>
                <w:p w14:paraId="78421EDA">
                  <w:pPr>
                    <w:spacing w:line="360" w:lineRule="exact"/>
                    <w:jc w:val="center"/>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PET</w:t>
                  </w:r>
                  <w:r>
                    <w:rPr>
                      <w:bCs/>
                      <w:sz w:val="21"/>
                      <w:szCs w:val="21"/>
                    </w:rPr>
                    <w:t>留观室</w:t>
                  </w:r>
                </w:p>
              </w:tc>
              <w:tc>
                <w:tcPr>
                  <w:tcW w:w="1876" w:type="pct"/>
                  <w:shd w:val="clear" w:color="auto" w:fill="auto"/>
                  <w:vAlign w:val="center"/>
                </w:tcPr>
                <w:p w14:paraId="0E9553A0">
                  <w:pPr>
                    <w:spacing w:line="360" w:lineRule="exact"/>
                    <w:jc w:val="center"/>
                    <w:rPr>
                      <w:rFonts w:hint="eastAsia" w:ascii="Times New Roman" w:hAnsi="Times New Roman" w:eastAsia="宋体" w:cs="Times New Roman"/>
                      <w:bCs/>
                      <w:sz w:val="21"/>
                      <w:szCs w:val="21"/>
                      <w:lang w:val="en-US" w:eastAsia="zh-CN" w:bidi="ar"/>
                    </w:rPr>
                  </w:pPr>
                  <w:r>
                    <w:rPr>
                      <w:rFonts w:hint="eastAsia"/>
                      <w:bCs/>
                      <w:sz w:val="21"/>
                      <w:szCs w:val="21"/>
                      <w:lang w:val="en-US" w:eastAsia="zh-CN" w:bidi="ar"/>
                    </w:rPr>
                    <w:t>正电子</w:t>
                  </w:r>
                  <w:r>
                    <w:rPr>
                      <w:bCs/>
                      <w:sz w:val="21"/>
                      <w:szCs w:val="21"/>
                      <w:lang w:bidi="ar"/>
                    </w:rPr>
                    <w:t>检查后的患者在此留观</w:t>
                  </w:r>
                </w:p>
              </w:tc>
              <w:tc>
                <w:tcPr>
                  <w:tcW w:w="1564" w:type="pct"/>
                  <w:vAlign w:val="center"/>
                </w:tcPr>
                <w:p w14:paraId="63EE728E">
                  <w:pPr>
                    <w:spacing w:line="360" w:lineRule="exact"/>
                    <w:jc w:val="center"/>
                    <w:rPr>
                      <w:bCs/>
                      <w:sz w:val="21"/>
                      <w:szCs w:val="21"/>
                      <w:lang w:bidi="ar"/>
                    </w:rPr>
                  </w:pPr>
                </w:p>
              </w:tc>
            </w:tr>
            <w:tr w14:paraId="400FBA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shd w:val="clear" w:color="auto" w:fill="auto"/>
                  <w:vAlign w:val="center"/>
                </w:tcPr>
                <w:p w14:paraId="6B764DDA">
                  <w:pPr>
                    <w:spacing w:line="360" w:lineRule="exact"/>
                    <w:jc w:val="center"/>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ECT</w:t>
                  </w:r>
                  <w:r>
                    <w:rPr>
                      <w:bCs/>
                      <w:sz w:val="21"/>
                      <w:szCs w:val="21"/>
                    </w:rPr>
                    <w:t>留观室</w:t>
                  </w:r>
                </w:p>
              </w:tc>
              <w:tc>
                <w:tcPr>
                  <w:tcW w:w="1876" w:type="pct"/>
                  <w:shd w:val="clear" w:color="auto" w:fill="auto"/>
                  <w:vAlign w:val="center"/>
                </w:tcPr>
                <w:p w14:paraId="2EF04CE9">
                  <w:pPr>
                    <w:spacing w:line="360" w:lineRule="exact"/>
                    <w:jc w:val="center"/>
                    <w:rPr>
                      <w:rFonts w:hint="eastAsia" w:ascii="Times New Roman" w:hAnsi="Times New Roman" w:eastAsia="宋体" w:cs="Times New Roman"/>
                      <w:bCs/>
                      <w:sz w:val="21"/>
                      <w:szCs w:val="21"/>
                      <w:lang w:val="en-US" w:eastAsia="zh-CN" w:bidi="ar"/>
                    </w:rPr>
                  </w:pPr>
                  <w:r>
                    <w:rPr>
                      <w:rFonts w:hint="eastAsia"/>
                      <w:bCs/>
                      <w:sz w:val="21"/>
                      <w:szCs w:val="21"/>
                      <w:lang w:val="en-US" w:eastAsia="zh-CN" w:bidi="ar"/>
                    </w:rPr>
                    <w:t>单光子</w:t>
                  </w:r>
                  <w:r>
                    <w:rPr>
                      <w:bCs/>
                      <w:sz w:val="21"/>
                      <w:szCs w:val="21"/>
                      <w:lang w:bidi="ar"/>
                    </w:rPr>
                    <w:t>检查后的患者在此留观</w:t>
                  </w:r>
                </w:p>
              </w:tc>
              <w:tc>
                <w:tcPr>
                  <w:tcW w:w="1564" w:type="pct"/>
                  <w:vAlign w:val="center"/>
                </w:tcPr>
                <w:p w14:paraId="5DF6DB37">
                  <w:pPr>
                    <w:spacing w:line="360" w:lineRule="exact"/>
                    <w:jc w:val="center"/>
                    <w:rPr>
                      <w:bCs/>
                      <w:sz w:val="21"/>
                      <w:szCs w:val="21"/>
                      <w:lang w:bidi="ar"/>
                    </w:rPr>
                  </w:pPr>
                </w:p>
              </w:tc>
            </w:tr>
            <w:tr w14:paraId="4E3944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36D7FA5A">
                  <w:pPr>
                    <w:spacing w:line="360" w:lineRule="exact"/>
                    <w:jc w:val="center"/>
                    <w:rPr>
                      <w:bCs/>
                      <w:sz w:val="21"/>
                      <w:szCs w:val="21"/>
                      <w:lang w:bidi="ar"/>
                    </w:rPr>
                  </w:pPr>
                  <w:r>
                    <w:rPr>
                      <w:rFonts w:hint="eastAsia"/>
                      <w:bCs/>
                      <w:sz w:val="21"/>
                      <w:szCs w:val="21"/>
                      <w:lang w:bidi="ar"/>
                    </w:rPr>
                    <w:t>Sr-89注射室</w:t>
                  </w:r>
                </w:p>
              </w:tc>
              <w:tc>
                <w:tcPr>
                  <w:tcW w:w="1876" w:type="pct"/>
                  <w:vAlign w:val="center"/>
                </w:tcPr>
                <w:p w14:paraId="16AC0DDD">
                  <w:pPr>
                    <w:spacing w:line="360" w:lineRule="exact"/>
                    <w:jc w:val="center"/>
                    <w:rPr>
                      <w:rFonts w:hint="default" w:eastAsia="宋体"/>
                      <w:bCs/>
                      <w:sz w:val="21"/>
                      <w:szCs w:val="21"/>
                      <w:lang w:val="en-US" w:eastAsia="zh-CN" w:bidi="ar"/>
                    </w:rPr>
                  </w:pPr>
                  <w:r>
                    <w:rPr>
                      <w:rFonts w:hint="eastAsia"/>
                      <w:bCs/>
                      <w:sz w:val="21"/>
                      <w:szCs w:val="21"/>
                      <w:lang w:val="en-US" w:eastAsia="zh-CN" w:bidi="ar"/>
                    </w:rPr>
                    <w:t>骨转移癌患者在此接受药物注射</w:t>
                  </w:r>
                </w:p>
              </w:tc>
              <w:tc>
                <w:tcPr>
                  <w:tcW w:w="1564" w:type="pct"/>
                  <w:vAlign w:val="center"/>
                </w:tcPr>
                <w:p w14:paraId="619C8F7B">
                  <w:pPr>
                    <w:spacing w:line="360" w:lineRule="exact"/>
                    <w:jc w:val="center"/>
                    <w:rPr>
                      <w:bCs/>
                      <w:sz w:val="21"/>
                      <w:szCs w:val="21"/>
                      <w:lang w:bidi="ar"/>
                    </w:rPr>
                  </w:pPr>
                </w:p>
              </w:tc>
            </w:tr>
            <w:tr w14:paraId="1C7685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28051410">
                  <w:pPr>
                    <w:spacing w:line="360" w:lineRule="exact"/>
                    <w:jc w:val="center"/>
                    <w:rPr>
                      <w:bCs/>
                      <w:sz w:val="21"/>
                      <w:szCs w:val="21"/>
                      <w:lang w:bidi="ar"/>
                    </w:rPr>
                  </w:pPr>
                  <w:r>
                    <w:rPr>
                      <w:rFonts w:hint="eastAsia"/>
                      <w:bCs/>
                      <w:sz w:val="21"/>
                      <w:szCs w:val="21"/>
                      <w:lang w:bidi="ar"/>
                    </w:rPr>
                    <w:t>I-131服药室</w:t>
                  </w:r>
                </w:p>
              </w:tc>
              <w:tc>
                <w:tcPr>
                  <w:tcW w:w="1876" w:type="pct"/>
                  <w:vAlign w:val="center"/>
                </w:tcPr>
                <w:p w14:paraId="7F909A1C">
                  <w:pPr>
                    <w:spacing w:line="360" w:lineRule="exact"/>
                    <w:jc w:val="center"/>
                    <w:rPr>
                      <w:rFonts w:hint="default" w:eastAsia="宋体"/>
                      <w:bCs/>
                      <w:sz w:val="21"/>
                      <w:szCs w:val="21"/>
                      <w:lang w:val="en-US" w:eastAsia="zh-CN" w:bidi="ar"/>
                    </w:rPr>
                  </w:pPr>
                  <w:r>
                    <w:rPr>
                      <w:rFonts w:hint="eastAsia"/>
                      <w:bCs/>
                      <w:sz w:val="21"/>
                      <w:szCs w:val="21"/>
                      <w:lang w:val="en-US" w:eastAsia="zh-CN" w:bidi="ar"/>
                    </w:rPr>
                    <w:t>甲亢患者在此口服药物</w:t>
                  </w:r>
                </w:p>
              </w:tc>
              <w:tc>
                <w:tcPr>
                  <w:tcW w:w="1564" w:type="pct"/>
                  <w:vAlign w:val="center"/>
                </w:tcPr>
                <w:p w14:paraId="467F2BB6">
                  <w:pPr>
                    <w:spacing w:line="360" w:lineRule="exact"/>
                    <w:jc w:val="center"/>
                    <w:rPr>
                      <w:bCs/>
                      <w:sz w:val="21"/>
                      <w:szCs w:val="21"/>
                      <w:lang w:bidi="ar"/>
                    </w:rPr>
                  </w:pPr>
                </w:p>
              </w:tc>
            </w:tr>
            <w:tr w14:paraId="666369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13ADD0A9">
                  <w:pPr>
                    <w:spacing w:line="360" w:lineRule="exact"/>
                    <w:jc w:val="center"/>
                    <w:rPr>
                      <w:bCs/>
                      <w:sz w:val="21"/>
                      <w:szCs w:val="21"/>
                      <w:lang w:bidi="ar"/>
                    </w:rPr>
                  </w:pPr>
                  <w:r>
                    <w:rPr>
                      <w:rFonts w:hint="eastAsia"/>
                      <w:bCs/>
                      <w:sz w:val="21"/>
                      <w:szCs w:val="21"/>
                      <w:lang w:bidi="ar"/>
                    </w:rPr>
                    <w:t>分装室2#</w:t>
                  </w:r>
                </w:p>
              </w:tc>
              <w:tc>
                <w:tcPr>
                  <w:tcW w:w="1876" w:type="pct"/>
                  <w:vAlign w:val="center"/>
                </w:tcPr>
                <w:p w14:paraId="3757AD04">
                  <w:pPr>
                    <w:spacing w:line="360" w:lineRule="exact"/>
                    <w:jc w:val="center"/>
                    <w:rPr>
                      <w:bCs/>
                      <w:sz w:val="21"/>
                      <w:szCs w:val="21"/>
                      <w:lang w:bidi="ar"/>
                    </w:rPr>
                  </w:pPr>
                  <w:r>
                    <w:rPr>
                      <w:rFonts w:hint="eastAsia"/>
                      <w:bCs/>
                      <w:sz w:val="21"/>
                      <w:szCs w:val="21"/>
                      <w:vertAlign w:val="superscript"/>
                      <w:lang w:val="en-US" w:eastAsia="zh-CN"/>
                    </w:rPr>
                    <w:t>131</w:t>
                  </w:r>
                  <w:r>
                    <w:rPr>
                      <w:rFonts w:hint="eastAsia"/>
                      <w:bCs/>
                      <w:sz w:val="21"/>
                      <w:szCs w:val="21"/>
                      <w:lang w:val="en-US" w:eastAsia="zh-CN"/>
                    </w:rPr>
                    <w:t>I</w:t>
                  </w:r>
                  <w:r>
                    <w:rPr>
                      <w:bCs/>
                      <w:sz w:val="21"/>
                      <w:szCs w:val="21"/>
                    </w:rPr>
                    <w:t>、</w:t>
                  </w:r>
                  <w:r>
                    <w:rPr>
                      <w:rFonts w:hint="eastAsia"/>
                      <w:bCs/>
                      <w:sz w:val="21"/>
                      <w:szCs w:val="21"/>
                      <w:vertAlign w:val="superscript"/>
                      <w:lang w:val="en-US" w:eastAsia="zh-CN"/>
                    </w:rPr>
                    <w:t>89</w:t>
                  </w:r>
                  <w:r>
                    <w:rPr>
                      <w:rFonts w:hint="eastAsia"/>
                      <w:bCs/>
                      <w:sz w:val="21"/>
                      <w:szCs w:val="21"/>
                      <w:lang w:val="en-US" w:eastAsia="zh-CN"/>
                    </w:rPr>
                    <w:t>Sr</w:t>
                  </w:r>
                  <w:r>
                    <w:rPr>
                      <w:bCs/>
                      <w:sz w:val="21"/>
                      <w:szCs w:val="21"/>
                    </w:rPr>
                    <w:t>的分装场所</w:t>
                  </w:r>
                </w:p>
              </w:tc>
              <w:tc>
                <w:tcPr>
                  <w:tcW w:w="1564" w:type="pct"/>
                  <w:vAlign w:val="center"/>
                </w:tcPr>
                <w:p w14:paraId="11082220">
                  <w:pPr>
                    <w:spacing w:line="360" w:lineRule="exact"/>
                    <w:jc w:val="center"/>
                    <w:rPr>
                      <w:rFonts w:hint="default" w:eastAsia="宋体"/>
                      <w:bCs/>
                      <w:sz w:val="21"/>
                      <w:szCs w:val="21"/>
                      <w:lang w:val="en-US" w:eastAsia="zh-CN" w:bidi="ar"/>
                    </w:rPr>
                  </w:pPr>
                  <w:r>
                    <w:rPr>
                      <w:bCs/>
                      <w:sz w:val="21"/>
                      <w:szCs w:val="21"/>
                    </w:rPr>
                    <w:t>设置</w:t>
                  </w:r>
                  <w:r>
                    <w:rPr>
                      <w:rFonts w:hint="eastAsia"/>
                      <w:bCs/>
                      <w:sz w:val="21"/>
                      <w:szCs w:val="21"/>
                      <w:lang w:val="en-US" w:eastAsia="zh-CN"/>
                    </w:rPr>
                    <w:t>1</w:t>
                  </w:r>
                  <w:r>
                    <w:rPr>
                      <w:bCs/>
                      <w:sz w:val="21"/>
                      <w:szCs w:val="21"/>
                      <w:lang w:bidi="ar"/>
                    </w:rPr>
                    <w:t>套</w:t>
                  </w:r>
                  <w:r>
                    <w:rPr>
                      <w:rFonts w:hint="eastAsia"/>
                      <w:bCs/>
                      <w:sz w:val="21"/>
                      <w:szCs w:val="21"/>
                      <w:lang w:val="en-US" w:eastAsia="zh-CN" w:bidi="ar"/>
                    </w:rPr>
                    <w:t>自动分药</w:t>
                  </w:r>
                  <w:r>
                    <w:rPr>
                      <w:bCs/>
                      <w:sz w:val="21"/>
                      <w:szCs w:val="21"/>
                      <w:lang w:bidi="ar"/>
                    </w:rPr>
                    <w:t>手套箱</w:t>
                  </w:r>
                  <w:r>
                    <w:rPr>
                      <w:rFonts w:hint="eastAsia"/>
                      <w:bCs/>
                      <w:sz w:val="21"/>
                      <w:szCs w:val="21"/>
                      <w:lang w:val="en-US" w:eastAsia="zh-CN" w:bidi="ar"/>
                    </w:rPr>
                    <w:t>和1套Sr分药手套箱</w:t>
                  </w:r>
                </w:p>
              </w:tc>
            </w:tr>
            <w:tr w14:paraId="4CFC98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0C838BD2">
                  <w:pPr>
                    <w:spacing w:line="360" w:lineRule="exact"/>
                    <w:jc w:val="center"/>
                    <w:rPr>
                      <w:bCs/>
                      <w:sz w:val="21"/>
                      <w:szCs w:val="21"/>
                      <w:lang w:bidi="ar"/>
                    </w:rPr>
                  </w:pPr>
                  <w:r>
                    <w:rPr>
                      <w:rFonts w:hint="eastAsia"/>
                      <w:bCs/>
                      <w:sz w:val="21"/>
                      <w:szCs w:val="21"/>
                      <w:lang w:bidi="ar"/>
                    </w:rPr>
                    <w:t>日间留观室</w:t>
                  </w:r>
                </w:p>
              </w:tc>
              <w:tc>
                <w:tcPr>
                  <w:tcW w:w="1876" w:type="pct"/>
                  <w:vAlign w:val="center"/>
                </w:tcPr>
                <w:p w14:paraId="38AF1F65">
                  <w:pPr>
                    <w:spacing w:line="360" w:lineRule="exact"/>
                    <w:jc w:val="center"/>
                    <w:rPr>
                      <w:rFonts w:hint="default" w:eastAsia="宋体"/>
                      <w:bCs/>
                      <w:sz w:val="21"/>
                      <w:szCs w:val="21"/>
                      <w:lang w:val="en-US" w:eastAsia="zh-CN" w:bidi="ar"/>
                    </w:rPr>
                  </w:pPr>
                  <w:r>
                    <w:rPr>
                      <w:rFonts w:hint="eastAsia"/>
                      <w:bCs/>
                      <w:sz w:val="21"/>
                      <w:szCs w:val="21"/>
                      <w:lang w:val="en-US" w:eastAsia="zh-CN" w:bidi="ar"/>
                    </w:rPr>
                    <w:t>服药后的甲亢患者在此留观</w:t>
                  </w:r>
                </w:p>
              </w:tc>
              <w:tc>
                <w:tcPr>
                  <w:tcW w:w="1564" w:type="pct"/>
                  <w:vAlign w:val="center"/>
                </w:tcPr>
                <w:p w14:paraId="6F9B9126">
                  <w:pPr>
                    <w:spacing w:line="360" w:lineRule="exact"/>
                    <w:jc w:val="center"/>
                    <w:rPr>
                      <w:bCs/>
                      <w:sz w:val="21"/>
                      <w:szCs w:val="21"/>
                      <w:lang w:bidi="ar"/>
                    </w:rPr>
                  </w:pPr>
                </w:p>
              </w:tc>
            </w:tr>
            <w:tr w14:paraId="163B0E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59" w:type="pct"/>
                  <w:vAlign w:val="center"/>
                </w:tcPr>
                <w:p w14:paraId="0C2E603A">
                  <w:pPr>
                    <w:spacing w:line="360" w:lineRule="exact"/>
                    <w:jc w:val="center"/>
                    <w:rPr>
                      <w:bCs/>
                      <w:sz w:val="21"/>
                      <w:szCs w:val="21"/>
                      <w:lang w:bidi="ar"/>
                    </w:rPr>
                  </w:pPr>
                  <w:r>
                    <w:rPr>
                      <w:rFonts w:hint="eastAsia"/>
                      <w:bCs/>
                      <w:sz w:val="21"/>
                      <w:szCs w:val="21"/>
                      <w:lang w:bidi="ar"/>
                    </w:rPr>
                    <w:t>储源室2#</w:t>
                  </w:r>
                </w:p>
              </w:tc>
              <w:tc>
                <w:tcPr>
                  <w:tcW w:w="1876" w:type="pct"/>
                  <w:vAlign w:val="center"/>
                </w:tcPr>
                <w:p w14:paraId="0533B760">
                  <w:pPr>
                    <w:spacing w:line="360" w:lineRule="exact"/>
                    <w:jc w:val="center"/>
                    <w:rPr>
                      <w:bCs/>
                      <w:sz w:val="21"/>
                      <w:szCs w:val="21"/>
                      <w:lang w:bidi="ar"/>
                    </w:rPr>
                  </w:pPr>
                  <w:r>
                    <w:rPr>
                      <w:rFonts w:hint="eastAsia"/>
                      <w:bCs/>
                      <w:sz w:val="21"/>
                      <w:szCs w:val="21"/>
                      <w:vertAlign w:val="superscript"/>
                      <w:lang w:val="en-US" w:eastAsia="zh-CN"/>
                    </w:rPr>
                    <w:t>131</w:t>
                  </w:r>
                  <w:r>
                    <w:rPr>
                      <w:rFonts w:hint="eastAsia"/>
                      <w:bCs/>
                      <w:sz w:val="21"/>
                      <w:szCs w:val="21"/>
                      <w:lang w:val="en-US" w:eastAsia="zh-CN"/>
                    </w:rPr>
                    <w:t>I</w:t>
                  </w:r>
                  <w:r>
                    <w:rPr>
                      <w:bCs/>
                      <w:sz w:val="21"/>
                      <w:szCs w:val="21"/>
                    </w:rPr>
                    <w:t>、</w:t>
                  </w:r>
                  <w:r>
                    <w:rPr>
                      <w:rFonts w:hint="eastAsia"/>
                      <w:bCs/>
                      <w:sz w:val="21"/>
                      <w:szCs w:val="21"/>
                      <w:vertAlign w:val="superscript"/>
                      <w:lang w:val="en-US" w:eastAsia="zh-CN"/>
                    </w:rPr>
                    <w:t>89</w:t>
                  </w:r>
                  <w:r>
                    <w:rPr>
                      <w:rFonts w:hint="eastAsia"/>
                      <w:bCs/>
                      <w:sz w:val="21"/>
                      <w:szCs w:val="21"/>
                      <w:lang w:val="en-US" w:eastAsia="zh-CN"/>
                    </w:rPr>
                    <w:t>Sr</w:t>
                  </w:r>
                  <w:r>
                    <w:rPr>
                      <w:bCs/>
                      <w:sz w:val="21"/>
                      <w:szCs w:val="21"/>
                    </w:rPr>
                    <w:t>放射性药物的存放场所</w:t>
                  </w:r>
                </w:p>
              </w:tc>
              <w:tc>
                <w:tcPr>
                  <w:tcW w:w="1564" w:type="pct"/>
                  <w:vAlign w:val="center"/>
                </w:tcPr>
                <w:p w14:paraId="3157B348">
                  <w:pPr>
                    <w:spacing w:line="360" w:lineRule="exact"/>
                    <w:jc w:val="center"/>
                    <w:rPr>
                      <w:bCs/>
                      <w:sz w:val="21"/>
                      <w:szCs w:val="21"/>
                      <w:lang w:bidi="ar"/>
                    </w:rPr>
                  </w:pPr>
                </w:p>
              </w:tc>
            </w:tr>
          </w:tbl>
          <w:p w14:paraId="1ADAF4C3">
            <w:pPr>
              <w:widowControl/>
              <w:ind w:firstLine="482"/>
              <w:rPr>
                <w:rFonts w:hint="eastAsia"/>
                <w:b/>
                <w:lang w:val="en-US" w:eastAsia="zh-CN"/>
              </w:rPr>
            </w:pPr>
          </w:p>
          <w:p w14:paraId="28BF23C8">
            <w:pPr>
              <w:widowControl/>
              <w:ind w:firstLine="482"/>
              <w:rPr>
                <w:b/>
                <w:highlight w:val="none"/>
              </w:rPr>
            </w:pPr>
            <w:r>
              <w:rPr>
                <w:rFonts w:hint="eastAsia"/>
                <w:b/>
                <w:highlight w:val="none"/>
                <w:lang w:val="en-US" w:eastAsia="zh-CN"/>
              </w:rPr>
              <w:t>2</w:t>
            </w:r>
            <w:r>
              <w:rPr>
                <w:b/>
                <w:highlight w:val="none"/>
              </w:rPr>
              <w:t>、</w:t>
            </w:r>
            <w:r>
              <w:rPr>
                <w:rFonts w:hint="eastAsia"/>
                <w:b/>
                <w:highlight w:val="none"/>
                <w:lang w:val="en-US" w:eastAsia="zh-CN"/>
              </w:rPr>
              <w:t>四层手术部和内镜中心</w:t>
            </w:r>
            <w:r>
              <w:rPr>
                <w:b/>
                <w:highlight w:val="none"/>
              </w:rPr>
              <w:t>场所布置及功能</w:t>
            </w:r>
          </w:p>
          <w:p w14:paraId="72B9123D">
            <w:pPr>
              <w:widowControl/>
              <w:ind w:firstLine="480"/>
              <w:rPr>
                <w:rFonts w:hint="eastAsia"/>
                <w:highlight w:val="none"/>
                <w:lang w:val="en-US" w:eastAsia="zh-CN"/>
              </w:rPr>
            </w:pPr>
            <w:r>
              <w:rPr>
                <w:rFonts w:hint="eastAsia"/>
                <w:highlight w:val="none"/>
                <w:lang w:val="en-US" w:eastAsia="zh-CN"/>
              </w:rPr>
              <w:t>手术部</w:t>
            </w:r>
            <w:r>
              <w:rPr>
                <w:rFonts w:hint="eastAsia"/>
                <w:highlight w:val="none"/>
              </w:rPr>
              <w:t>位于</w:t>
            </w:r>
            <w:r>
              <w:rPr>
                <w:rFonts w:hint="eastAsia"/>
                <w:highlight w:val="none"/>
                <w:lang w:val="en-US" w:eastAsia="zh-CN"/>
              </w:rPr>
              <w:t>门诊医技楼4</w:t>
            </w:r>
            <w:r>
              <w:rPr>
                <w:rFonts w:hint="eastAsia"/>
                <w:highlight w:val="none"/>
              </w:rPr>
              <w:t>F的</w:t>
            </w:r>
            <w:r>
              <w:rPr>
                <w:rFonts w:hint="eastAsia"/>
                <w:highlight w:val="none"/>
                <w:lang w:val="en-US" w:eastAsia="zh-CN"/>
              </w:rPr>
              <w:t>东</w:t>
            </w:r>
            <w:r>
              <w:rPr>
                <w:rFonts w:hint="eastAsia"/>
                <w:highlight w:val="none"/>
              </w:rPr>
              <w:t>侧</w:t>
            </w:r>
            <w:r>
              <w:rPr>
                <w:rFonts w:hint="eastAsia"/>
                <w:highlight w:val="none"/>
                <w:lang w:val="en-US" w:eastAsia="zh-CN"/>
              </w:rPr>
              <w:t>中部</w:t>
            </w:r>
            <w:r>
              <w:rPr>
                <w:rFonts w:hint="eastAsia"/>
                <w:highlight w:val="none"/>
              </w:rPr>
              <w:t>，</w:t>
            </w:r>
            <w:r>
              <w:rPr>
                <w:rFonts w:hint="eastAsia"/>
                <w:highlight w:val="none"/>
                <w:lang w:val="en-US" w:eastAsia="zh-CN"/>
              </w:rPr>
              <w:t>涉及本项目1间DSA+CT复合手术室、3间DSA手术室</w:t>
            </w:r>
            <w:r>
              <w:rPr>
                <w:rFonts w:hint="eastAsia"/>
                <w:highlight w:val="none"/>
                <w:lang w:eastAsia="zh-CN"/>
              </w:rPr>
              <w:t>，</w:t>
            </w:r>
            <w:r>
              <w:rPr>
                <w:rFonts w:hint="eastAsia"/>
                <w:highlight w:val="none"/>
                <w:lang w:val="en-US" w:eastAsia="zh-CN"/>
              </w:rPr>
              <w:t>配套设置有控制室、CT设备间、污物暂存间等</w:t>
            </w:r>
            <w:r>
              <w:rPr>
                <w:rFonts w:hint="eastAsia"/>
                <w:highlight w:val="none"/>
              </w:rPr>
              <w:t>。</w:t>
            </w:r>
            <w:r>
              <w:rPr>
                <w:rFonts w:hint="eastAsia"/>
                <w:highlight w:val="none"/>
                <w:lang w:eastAsia="zh-CN"/>
              </w:rPr>
              <w:t>DSA</w:t>
            </w:r>
            <w:r>
              <w:rPr>
                <w:rFonts w:hint="eastAsia"/>
                <w:highlight w:val="none"/>
                <w:lang w:val="en-US" w:eastAsia="zh-CN"/>
              </w:rPr>
              <w:t>+CT复合手术</w:t>
            </w:r>
            <w:r>
              <w:rPr>
                <w:rFonts w:hint="eastAsia"/>
                <w:highlight w:val="none"/>
                <w:lang w:eastAsia="zh-CN"/>
              </w:rPr>
              <w:t>室</w:t>
            </w:r>
            <w:r>
              <w:rPr>
                <w:rFonts w:hint="eastAsia"/>
                <w:highlight w:val="none"/>
              </w:rPr>
              <w:t>的</w:t>
            </w:r>
            <w:r>
              <w:rPr>
                <w:rFonts w:hint="eastAsia"/>
                <w:highlight w:val="none"/>
                <w:lang w:val="en-US" w:eastAsia="zh-CN"/>
              </w:rPr>
              <w:t>东</w:t>
            </w:r>
            <w:r>
              <w:rPr>
                <w:rFonts w:hint="eastAsia"/>
                <w:highlight w:val="none"/>
              </w:rPr>
              <w:t>侧为</w:t>
            </w:r>
            <w:r>
              <w:rPr>
                <w:rFonts w:hint="eastAsia"/>
                <w:highlight w:val="none"/>
                <w:lang w:val="en-US" w:eastAsia="zh-CN"/>
              </w:rPr>
              <w:t>清洁通道和手术室OR14</w:t>
            </w:r>
            <w:r>
              <w:rPr>
                <w:rFonts w:hint="eastAsia"/>
                <w:highlight w:val="none"/>
              </w:rPr>
              <w:t>，</w:t>
            </w:r>
            <w:r>
              <w:rPr>
                <w:rFonts w:hint="eastAsia"/>
                <w:highlight w:val="none"/>
                <w:lang w:val="en-US" w:eastAsia="zh-CN"/>
              </w:rPr>
              <w:t>南侧依次为CT设备间、污物通道</w:t>
            </w:r>
            <w:r>
              <w:rPr>
                <w:rFonts w:hint="eastAsia"/>
                <w:highlight w:val="none"/>
              </w:rPr>
              <w:t>；</w:t>
            </w:r>
            <w:bookmarkStart w:id="37" w:name="OLE_LINK17"/>
            <w:r>
              <w:rPr>
                <w:rFonts w:hint="eastAsia"/>
                <w:highlight w:val="none"/>
                <w:lang w:val="en-US" w:eastAsia="zh-CN"/>
              </w:rPr>
              <w:t>西</w:t>
            </w:r>
            <w:r>
              <w:rPr>
                <w:rFonts w:hint="eastAsia"/>
                <w:highlight w:val="none"/>
              </w:rPr>
              <w:t>侧</w:t>
            </w:r>
            <w:r>
              <w:rPr>
                <w:rFonts w:hint="eastAsia"/>
                <w:highlight w:val="none"/>
                <w:lang w:val="en-US" w:eastAsia="zh-CN"/>
              </w:rPr>
              <w:t>依次为患者通道、污物暂存间等</w:t>
            </w:r>
            <w:bookmarkEnd w:id="37"/>
            <w:r>
              <w:rPr>
                <w:rFonts w:hint="eastAsia"/>
                <w:highlight w:val="none"/>
              </w:rPr>
              <w:t>；</w:t>
            </w:r>
            <w:r>
              <w:rPr>
                <w:rFonts w:hint="eastAsia"/>
                <w:highlight w:val="none"/>
                <w:lang w:val="en-US" w:eastAsia="zh-CN"/>
              </w:rPr>
              <w:t>北</w:t>
            </w:r>
            <w:r>
              <w:rPr>
                <w:rFonts w:hint="eastAsia"/>
                <w:highlight w:val="none"/>
              </w:rPr>
              <w:t>侧</w:t>
            </w:r>
            <w:r>
              <w:rPr>
                <w:rFonts w:hint="eastAsia"/>
                <w:highlight w:val="none"/>
                <w:lang w:val="en-US" w:eastAsia="zh-CN"/>
              </w:rPr>
              <w:t>为设备间和控制室，</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屋顶</w:t>
            </w:r>
            <w:r>
              <w:rPr>
                <w:rFonts w:hint="default" w:ascii="Times New Roman" w:hAnsi="Times New Roman" w:eastAsia="宋体" w:cs="Times New Roman"/>
                <w:sz w:val="24"/>
                <w:szCs w:val="24"/>
                <w:highlight w:val="none"/>
              </w:rPr>
              <w:t>，楼下为</w:t>
            </w:r>
            <w:r>
              <w:rPr>
                <w:rFonts w:hint="eastAsia" w:cs="Times New Roman"/>
                <w:sz w:val="24"/>
                <w:szCs w:val="24"/>
                <w:highlight w:val="none"/>
                <w:lang w:val="en-US" w:eastAsia="zh-CN"/>
              </w:rPr>
              <w:t>三层彩超功能检查区</w:t>
            </w:r>
            <w:r>
              <w:rPr>
                <w:rFonts w:hint="default" w:ascii="Times New Roman" w:hAnsi="Times New Roman" w:eastAsia="宋体" w:cs="Times New Roman"/>
                <w:sz w:val="24"/>
                <w:szCs w:val="24"/>
                <w:highlight w:val="none"/>
              </w:rPr>
              <w:t>。</w:t>
            </w:r>
            <w:r>
              <w:rPr>
                <w:rFonts w:hint="eastAsia"/>
                <w:highlight w:val="none"/>
                <w:lang w:val="en-US" w:eastAsia="zh-CN"/>
              </w:rPr>
              <w:t>3个DSA手术室从西到东依次排布OR09、共用设备间、共用控制室、OR10、OR11及其控制室和设备间，将3个DSA手术室视为一个整体，其北侧为患者/污物通道，东侧为库房，南侧为清洁通道，西侧为患者通道等。</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屋顶（局部设净化机房）</w:t>
            </w:r>
            <w:r>
              <w:rPr>
                <w:rFonts w:hint="default" w:ascii="Times New Roman" w:hAnsi="Times New Roman" w:eastAsia="宋体" w:cs="Times New Roman"/>
                <w:sz w:val="24"/>
                <w:szCs w:val="24"/>
                <w:highlight w:val="none"/>
              </w:rPr>
              <w:t>，楼下为</w:t>
            </w:r>
            <w:r>
              <w:rPr>
                <w:rFonts w:hint="eastAsia" w:cs="Times New Roman"/>
                <w:sz w:val="24"/>
                <w:szCs w:val="24"/>
                <w:highlight w:val="none"/>
                <w:lang w:val="en-US" w:eastAsia="zh-CN"/>
              </w:rPr>
              <w:t>三层彩超功能检查区</w:t>
            </w:r>
            <w:r>
              <w:rPr>
                <w:rFonts w:hint="default" w:ascii="Times New Roman" w:hAnsi="Times New Roman" w:eastAsia="宋体" w:cs="Times New Roman"/>
                <w:sz w:val="24"/>
                <w:szCs w:val="24"/>
                <w:highlight w:val="none"/>
              </w:rPr>
              <w:t>。</w:t>
            </w:r>
          </w:p>
          <w:p w14:paraId="10DF638D">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highlight w:val="none"/>
                <w:lang w:val="en-US" w:eastAsia="zh-CN"/>
              </w:rPr>
            </w:pPr>
            <w:r>
              <w:rPr>
                <w:rFonts w:hint="eastAsia"/>
                <w:highlight w:val="none"/>
                <w:lang w:val="en-US" w:eastAsia="zh-CN"/>
              </w:rPr>
              <w:t>内镜中心</w:t>
            </w:r>
            <w:r>
              <w:rPr>
                <w:rFonts w:hint="eastAsia"/>
                <w:highlight w:val="none"/>
              </w:rPr>
              <w:t>位于</w:t>
            </w:r>
            <w:r>
              <w:rPr>
                <w:rFonts w:hint="eastAsia"/>
                <w:highlight w:val="none"/>
                <w:lang w:val="en-US" w:eastAsia="zh-CN"/>
              </w:rPr>
              <w:t>门诊医技楼4</w:t>
            </w:r>
            <w:r>
              <w:rPr>
                <w:rFonts w:hint="eastAsia"/>
                <w:highlight w:val="none"/>
              </w:rPr>
              <w:t>F的</w:t>
            </w:r>
            <w:r>
              <w:rPr>
                <w:rFonts w:hint="eastAsia"/>
                <w:highlight w:val="none"/>
                <w:lang w:val="en-US" w:eastAsia="zh-CN"/>
              </w:rPr>
              <w:t>西</w:t>
            </w:r>
            <w:r>
              <w:rPr>
                <w:rFonts w:hint="eastAsia"/>
                <w:highlight w:val="none"/>
              </w:rPr>
              <w:t>侧</w:t>
            </w:r>
            <w:r>
              <w:rPr>
                <w:rFonts w:hint="eastAsia"/>
                <w:highlight w:val="none"/>
                <w:lang w:val="en-US" w:eastAsia="zh-CN"/>
              </w:rPr>
              <w:t>中部</w:t>
            </w:r>
            <w:r>
              <w:rPr>
                <w:rFonts w:hint="eastAsia"/>
                <w:highlight w:val="none"/>
              </w:rPr>
              <w:t>，</w:t>
            </w:r>
            <w:r>
              <w:rPr>
                <w:rFonts w:hint="eastAsia"/>
                <w:highlight w:val="none"/>
                <w:lang w:val="en-US" w:eastAsia="zh-CN"/>
              </w:rPr>
              <w:t>涉及本项目1间ERCP室</w:t>
            </w:r>
            <w:r>
              <w:rPr>
                <w:rFonts w:hint="eastAsia"/>
                <w:highlight w:val="none"/>
                <w:lang w:eastAsia="zh-CN"/>
              </w:rPr>
              <w:t>，</w:t>
            </w:r>
            <w:r>
              <w:rPr>
                <w:rFonts w:hint="eastAsia"/>
                <w:highlight w:val="none"/>
                <w:lang w:val="en-US" w:eastAsia="zh-CN"/>
              </w:rPr>
              <w:t>配套设置有控制室、准备间等</w:t>
            </w:r>
            <w:r>
              <w:rPr>
                <w:rFonts w:hint="eastAsia"/>
                <w:highlight w:val="none"/>
              </w:rPr>
              <w:t>。</w:t>
            </w:r>
            <w:r>
              <w:rPr>
                <w:rFonts w:hint="eastAsia"/>
                <w:highlight w:val="none"/>
                <w:lang w:val="en-US" w:eastAsia="zh-CN"/>
              </w:rPr>
              <w:t>ERCP</w:t>
            </w:r>
            <w:r>
              <w:rPr>
                <w:rFonts w:hint="eastAsia"/>
                <w:highlight w:val="none"/>
                <w:lang w:eastAsia="zh-CN"/>
              </w:rPr>
              <w:t>室</w:t>
            </w:r>
            <w:r>
              <w:rPr>
                <w:rFonts w:hint="eastAsia"/>
                <w:highlight w:val="none"/>
              </w:rPr>
              <w:t>的</w:t>
            </w:r>
            <w:r>
              <w:rPr>
                <w:rFonts w:hint="eastAsia"/>
                <w:highlight w:val="none"/>
                <w:lang w:val="en-US" w:eastAsia="zh-CN"/>
              </w:rPr>
              <w:t>东</w:t>
            </w:r>
            <w:r>
              <w:rPr>
                <w:rFonts w:hint="eastAsia"/>
                <w:highlight w:val="none"/>
              </w:rPr>
              <w:t>侧为</w:t>
            </w:r>
            <w:r>
              <w:rPr>
                <w:rFonts w:hint="eastAsia"/>
                <w:highlight w:val="none"/>
                <w:lang w:val="en-US" w:eastAsia="zh-CN"/>
              </w:rPr>
              <w:t>控制室和准备间</w:t>
            </w:r>
            <w:r>
              <w:rPr>
                <w:rFonts w:hint="eastAsia"/>
                <w:highlight w:val="none"/>
              </w:rPr>
              <w:t>，</w:t>
            </w:r>
            <w:r>
              <w:rPr>
                <w:rFonts w:hint="eastAsia"/>
                <w:highlight w:val="none"/>
                <w:lang w:val="en-US" w:eastAsia="zh-CN"/>
              </w:rPr>
              <w:t>南侧为患者/污物通道</w:t>
            </w:r>
            <w:r>
              <w:rPr>
                <w:rFonts w:hint="eastAsia"/>
                <w:highlight w:val="none"/>
              </w:rPr>
              <w:t>；</w:t>
            </w:r>
            <w:r>
              <w:rPr>
                <w:rFonts w:hint="eastAsia"/>
                <w:highlight w:val="none"/>
                <w:lang w:val="en-US" w:eastAsia="zh-CN"/>
              </w:rPr>
              <w:t>西</w:t>
            </w:r>
            <w:r>
              <w:rPr>
                <w:rFonts w:hint="eastAsia"/>
                <w:highlight w:val="none"/>
              </w:rPr>
              <w:t>侧</w:t>
            </w:r>
            <w:r>
              <w:rPr>
                <w:rFonts w:hint="eastAsia"/>
                <w:highlight w:val="none"/>
                <w:lang w:val="en-US" w:eastAsia="zh-CN"/>
              </w:rPr>
              <w:t>依次为治疗室R9</w:t>
            </w:r>
            <w:r>
              <w:rPr>
                <w:rFonts w:hint="eastAsia"/>
                <w:highlight w:val="none"/>
              </w:rPr>
              <w:t>；</w:t>
            </w:r>
            <w:r>
              <w:rPr>
                <w:rFonts w:hint="eastAsia"/>
                <w:highlight w:val="none"/>
                <w:lang w:val="en-US" w:eastAsia="zh-CN"/>
              </w:rPr>
              <w:t>北</w:t>
            </w:r>
            <w:r>
              <w:rPr>
                <w:rFonts w:hint="eastAsia"/>
                <w:highlight w:val="none"/>
              </w:rPr>
              <w:t>侧</w:t>
            </w:r>
            <w:r>
              <w:rPr>
                <w:rFonts w:hint="eastAsia"/>
                <w:highlight w:val="none"/>
                <w:lang w:val="en-US" w:eastAsia="zh-CN"/>
              </w:rPr>
              <w:t>为清洁通道。</w:t>
            </w:r>
            <w:r>
              <w:rPr>
                <w:rFonts w:hint="default" w:ascii="Times New Roman" w:hAnsi="Times New Roman" w:eastAsia="宋体" w:cs="Times New Roman"/>
                <w:sz w:val="24"/>
                <w:szCs w:val="24"/>
                <w:highlight w:val="none"/>
              </w:rPr>
              <w:t>楼上为</w:t>
            </w:r>
            <w:r>
              <w:rPr>
                <w:rFonts w:hint="eastAsia" w:cs="Times New Roman"/>
                <w:sz w:val="24"/>
                <w:szCs w:val="24"/>
                <w:highlight w:val="none"/>
                <w:lang w:val="en-US" w:eastAsia="zh-CN"/>
              </w:rPr>
              <w:t>屋顶</w:t>
            </w:r>
            <w:r>
              <w:rPr>
                <w:rFonts w:hint="default" w:ascii="Times New Roman" w:hAnsi="Times New Roman" w:eastAsia="宋体" w:cs="Times New Roman"/>
                <w:sz w:val="24"/>
                <w:szCs w:val="24"/>
                <w:highlight w:val="none"/>
              </w:rPr>
              <w:t>，楼下为</w:t>
            </w:r>
            <w:r>
              <w:rPr>
                <w:rFonts w:hint="eastAsia" w:cs="Times New Roman"/>
                <w:sz w:val="24"/>
                <w:szCs w:val="24"/>
                <w:highlight w:val="none"/>
                <w:lang w:val="en-US" w:eastAsia="zh-CN"/>
              </w:rPr>
              <w:t>三层妇产科盆底筛查治疗室</w:t>
            </w:r>
            <w:r>
              <w:rPr>
                <w:rFonts w:hint="default" w:ascii="Times New Roman" w:hAnsi="Times New Roman" w:eastAsia="宋体" w:cs="Times New Roman"/>
                <w:sz w:val="24"/>
                <w:szCs w:val="24"/>
                <w:highlight w:val="none"/>
              </w:rPr>
              <w:t>。</w:t>
            </w:r>
          </w:p>
          <w:p w14:paraId="44C55C6A">
            <w:pPr>
              <w:ind w:firstLine="480" w:firstLineChars="200"/>
              <w:rPr>
                <w:bCs/>
              </w:rPr>
            </w:pPr>
            <w:r>
              <w:rPr>
                <w:bCs/>
              </w:rPr>
              <w:t>本项目</w:t>
            </w:r>
            <w:r>
              <w:rPr>
                <w:rFonts w:hint="eastAsia"/>
                <w:bCs/>
                <w:lang w:val="en-US" w:eastAsia="zh-CN"/>
              </w:rPr>
              <w:t>各</w:t>
            </w:r>
            <w:r>
              <w:rPr>
                <w:rFonts w:hint="default" w:ascii="Times New Roman" w:hAnsi="Times New Roman" w:cs="Times New Roman"/>
                <w:bCs/>
                <w:lang w:val="en-US" w:eastAsia="zh-CN"/>
              </w:rPr>
              <w:t>Ⅱ</w:t>
            </w:r>
            <w:r>
              <w:rPr>
                <w:rFonts w:hint="eastAsia"/>
                <w:bCs/>
                <w:lang w:val="en-US" w:eastAsia="zh-CN"/>
              </w:rPr>
              <w:t>类射线装置</w:t>
            </w:r>
            <w:r>
              <w:rPr>
                <w:bCs/>
              </w:rPr>
              <w:t>使用地点固定，</w:t>
            </w:r>
            <w:r>
              <w:rPr>
                <w:rFonts w:hint="eastAsia"/>
                <w:bCs/>
              </w:rPr>
              <w:t>与</w:t>
            </w:r>
            <w:r>
              <w:rPr>
                <w:rFonts w:hint="eastAsia"/>
                <w:lang w:val="en-US" w:eastAsia="zh-CN"/>
              </w:rPr>
              <w:t>各机房</w:t>
            </w:r>
            <w:r>
              <w:rPr>
                <w:rFonts w:hint="eastAsia"/>
              </w:rPr>
              <w:t>相邻的房间主要为居留因子较低的设备间</w:t>
            </w:r>
            <w:r>
              <w:rPr>
                <w:rFonts w:hint="eastAsia"/>
                <w:highlight w:val="none"/>
              </w:rPr>
              <w:t>、</w:t>
            </w:r>
            <w:r>
              <w:rPr>
                <w:rFonts w:hint="eastAsia"/>
                <w:highlight w:val="none"/>
                <w:lang w:val="en-US" w:eastAsia="zh-CN"/>
              </w:rPr>
              <w:t>准备</w:t>
            </w:r>
            <w:r>
              <w:rPr>
                <w:rFonts w:hint="eastAsia"/>
                <w:highlight w:val="none"/>
              </w:rPr>
              <w:t>室、走道</w:t>
            </w:r>
            <w:r>
              <w:rPr>
                <w:rFonts w:hint="eastAsia"/>
                <w:bCs/>
                <w:highlight w:val="none"/>
              </w:rPr>
              <w:t>等</w:t>
            </w:r>
            <w:r>
              <w:rPr>
                <w:rFonts w:hint="eastAsia"/>
                <w:bCs/>
              </w:rPr>
              <w:t>，</w:t>
            </w:r>
            <w:r>
              <w:rPr>
                <w:rFonts w:hint="eastAsia"/>
                <w:bCs/>
                <w:lang w:val="en-US" w:eastAsia="zh-CN"/>
              </w:rPr>
              <w:t>机房均设置在相对独立的手术部和内镜中心内</w:t>
            </w:r>
            <w:r>
              <w:rPr>
                <w:bCs/>
              </w:rPr>
              <w:t>，避开了</w:t>
            </w:r>
            <w:bookmarkStart w:id="38" w:name="OLE_LINK20"/>
            <w:r>
              <w:rPr>
                <w:rFonts w:hint="eastAsia"/>
              </w:rPr>
              <w:t>居留因子较高的</w:t>
            </w:r>
            <w:bookmarkEnd w:id="38"/>
            <w:r>
              <w:rPr>
                <w:rFonts w:hint="eastAsia"/>
                <w:lang w:val="en-US" w:eastAsia="zh-CN"/>
              </w:rPr>
              <w:t>门诊大厅等</w:t>
            </w:r>
            <w:r>
              <w:rPr>
                <w:rFonts w:hint="eastAsia"/>
              </w:rPr>
              <w:t>。</w:t>
            </w:r>
          </w:p>
          <w:p w14:paraId="5D25062E">
            <w:pPr>
              <w:spacing w:before="163" w:line="240" w:lineRule="auto"/>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表10-</w:t>
            </w:r>
            <w:r>
              <w:rPr>
                <w:rFonts w:hint="default" w:ascii="Times New Roman" w:hAnsi="Times New Roman" w:eastAsia="宋体" w:cs="Times New Roman"/>
                <w:b/>
                <w:bCs w:val="0"/>
                <w:sz w:val="21"/>
                <w:szCs w:val="21"/>
                <w:lang w:val="en-US" w:eastAsia="zh-CN"/>
              </w:rPr>
              <w:t>2</w:t>
            </w:r>
            <w:r>
              <w:rPr>
                <w:rFonts w:hint="default" w:ascii="Times New Roman" w:hAnsi="Times New Roman" w:eastAsia="宋体" w:cs="Times New Roman"/>
                <w:b/>
                <w:bCs w:val="0"/>
                <w:sz w:val="21"/>
                <w:szCs w:val="21"/>
              </w:rPr>
              <w:t xml:space="preserve">  </w:t>
            </w:r>
            <w:r>
              <w:rPr>
                <w:rFonts w:hint="default" w:ascii="Times New Roman" w:hAnsi="Times New Roman" w:eastAsia="宋体" w:cs="Times New Roman"/>
                <w:b/>
                <w:bCs w:val="0"/>
                <w:sz w:val="21"/>
                <w:szCs w:val="21"/>
                <w:lang w:val="en-US" w:eastAsia="zh-CN"/>
              </w:rPr>
              <w:t>四</w:t>
            </w:r>
            <w:r>
              <w:rPr>
                <w:rFonts w:hint="default" w:ascii="Times New Roman" w:hAnsi="Times New Roman" w:eastAsia="宋体" w:cs="Times New Roman"/>
                <w:b/>
                <w:bCs w:val="0"/>
                <w:sz w:val="21"/>
                <w:szCs w:val="21"/>
              </w:rPr>
              <w:t>层</w:t>
            </w:r>
            <w:r>
              <w:rPr>
                <w:rFonts w:hint="default" w:ascii="Times New Roman" w:hAnsi="Times New Roman" w:eastAsia="宋体" w:cs="Times New Roman"/>
                <w:b/>
                <w:bCs w:val="0"/>
                <w:sz w:val="21"/>
                <w:szCs w:val="21"/>
                <w:lang w:val="en-US" w:eastAsia="zh-CN"/>
              </w:rPr>
              <w:t>手术部和内镜中心</w:t>
            </w:r>
            <w:r>
              <w:rPr>
                <w:rFonts w:hint="default" w:ascii="Times New Roman" w:hAnsi="Times New Roman" w:eastAsia="宋体" w:cs="Times New Roman"/>
                <w:b/>
                <w:bCs w:val="0"/>
                <w:sz w:val="21"/>
                <w:szCs w:val="21"/>
              </w:rPr>
              <w:t>主要涉放场所功能</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04"/>
              <w:gridCol w:w="2234"/>
              <w:gridCol w:w="4461"/>
            </w:tblGrid>
            <w:tr w14:paraId="3FF82A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5" w:type="pct"/>
                  <w:vAlign w:val="center"/>
                </w:tcPr>
                <w:p w14:paraId="706B0D24">
                  <w:pPr>
                    <w:spacing w:line="360" w:lineRule="exact"/>
                    <w:jc w:val="center"/>
                    <w:rPr>
                      <w:b/>
                      <w:bCs w:val="0"/>
                      <w:sz w:val="21"/>
                      <w:szCs w:val="21"/>
                      <w:lang w:bidi="ar"/>
                    </w:rPr>
                  </w:pPr>
                  <w:r>
                    <w:rPr>
                      <w:b/>
                      <w:bCs w:val="0"/>
                      <w:sz w:val="21"/>
                      <w:szCs w:val="21"/>
                      <w:lang w:bidi="ar"/>
                    </w:rPr>
                    <w:t>主要涉放功能房间</w:t>
                  </w:r>
                </w:p>
              </w:tc>
              <w:tc>
                <w:tcPr>
                  <w:tcW w:w="1269" w:type="pct"/>
                  <w:vAlign w:val="center"/>
                </w:tcPr>
                <w:p w14:paraId="55E416A3">
                  <w:pPr>
                    <w:spacing w:line="360" w:lineRule="exact"/>
                    <w:jc w:val="center"/>
                    <w:rPr>
                      <w:b/>
                      <w:bCs w:val="0"/>
                      <w:sz w:val="21"/>
                      <w:szCs w:val="21"/>
                      <w:lang w:bidi="ar"/>
                    </w:rPr>
                  </w:pPr>
                  <w:r>
                    <w:rPr>
                      <w:b/>
                      <w:bCs w:val="0"/>
                      <w:sz w:val="21"/>
                      <w:szCs w:val="21"/>
                      <w:lang w:bidi="ar"/>
                    </w:rPr>
                    <w:t>功能用途</w:t>
                  </w:r>
                </w:p>
              </w:tc>
              <w:tc>
                <w:tcPr>
                  <w:tcW w:w="2534" w:type="pct"/>
                  <w:vAlign w:val="center"/>
                </w:tcPr>
                <w:p w14:paraId="2A454F19">
                  <w:pPr>
                    <w:spacing w:line="360" w:lineRule="exact"/>
                    <w:jc w:val="center"/>
                    <w:rPr>
                      <w:b/>
                      <w:bCs w:val="0"/>
                      <w:sz w:val="21"/>
                      <w:szCs w:val="21"/>
                      <w:lang w:bidi="ar"/>
                    </w:rPr>
                  </w:pPr>
                  <w:r>
                    <w:rPr>
                      <w:b/>
                      <w:bCs w:val="0"/>
                      <w:sz w:val="21"/>
                      <w:szCs w:val="21"/>
                      <w:lang w:bidi="ar"/>
                    </w:rPr>
                    <w:t>备注</w:t>
                  </w:r>
                </w:p>
              </w:tc>
            </w:tr>
            <w:tr w14:paraId="413E30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5" w:type="pct"/>
                  <w:vAlign w:val="center"/>
                </w:tcPr>
                <w:p w14:paraId="2E808837">
                  <w:pPr>
                    <w:spacing w:line="360" w:lineRule="exact"/>
                    <w:jc w:val="center"/>
                    <w:rPr>
                      <w:rFonts w:hint="default" w:eastAsia="宋体"/>
                      <w:bCs/>
                      <w:sz w:val="21"/>
                      <w:szCs w:val="21"/>
                      <w:lang w:val="en-US" w:eastAsia="zh-CN"/>
                    </w:rPr>
                  </w:pPr>
                  <w:r>
                    <w:rPr>
                      <w:rFonts w:hint="eastAsia"/>
                      <w:bCs/>
                      <w:sz w:val="21"/>
                      <w:szCs w:val="21"/>
                      <w:lang w:val="en-US" w:eastAsia="zh-CN"/>
                    </w:rPr>
                    <w:t>DSA+CT复合手术室</w:t>
                  </w:r>
                </w:p>
              </w:tc>
              <w:tc>
                <w:tcPr>
                  <w:tcW w:w="1269" w:type="pct"/>
                  <w:vAlign w:val="center"/>
                </w:tcPr>
                <w:p w14:paraId="13F6800C">
                  <w:pPr>
                    <w:spacing w:line="360" w:lineRule="exact"/>
                    <w:jc w:val="center"/>
                    <w:rPr>
                      <w:rFonts w:hint="default" w:eastAsia="宋体"/>
                      <w:bCs/>
                      <w:sz w:val="21"/>
                      <w:szCs w:val="21"/>
                      <w:vertAlign w:val="superscript"/>
                      <w:lang w:val="en-US" w:eastAsia="zh-CN"/>
                    </w:rPr>
                  </w:pPr>
                  <w:r>
                    <w:rPr>
                      <w:rFonts w:hint="default" w:ascii="Times New Roman" w:hAnsi="Times New Roman" w:eastAsia="宋体" w:cs="Times New Roman"/>
                      <w:spacing w:val="0"/>
                      <w:sz w:val="21"/>
                      <w:szCs w:val="21"/>
                      <w:lang w:val="en-US" w:eastAsia="zh-CN"/>
                    </w:rPr>
                    <w:t>影像检查和介入操作</w:t>
                  </w:r>
                </w:p>
              </w:tc>
              <w:tc>
                <w:tcPr>
                  <w:tcW w:w="2534" w:type="pct"/>
                  <w:vAlign w:val="center"/>
                </w:tcPr>
                <w:p w14:paraId="6C0EFFA9">
                  <w:pPr>
                    <w:spacing w:line="240" w:lineRule="auto"/>
                    <w:jc w:val="center"/>
                    <w:rPr>
                      <w:rFonts w:hint="default" w:eastAsia="宋体"/>
                      <w:bCs/>
                      <w:sz w:val="21"/>
                      <w:szCs w:val="21"/>
                      <w:lang w:val="en-US" w:eastAsia="zh-CN"/>
                    </w:rPr>
                  </w:pPr>
                  <w:r>
                    <w:rPr>
                      <w:bCs/>
                      <w:sz w:val="21"/>
                      <w:szCs w:val="21"/>
                      <w:lang w:bidi="ar"/>
                    </w:rPr>
                    <w:t>机房</w:t>
                  </w:r>
                  <w:r>
                    <w:rPr>
                      <w:rFonts w:hint="eastAsia"/>
                      <w:bCs/>
                      <w:sz w:val="21"/>
                      <w:szCs w:val="21"/>
                      <w:lang w:val="en-US" w:eastAsia="zh-CN" w:bidi="ar"/>
                    </w:rPr>
                    <w:t>内</w:t>
                  </w:r>
                  <w:r>
                    <w:rPr>
                      <w:bCs/>
                      <w:sz w:val="21"/>
                      <w:szCs w:val="21"/>
                      <w:lang w:bidi="ar"/>
                    </w:rPr>
                    <w:t>配置1台</w:t>
                  </w:r>
                  <w:r>
                    <w:rPr>
                      <w:rFonts w:hint="default" w:ascii="Times New Roman" w:hAnsi="Times New Roman" w:eastAsia="宋体" w:cs="Times New Roman"/>
                      <w:bCs/>
                      <w:spacing w:val="0"/>
                      <w:sz w:val="21"/>
                      <w:szCs w:val="21"/>
                      <w:lang w:val="en-US" w:eastAsia="zh-CN"/>
                    </w:rPr>
                    <w:t>DSA部分：</w:t>
                  </w:r>
                  <w:r>
                    <w:rPr>
                      <w:rFonts w:hint="default" w:ascii="Times New Roman" w:hAnsi="Times New Roman" w:eastAsia="宋体" w:cs="Times New Roman"/>
                      <w:bCs/>
                      <w:spacing w:val="0"/>
                      <w:sz w:val="21"/>
                      <w:szCs w:val="21"/>
                    </w:rPr>
                    <w:t>额定管电压1</w:t>
                  </w:r>
                  <w:r>
                    <w:rPr>
                      <w:rFonts w:hint="default" w:ascii="Times New Roman" w:hAnsi="Times New Roman" w:eastAsia="宋体" w:cs="Times New Roman"/>
                      <w:bCs/>
                      <w:spacing w:val="0"/>
                      <w:sz w:val="21"/>
                      <w:szCs w:val="21"/>
                      <w:lang w:val="en-US" w:eastAsia="zh-CN"/>
                    </w:rPr>
                    <w:t>25</w:t>
                  </w:r>
                  <w:r>
                    <w:rPr>
                      <w:rFonts w:hint="default" w:ascii="Times New Roman" w:hAnsi="Times New Roman" w:eastAsia="宋体" w:cs="Times New Roman"/>
                      <w:bCs/>
                      <w:spacing w:val="0"/>
                      <w:sz w:val="21"/>
                      <w:szCs w:val="21"/>
                    </w:rPr>
                    <w:t>kV、额定管电流</w:t>
                  </w:r>
                  <w:r>
                    <w:rPr>
                      <w:rFonts w:hint="default" w:ascii="Times New Roman" w:hAnsi="Times New Roman" w:eastAsia="宋体" w:cs="Times New Roman"/>
                      <w:bCs/>
                      <w:spacing w:val="0"/>
                      <w:sz w:val="21"/>
                      <w:szCs w:val="21"/>
                      <w:lang w:val="en-US" w:eastAsia="zh-CN"/>
                    </w:rPr>
                    <w:t>10</w:t>
                  </w:r>
                  <w:r>
                    <w:rPr>
                      <w:rFonts w:hint="default" w:ascii="Times New Roman" w:hAnsi="Times New Roman" w:eastAsia="宋体" w:cs="Times New Roman"/>
                      <w:bCs/>
                      <w:spacing w:val="0"/>
                      <w:sz w:val="21"/>
                      <w:szCs w:val="21"/>
                    </w:rPr>
                    <w:t>00mA</w:t>
                  </w:r>
                  <w:r>
                    <w:rPr>
                      <w:rFonts w:hint="eastAsia" w:cs="Times New Roman"/>
                      <w:bCs/>
                      <w:spacing w:val="0"/>
                      <w:sz w:val="21"/>
                      <w:szCs w:val="21"/>
                      <w:lang w:eastAsia="zh-CN"/>
                    </w:rPr>
                    <w:t>；</w:t>
                  </w:r>
                  <w:r>
                    <w:rPr>
                      <w:rFonts w:hint="default" w:ascii="Times New Roman" w:hAnsi="Times New Roman" w:eastAsia="宋体" w:cs="Times New Roman"/>
                      <w:bCs/>
                      <w:spacing w:val="0"/>
                      <w:sz w:val="21"/>
                      <w:szCs w:val="21"/>
                      <w:lang w:val="en-US" w:eastAsia="zh-CN"/>
                    </w:rPr>
                    <w:t>CT部分：</w:t>
                  </w:r>
                  <w:r>
                    <w:rPr>
                      <w:rFonts w:hint="default" w:ascii="Times New Roman" w:hAnsi="Times New Roman" w:eastAsia="宋体" w:cs="Times New Roman"/>
                      <w:bCs/>
                      <w:spacing w:val="0"/>
                      <w:sz w:val="21"/>
                      <w:szCs w:val="21"/>
                    </w:rPr>
                    <w:t>额定管电压140kV、额定管电流</w:t>
                  </w:r>
                  <w:r>
                    <w:rPr>
                      <w:rFonts w:hint="default" w:ascii="Times New Roman" w:hAnsi="Times New Roman" w:eastAsia="宋体" w:cs="Times New Roman"/>
                      <w:bCs/>
                      <w:spacing w:val="0"/>
                      <w:sz w:val="21"/>
                      <w:szCs w:val="21"/>
                      <w:lang w:val="en-US" w:eastAsia="zh-CN"/>
                    </w:rPr>
                    <w:t>13</w:t>
                  </w:r>
                  <w:r>
                    <w:rPr>
                      <w:rFonts w:hint="default" w:ascii="Times New Roman" w:hAnsi="Times New Roman" w:eastAsia="宋体" w:cs="Times New Roman"/>
                      <w:bCs/>
                      <w:spacing w:val="0"/>
                      <w:sz w:val="21"/>
                      <w:szCs w:val="21"/>
                    </w:rPr>
                    <w:t>00mA</w:t>
                  </w:r>
                  <w:r>
                    <w:rPr>
                      <w:rFonts w:hint="eastAsia" w:cs="Times New Roman"/>
                      <w:bCs/>
                      <w:spacing w:val="0"/>
                      <w:sz w:val="21"/>
                      <w:szCs w:val="21"/>
                      <w:lang w:eastAsia="zh-CN"/>
                    </w:rPr>
                    <w:t>的</w:t>
                  </w:r>
                  <w:r>
                    <w:rPr>
                      <w:rFonts w:hint="eastAsia" w:cs="Times New Roman"/>
                      <w:bCs/>
                      <w:spacing w:val="0"/>
                      <w:sz w:val="21"/>
                      <w:szCs w:val="21"/>
                      <w:lang w:val="en-US" w:eastAsia="zh-CN"/>
                    </w:rPr>
                    <w:t>DSA+CT复合设备</w:t>
                  </w:r>
                </w:p>
              </w:tc>
            </w:tr>
            <w:tr w14:paraId="181864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5" w:type="pct"/>
                  <w:vAlign w:val="center"/>
                </w:tcPr>
                <w:p w14:paraId="09D4BB50">
                  <w:pPr>
                    <w:spacing w:line="360" w:lineRule="exact"/>
                    <w:jc w:val="center"/>
                    <w:rPr>
                      <w:rFonts w:hint="default" w:eastAsia="宋体"/>
                      <w:bCs/>
                      <w:sz w:val="21"/>
                      <w:szCs w:val="21"/>
                      <w:lang w:val="en-US" w:eastAsia="zh-CN"/>
                    </w:rPr>
                  </w:pPr>
                  <w:r>
                    <w:rPr>
                      <w:rFonts w:hint="eastAsia"/>
                      <w:bCs/>
                      <w:sz w:val="21"/>
                      <w:szCs w:val="21"/>
                      <w:lang w:val="en-US" w:eastAsia="zh-CN"/>
                    </w:rPr>
                    <w:t>DSA手术室OR09</w:t>
                  </w:r>
                </w:p>
              </w:tc>
              <w:tc>
                <w:tcPr>
                  <w:tcW w:w="1269" w:type="pct"/>
                  <w:vAlign w:val="center"/>
                </w:tcPr>
                <w:p w14:paraId="4122AD40">
                  <w:pPr>
                    <w:spacing w:line="360" w:lineRule="exact"/>
                    <w:jc w:val="center"/>
                    <w:rPr>
                      <w:bCs/>
                      <w:sz w:val="21"/>
                      <w:szCs w:val="21"/>
                    </w:rPr>
                  </w:pPr>
                  <w:r>
                    <w:rPr>
                      <w:rFonts w:hint="default" w:ascii="Times New Roman" w:hAnsi="Times New Roman" w:eastAsia="宋体" w:cs="Times New Roman"/>
                      <w:spacing w:val="0"/>
                      <w:sz w:val="21"/>
                      <w:szCs w:val="21"/>
                      <w:lang w:val="en-US" w:eastAsia="zh-CN"/>
                    </w:rPr>
                    <w:t>影像检查和介入操作</w:t>
                  </w:r>
                </w:p>
              </w:tc>
              <w:tc>
                <w:tcPr>
                  <w:tcW w:w="2534" w:type="pct"/>
                  <w:vAlign w:val="center"/>
                </w:tcPr>
                <w:p w14:paraId="6A5D4B23">
                  <w:pPr>
                    <w:spacing w:line="360" w:lineRule="exact"/>
                    <w:jc w:val="center"/>
                    <w:rPr>
                      <w:rFonts w:hint="eastAsia" w:eastAsia="宋体"/>
                      <w:bCs/>
                      <w:sz w:val="21"/>
                      <w:szCs w:val="21"/>
                      <w:lang w:eastAsia="zh-CN"/>
                    </w:rPr>
                  </w:pPr>
                  <w:r>
                    <w:rPr>
                      <w:bCs/>
                      <w:sz w:val="21"/>
                      <w:szCs w:val="21"/>
                      <w:lang w:bidi="ar"/>
                    </w:rPr>
                    <w:t>机房</w:t>
                  </w:r>
                  <w:r>
                    <w:rPr>
                      <w:rFonts w:hint="eastAsia"/>
                      <w:bCs/>
                      <w:sz w:val="21"/>
                      <w:szCs w:val="21"/>
                      <w:lang w:val="en-US" w:eastAsia="zh-CN" w:bidi="ar"/>
                    </w:rPr>
                    <w:t>内</w:t>
                  </w:r>
                  <w:r>
                    <w:rPr>
                      <w:bCs/>
                      <w:sz w:val="21"/>
                      <w:szCs w:val="21"/>
                      <w:lang w:bidi="ar"/>
                    </w:rPr>
                    <w:t>配置1台1</w:t>
                  </w:r>
                  <w:r>
                    <w:rPr>
                      <w:rFonts w:hint="eastAsia"/>
                      <w:bCs/>
                      <w:sz w:val="21"/>
                      <w:szCs w:val="21"/>
                      <w:lang w:val="en-US" w:eastAsia="zh-CN" w:bidi="ar"/>
                    </w:rPr>
                    <w:t>25</w:t>
                  </w:r>
                  <w:r>
                    <w:rPr>
                      <w:bCs/>
                      <w:sz w:val="21"/>
                      <w:szCs w:val="21"/>
                      <w:lang w:bidi="ar"/>
                    </w:rPr>
                    <w:t>kV、</w:t>
                  </w:r>
                  <w:r>
                    <w:rPr>
                      <w:rFonts w:hint="eastAsia"/>
                      <w:bCs/>
                      <w:sz w:val="21"/>
                      <w:szCs w:val="21"/>
                      <w:lang w:val="en-US" w:eastAsia="zh-CN" w:bidi="ar"/>
                    </w:rPr>
                    <w:t>10</w:t>
                  </w:r>
                  <w:r>
                    <w:rPr>
                      <w:bCs/>
                      <w:sz w:val="21"/>
                      <w:szCs w:val="21"/>
                      <w:lang w:bidi="ar"/>
                    </w:rPr>
                    <w:t>00mA的</w:t>
                  </w:r>
                  <w:r>
                    <w:rPr>
                      <w:rFonts w:hint="eastAsia"/>
                      <w:bCs/>
                      <w:sz w:val="21"/>
                      <w:szCs w:val="21"/>
                      <w:lang w:val="en-US" w:eastAsia="zh-CN" w:bidi="ar"/>
                    </w:rPr>
                    <w:t>DSA</w:t>
                  </w:r>
                </w:p>
              </w:tc>
            </w:tr>
            <w:tr w14:paraId="0061D8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5" w:type="pct"/>
                  <w:vAlign w:val="center"/>
                </w:tcPr>
                <w:p w14:paraId="7AC97E66">
                  <w:pPr>
                    <w:spacing w:line="360" w:lineRule="exact"/>
                    <w:jc w:val="center"/>
                    <w:rPr>
                      <w:rFonts w:hint="default"/>
                      <w:bCs/>
                      <w:sz w:val="21"/>
                      <w:szCs w:val="21"/>
                      <w:lang w:val="en-US"/>
                    </w:rPr>
                  </w:pPr>
                  <w:r>
                    <w:rPr>
                      <w:rFonts w:hint="eastAsia"/>
                      <w:bCs/>
                      <w:sz w:val="21"/>
                      <w:szCs w:val="21"/>
                      <w:lang w:val="en-US" w:eastAsia="zh-CN"/>
                    </w:rPr>
                    <w:t>DSA手术室OR10</w:t>
                  </w:r>
                </w:p>
              </w:tc>
              <w:tc>
                <w:tcPr>
                  <w:tcW w:w="1269" w:type="pct"/>
                  <w:vAlign w:val="center"/>
                </w:tcPr>
                <w:p w14:paraId="1F0308E4">
                  <w:pPr>
                    <w:spacing w:line="360" w:lineRule="exact"/>
                    <w:jc w:val="center"/>
                    <w:rPr>
                      <w:bCs/>
                      <w:sz w:val="21"/>
                      <w:szCs w:val="21"/>
                      <w:vertAlign w:val="superscript"/>
                    </w:rPr>
                  </w:pPr>
                  <w:r>
                    <w:rPr>
                      <w:rFonts w:hint="default" w:ascii="Times New Roman" w:hAnsi="Times New Roman" w:eastAsia="宋体" w:cs="Times New Roman"/>
                      <w:spacing w:val="0"/>
                      <w:sz w:val="21"/>
                      <w:szCs w:val="21"/>
                      <w:lang w:val="en-US" w:eastAsia="zh-CN"/>
                    </w:rPr>
                    <w:t>影像检查和介入操作</w:t>
                  </w:r>
                </w:p>
              </w:tc>
              <w:tc>
                <w:tcPr>
                  <w:tcW w:w="2534" w:type="pct"/>
                  <w:vAlign w:val="center"/>
                </w:tcPr>
                <w:p w14:paraId="5278D3CA">
                  <w:pPr>
                    <w:spacing w:line="360" w:lineRule="exact"/>
                    <w:jc w:val="center"/>
                    <w:rPr>
                      <w:bCs/>
                      <w:sz w:val="21"/>
                      <w:szCs w:val="21"/>
                    </w:rPr>
                  </w:pPr>
                  <w:r>
                    <w:rPr>
                      <w:bCs/>
                      <w:sz w:val="21"/>
                      <w:szCs w:val="21"/>
                      <w:lang w:bidi="ar"/>
                    </w:rPr>
                    <w:t>机房</w:t>
                  </w:r>
                  <w:r>
                    <w:rPr>
                      <w:rFonts w:hint="eastAsia"/>
                      <w:bCs/>
                      <w:sz w:val="21"/>
                      <w:szCs w:val="21"/>
                      <w:lang w:val="en-US" w:eastAsia="zh-CN" w:bidi="ar"/>
                    </w:rPr>
                    <w:t>内</w:t>
                  </w:r>
                  <w:r>
                    <w:rPr>
                      <w:bCs/>
                      <w:sz w:val="21"/>
                      <w:szCs w:val="21"/>
                      <w:lang w:bidi="ar"/>
                    </w:rPr>
                    <w:t>配置1台1</w:t>
                  </w:r>
                  <w:r>
                    <w:rPr>
                      <w:rFonts w:hint="eastAsia"/>
                      <w:bCs/>
                      <w:sz w:val="21"/>
                      <w:szCs w:val="21"/>
                      <w:lang w:val="en-US" w:eastAsia="zh-CN" w:bidi="ar"/>
                    </w:rPr>
                    <w:t>25</w:t>
                  </w:r>
                  <w:r>
                    <w:rPr>
                      <w:bCs/>
                      <w:sz w:val="21"/>
                      <w:szCs w:val="21"/>
                      <w:lang w:bidi="ar"/>
                    </w:rPr>
                    <w:t>kV、</w:t>
                  </w:r>
                  <w:r>
                    <w:rPr>
                      <w:rFonts w:hint="eastAsia"/>
                      <w:bCs/>
                      <w:sz w:val="21"/>
                      <w:szCs w:val="21"/>
                      <w:lang w:val="en-US" w:eastAsia="zh-CN" w:bidi="ar"/>
                    </w:rPr>
                    <w:t>10</w:t>
                  </w:r>
                  <w:r>
                    <w:rPr>
                      <w:bCs/>
                      <w:sz w:val="21"/>
                      <w:szCs w:val="21"/>
                      <w:lang w:bidi="ar"/>
                    </w:rPr>
                    <w:t>00mA的</w:t>
                  </w:r>
                  <w:r>
                    <w:rPr>
                      <w:rFonts w:hint="eastAsia"/>
                      <w:bCs/>
                      <w:sz w:val="21"/>
                      <w:szCs w:val="21"/>
                      <w:lang w:val="en-US" w:eastAsia="zh-CN" w:bidi="ar"/>
                    </w:rPr>
                    <w:t>DSA</w:t>
                  </w:r>
                </w:p>
              </w:tc>
            </w:tr>
            <w:tr w14:paraId="69DFC5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5" w:type="pct"/>
                  <w:vAlign w:val="center"/>
                </w:tcPr>
                <w:p w14:paraId="44C44A6F">
                  <w:pPr>
                    <w:spacing w:line="360" w:lineRule="exact"/>
                    <w:jc w:val="center"/>
                    <w:rPr>
                      <w:rFonts w:hint="default"/>
                      <w:bCs/>
                      <w:sz w:val="21"/>
                      <w:szCs w:val="21"/>
                      <w:lang w:val="en-US"/>
                    </w:rPr>
                  </w:pPr>
                  <w:r>
                    <w:rPr>
                      <w:rFonts w:hint="eastAsia"/>
                      <w:bCs/>
                      <w:sz w:val="21"/>
                      <w:szCs w:val="21"/>
                      <w:lang w:val="en-US" w:eastAsia="zh-CN"/>
                    </w:rPr>
                    <w:t>DSA手术室OR11</w:t>
                  </w:r>
                </w:p>
              </w:tc>
              <w:tc>
                <w:tcPr>
                  <w:tcW w:w="1269" w:type="pct"/>
                  <w:vAlign w:val="center"/>
                </w:tcPr>
                <w:p w14:paraId="39686FA0">
                  <w:pPr>
                    <w:spacing w:line="360" w:lineRule="exact"/>
                    <w:jc w:val="center"/>
                    <w:rPr>
                      <w:bCs/>
                      <w:sz w:val="21"/>
                      <w:szCs w:val="21"/>
                    </w:rPr>
                  </w:pPr>
                  <w:r>
                    <w:rPr>
                      <w:rFonts w:hint="default" w:ascii="Times New Roman" w:hAnsi="Times New Roman" w:eastAsia="宋体" w:cs="Times New Roman"/>
                      <w:spacing w:val="0"/>
                      <w:sz w:val="21"/>
                      <w:szCs w:val="21"/>
                      <w:lang w:val="en-US" w:eastAsia="zh-CN"/>
                    </w:rPr>
                    <w:t>影像检查和介入操作</w:t>
                  </w:r>
                </w:p>
              </w:tc>
              <w:tc>
                <w:tcPr>
                  <w:tcW w:w="2534" w:type="pct"/>
                  <w:vAlign w:val="center"/>
                </w:tcPr>
                <w:p w14:paraId="768F132E">
                  <w:pPr>
                    <w:spacing w:line="360" w:lineRule="exact"/>
                    <w:jc w:val="center"/>
                    <w:rPr>
                      <w:bCs/>
                      <w:sz w:val="21"/>
                      <w:szCs w:val="21"/>
                    </w:rPr>
                  </w:pPr>
                  <w:r>
                    <w:rPr>
                      <w:bCs/>
                      <w:sz w:val="21"/>
                      <w:szCs w:val="21"/>
                      <w:lang w:bidi="ar"/>
                    </w:rPr>
                    <w:t>机房</w:t>
                  </w:r>
                  <w:r>
                    <w:rPr>
                      <w:rFonts w:hint="eastAsia"/>
                      <w:bCs/>
                      <w:sz w:val="21"/>
                      <w:szCs w:val="21"/>
                      <w:lang w:val="en-US" w:eastAsia="zh-CN" w:bidi="ar"/>
                    </w:rPr>
                    <w:t>内</w:t>
                  </w:r>
                  <w:r>
                    <w:rPr>
                      <w:bCs/>
                      <w:sz w:val="21"/>
                      <w:szCs w:val="21"/>
                      <w:lang w:bidi="ar"/>
                    </w:rPr>
                    <w:t>配置1台1</w:t>
                  </w:r>
                  <w:r>
                    <w:rPr>
                      <w:rFonts w:hint="eastAsia"/>
                      <w:bCs/>
                      <w:sz w:val="21"/>
                      <w:szCs w:val="21"/>
                      <w:lang w:val="en-US" w:eastAsia="zh-CN" w:bidi="ar"/>
                    </w:rPr>
                    <w:t>25</w:t>
                  </w:r>
                  <w:r>
                    <w:rPr>
                      <w:bCs/>
                      <w:sz w:val="21"/>
                      <w:szCs w:val="21"/>
                      <w:lang w:bidi="ar"/>
                    </w:rPr>
                    <w:t>kV、</w:t>
                  </w:r>
                  <w:r>
                    <w:rPr>
                      <w:rFonts w:hint="eastAsia"/>
                      <w:bCs/>
                      <w:sz w:val="21"/>
                      <w:szCs w:val="21"/>
                      <w:lang w:val="en-US" w:eastAsia="zh-CN" w:bidi="ar"/>
                    </w:rPr>
                    <w:t>10</w:t>
                  </w:r>
                  <w:r>
                    <w:rPr>
                      <w:bCs/>
                      <w:sz w:val="21"/>
                      <w:szCs w:val="21"/>
                      <w:lang w:bidi="ar"/>
                    </w:rPr>
                    <w:t>00mA的</w:t>
                  </w:r>
                  <w:r>
                    <w:rPr>
                      <w:rFonts w:hint="eastAsia"/>
                      <w:bCs/>
                      <w:sz w:val="21"/>
                      <w:szCs w:val="21"/>
                      <w:lang w:val="en-US" w:eastAsia="zh-CN" w:bidi="ar"/>
                    </w:rPr>
                    <w:t>DSA</w:t>
                  </w:r>
                </w:p>
              </w:tc>
            </w:tr>
            <w:tr w14:paraId="50860C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95" w:type="pct"/>
                  <w:vAlign w:val="center"/>
                </w:tcPr>
                <w:p w14:paraId="48AA4CD2">
                  <w:pPr>
                    <w:spacing w:line="360" w:lineRule="exact"/>
                    <w:jc w:val="center"/>
                    <w:rPr>
                      <w:rFonts w:hint="default" w:eastAsia="宋体"/>
                      <w:bCs/>
                      <w:sz w:val="21"/>
                      <w:szCs w:val="21"/>
                      <w:lang w:val="en-US" w:eastAsia="zh-CN"/>
                    </w:rPr>
                  </w:pPr>
                  <w:r>
                    <w:rPr>
                      <w:rFonts w:hint="eastAsia"/>
                      <w:bCs/>
                      <w:sz w:val="21"/>
                      <w:szCs w:val="21"/>
                      <w:lang w:val="en-US" w:eastAsia="zh-CN"/>
                    </w:rPr>
                    <w:t>ERCP室</w:t>
                  </w:r>
                </w:p>
              </w:tc>
              <w:tc>
                <w:tcPr>
                  <w:tcW w:w="1269" w:type="pct"/>
                  <w:vAlign w:val="center"/>
                </w:tcPr>
                <w:p w14:paraId="485200A3">
                  <w:pPr>
                    <w:spacing w:line="360" w:lineRule="exact"/>
                    <w:jc w:val="center"/>
                    <w:rPr>
                      <w:bCs/>
                      <w:sz w:val="21"/>
                      <w:szCs w:val="21"/>
                    </w:rPr>
                  </w:pPr>
                  <w:r>
                    <w:rPr>
                      <w:rFonts w:hint="default" w:ascii="Times New Roman" w:hAnsi="Times New Roman" w:eastAsia="宋体" w:cs="Times New Roman"/>
                      <w:spacing w:val="0"/>
                      <w:sz w:val="21"/>
                      <w:szCs w:val="21"/>
                      <w:lang w:val="en-US" w:eastAsia="zh-CN"/>
                    </w:rPr>
                    <w:t>影像检查和介入操作</w:t>
                  </w:r>
                </w:p>
              </w:tc>
              <w:tc>
                <w:tcPr>
                  <w:tcW w:w="2534" w:type="pct"/>
                  <w:vAlign w:val="center"/>
                </w:tcPr>
                <w:p w14:paraId="0CEF39B8">
                  <w:pPr>
                    <w:spacing w:line="360" w:lineRule="exact"/>
                    <w:jc w:val="center"/>
                    <w:rPr>
                      <w:bCs/>
                      <w:sz w:val="21"/>
                      <w:szCs w:val="21"/>
                    </w:rPr>
                  </w:pPr>
                  <w:r>
                    <w:rPr>
                      <w:bCs/>
                      <w:sz w:val="21"/>
                      <w:szCs w:val="21"/>
                      <w:lang w:bidi="ar"/>
                    </w:rPr>
                    <w:t>机房</w:t>
                  </w:r>
                  <w:r>
                    <w:rPr>
                      <w:rFonts w:hint="eastAsia"/>
                      <w:bCs/>
                      <w:sz w:val="21"/>
                      <w:szCs w:val="21"/>
                      <w:lang w:val="en-US" w:eastAsia="zh-CN" w:bidi="ar"/>
                    </w:rPr>
                    <w:t>内</w:t>
                  </w:r>
                  <w:r>
                    <w:rPr>
                      <w:bCs/>
                      <w:sz w:val="21"/>
                      <w:szCs w:val="21"/>
                      <w:lang w:bidi="ar"/>
                    </w:rPr>
                    <w:t>配置1台1</w:t>
                  </w:r>
                  <w:r>
                    <w:rPr>
                      <w:rFonts w:hint="eastAsia"/>
                      <w:bCs/>
                      <w:sz w:val="21"/>
                      <w:szCs w:val="21"/>
                      <w:lang w:val="en-US" w:eastAsia="zh-CN" w:bidi="ar"/>
                    </w:rPr>
                    <w:t>25</w:t>
                  </w:r>
                  <w:r>
                    <w:rPr>
                      <w:bCs/>
                      <w:sz w:val="21"/>
                      <w:szCs w:val="21"/>
                      <w:lang w:bidi="ar"/>
                    </w:rPr>
                    <w:t>kV、</w:t>
                  </w:r>
                  <w:r>
                    <w:rPr>
                      <w:rFonts w:hint="eastAsia"/>
                      <w:bCs/>
                      <w:sz w:val="21"/>
                      <w:szCs w:val="21"/>
                      <w:lang w:val="en-US" w:eastAsia="zh-CN" w:bidi="ar"/>
                    </w:rPr>
                    <w:t>10</w:t>
                  </w:r>
                  <w:r>
                    <w:rPr>
                      <w:bCs/>
                      <w:sz w:val="21"/>
                      <w:szCs w:val="21"/>
                      <w:lang w:bidi="ar"/>
                    </w:rPr>
                    <w:t>00mA的</w:t>
                  </w:r>
                  <w:r>
                    <w:rPr>
                      <w:rFonts w:hint="eastAsia"/>
                      <w:bCs/>
                      <w:sz w:val="21"/>
                      <w:szCs w:val="21"/>
                      <w:lang w:val="en-US" w:eastAsia="zh-CN" w:bidi="ar"/>
                    </w:rPr>
                    <w:t>ERCP</w:t>
                  </w:r>
                </w:p>
              </w:tc>
            </w:tr>
          </w:tbl>
          <w:p w14:paraId="016F8CC0">
            <w:pPr>
              <w:widowControl/>
              <w:ind w:firstLine="482"/>
              <w:rPr>
                <w:b/>
              </w:rPr>
            </w:pPr>
            <w:r>
              <w:rPr>
                <w:b/>
              </w:rPr>
              <w:t>3、平面布置合理性分析</w:t>
            </w:r>
          </w:p>
          <w:p w14:paraId="2F775A3F">
            <w:pPr>
              <w:ind w:firstLine="480"/>
              <w:rPr>
                <w:bCs/>
              </w:rPr>
            </w:pPr>
            <w:r>
              <w:rPr>
                <w:bCs/>
              </w:rPr>
              <w:t>本项目核医学科平面布置与《核医学辐射防护与安全要求》（HJ1188-2021）对照分析情况见表10-</w:t>
            </w:r>
            <w:r>
              <w:rPr>
                <w:rFonts w:hint="eastAsia"/>
                <w:bCs/>
                <w:lang w:val="en-US" w:eastAsia="zh-CN"/>
              </w:rPr>
              <w:t>3</w:t>
            </w:r>
            <w:r>
              <w:rPr>
                <w:bCs/>
              </w:rPr>
              <w:t>。</w:t>
            </w:r>
          </w:p>
          <w:p w14:paraId="739C1506">
            <w:pPr>
              <w:spacing w:before="163" w:line="240" w:lineRule="auto"/>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表10-</w:t>
            </w:r>
            <w:r>
              <w:rPr>
                <w:rFonts w:hint="default" w:ascii="Times New Roman" w:hAnsi="Times New Roman" w:eastAsia="宋体" w:cs="Times New Roman"/>
                <w:b/>
                <w:bCs w:val="0"/>
                <w:sz w:val="21"/>
                <w:szCs w:val="21"/>
                <w:lang w:val="en-US" w:eastAsia="zh-CN"/>
              </w:rPr>
              <w:t>3</w:t>
            </w:r>
            <w:r>
              <w:rPr>
                <w:rFonts w:hint="default" w:ascii="Times New Roman" w:hAnsi="Times New Roman" w:eastAsia="宋体" w:cs="Times New Roman"/>
                <w:b/>
                <w:bCs w:val="0"/>
                <w:sz w:val="21"/>
                <w:szCs w:val="21"/>
              </w:rPr>
              <w:t xml:space="preserve">  平面布局与HJ1188-2021要求对照分析一览表</w:t>
            </w:r>
          </w:p>
          <w:tbl>
            <w:tblPr>
              <w:tblStyle w:val="5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26"/>
              <w:gridCol w:w="4012"/>
              <w:gridCol w:w="761"/>
            </w:tblGrid>
            <w:tr w14:paraId="3E027F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88" w:type="pct"/>
                  <w:vAlign w:val="center"/>
                </w:tcPr>
                <w:p w14:paraId="45DF7D7E">
                  <w:pPr>
                    <w:spacing w:line="360" w:lineRule="exact"/>
                    <w:jc w:val="center"/>
                    <w:rPr>
                      <w:b/>
                      <w:bCs w:val="0"/>
                      <w:sz w:val="21"/>
                      <w:szCs w:val="21"/>
                    </w:rPr>
                  </w:pPr>
                  <w:r>
                    <w:rPr>
                      <w:b/>
                      <w:bCs w:val="0"/>
                      <w:sz w:val="21"/>
                      <w:szCs w:val="21"/>
                    </w:rPr>
                    <w:t>标准要求</w:t>
                  </w:r>
                </w:p>
              </w:tc>
              <w:tc>
                <w:tcPr>
                  <w:tcW w:w="2280" w:type="pct"/>
                  <w:vAlign w:val="center"/>
                </w:tcPr>
                <w:p w14:paraId="29DE1D6C">
                  <w:pPr>
                    <w:spacing w:line="360" w:lineRule="exact"/>
                    <w:jc w:val="center"/>
                    <w:rPr>
                      <w:b/>
                      <w:bCs w:val="0"/>
                      <w:sz w:val="21"/>
                      <w:szCs w:val="21"/>
                    </w:rPr>
                  </w:pPr>
                  <w:r>
                    <w:rPr>
                      <w:b/>
                      <w:bCs w:val="0"/>
                      <w:sz w:val="21"/>
                      <w:szCs w:val="21"/>
                    </w:rPr>
                    <w:t>设计落实情况</w:t>
                  </w:r>
                </w:p>
              </w:tc>
              <w:tc>
                <w:tcPr>
                  <w:tcW w:w="432" w:type="pct"/>
                  <w:vAlign w:val="center"/>
                </w:tcPr>
                <w:p w14:paraId="491B791F">
                  <w:pPr>
                    <w:spacing w:line="360" w:lineRule="exact"/>
                    <w:jc w:val="center"/>
                    <w:rPr>
                      <w:b/>
                      <w:bCs w:val="0"/>
                      <w:sz w:val="21"/>
                      <w:szCs w:val="21"/>
                    </w:rPr>
                  </w:pPr>
                  <w:r>
                    <w:rPr>
                      <w:b/>
                      <w:bCs w:val="0"/>
                      <w:sz w:val="21"/>
                      <w:szCs w:val="21"/>
                    </w:rPr>
                    <w:t>备注</w:t>
                  </w:r>
                </w:p>
              </w:tc>
            </w:tr>
            <w:tr w14:paraId="3A0D28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88" w:type="pct"/>
                  <w:vAlign w:val="center"/>
                </w:tcPr>
                <w:p w14:paraId="00E78735">
                  <w:pPr>
                    <w:spacing w:line="360" w:lineRule="exact"/>
                    <w:rPr>
                      <w:bCs/>
                      <w:sz w:val="21"/>
                      <w:szCs w:val="21"/>
                    </w:rPr>
                  </w:pPr>
                  <w:r>
                    <w:rPr>
                      <w:bCs/>
                      <w:sz w:val="21"/>
                      <w:szCs w:val="21"/>
                    </w:rPr>
                    <w:t>核医学工作场所应合理布局，住院治疗场所和门诊诊断场所应相对分开布置；同一工作场所内应根据诊疗流程合理设计各功能区域的布局，控制区应相对集中，高活室集中在一端，防止交叉污染。尽量减小放射性药物、放射性废物的存放范围，限制给药后患者的活动空间。</w:t>
                  </w:r>
                </w:p>
              </w:tc>
              <w:tc>
                <w:tcPr>
                  <w:tcW w:w="2280" w:type="pct"/>
                  <w:vAlign w:val="center"/>
                </w:tcPr>
                <w:p w14:paraId="4D3A9A73">
                  <w:pPr>
                    <w:spacing w:line="360" w:lineRule="exact"/>
                    <w:rPr>
                      <w:bCs/>
                      <w:sz w:val="21"/>
                      <w:szCs w:val="21"/>
                    </w:rPr>
                  </w:pPr>
                  <w:r>
                    <w:rPr>
                      <w:bCs/>
                      <w:sz w:val="21"/>
                      <w:szCs w:val="21"/>
                    </w:rPr>
                    <w:fldChar w:fldCharType="begin"/>
                  </w:r>
                  <w:r>
                    <w:rPr>
                      <w:bCs/>
                      <w:sz w:val="21"/>
                      <w:szCs w:val="21"/>
                    </w:rPr>
                    <w:instrText xml:space="preserve"> = 1 \* GB3 </w:instrText>
                  </w:r>
                  <w:r>
                    <w:rPr>
                      <w:bCs/>
                      <w:sz w:val="21"/>
                      <w:szCs w:val="21"/>
                    </w:rPr>
                    <w:fldChar w:fldCharType="separate"/>
                  </w:r>
                  <w:r>
                    <w:rPr>
                      <w:bCs/>
                      <w:sz w:val="21"/>
                      <w:szCs w:val="21"/>
                    </w:rPr>
                    <w:t>①</w:t>
                  </w:r>
                  <w:r>
                    <w:rPr>
                      <w:bCs/>
                      <w:sz w:val="21"/>
                      <w:szCs w:val="21"/>
                    </w:rPr>
                    <w:fldChar w:fldCharType="end"/>
                  </w:r>
                  <w:r>
                    <w:rPr>
                      <w:bCs/>
                      <w:sz w:val="21"/>
                      <w:szCs w:val="21"/>
                    </w:rPr>
                    <w:t>本项目核医学科位于</w:t>
                  </w:r>
                  <w:r>
                    <w:rPr>
                      <w:rFonts w:hint="eastAsia"/>
                      <w:bCs/>
                      <w:sz w:val="21"/>
                      <w:szCs w:val="21"/>
                      <w:lang w:val="en-US" w:eastAsia="zh-CN"/>
                    </w:rPr>
                    <w:t>门诊医技楼</w:t>
                  </w:r>
                  <w:r>
                    <w:rPr>
                      <w:bCs/>
                      <w:sz w:val="21"/>
                      <w:szCs w:val="21"/>
                    </w:rPr>
                    <w:t>负一层，</w:t>
                  </w:r>
                  <w:r>
                    <w:rPr>
                      <w:rFonts w:hint="eastAsia"/>
                      <w:bCs/>
                      <w:sz w:val="21"/>
                      <w:szCs w:val="21"/>
                      <w:lang w:val="en-US" w:eastAsia="zh-CN"/>
                    </w:rPr>
                    <w:t>合理设置了各功能场所</w:t>
                  </w:r>
                  <w:r>
                    <w:rPr>
                      <w:bCs/>
                      <w:sz w:val="21"/>
                      <w:szCs w:val="21"/>
                    </w:rPr>
                    <w:t>；</w:t>
                  </w:r>
                  <w:r>
                    <w:rPr>
                      <w:bCs/>
                      <w:sz w:val="21"/>
                      <w:szCs w:val="21"/>
                    </w:rPr>
                    <w:fldChar w:fldCharType="begin"/>
                  </w:r>
                  <w:r>
                    <w:rPr>
                      <w:bCs/>
                      <w:sz w:val="21"/>
                      <w:szCs w:val="21"/>
                    </w:rPr>
                    <w:instrText xml:space="preserve"> = 2 \* GB3 </w:instrText>
                  </w:r>
                  <w:r>
                    <w:rPr>
                      <w:bCs/>
                      <w:sz w:val="21"/>
                      <w:szCs w:val="21"/>
                    </w:rPr>
                    <w:fldChar w:fldCharType="separate"/>
                  </w:r>
                  <w:r>
                    <w:rPr>
                      <w:bCs/>
                      <w:sz w:val="21"/>
                      <w:szCs w:val="21"/>
                    </w:rPr>
                    <w:t>②</w:t>
                  </w:r>
                  <w:r>
                    <w:rPr>
                      <w:bCs/>
                      <w:sz w:val="21"/>
                      <w:szCs w:val="21"/>
                    </w:rPr>
                    <w:fldChar w:fldCharType="end"/>
                  </w:r>
                  <w:r>
                    <w:rPr>
                      <w:bCs/>
                      <w:sz w:val="21"/>
                      <w:szCs w:val="21"/>
                    </w:rPr>
                    <w:t>本项目核医学科高活区域已采取集中布置设计，且布置于核医学科的一端，可防止交叉污染；</w:t>
                  </w:r>
                  <w:r>
                    <w:rPr>
                      <w:bCs/>
                      <w:sz w:val="21"/>
                      <w:szCs w:val="21"/>
                    </w:rPr>
                    <w:fldChar w:fldCharType="begin"/>
                  </w:r>
                  <w:r>
                    <w:rPr>
                      <w:bCs/>
                      <w:sz w:val="21"/>
                      <w:szCs w:val="21"/>
                    </w:rPr>
                    <w:instrText xml:space="preserve"> = 3 \* GB3 </w:instrText>
                  </w:r>
                  <w:r>
                    <w:rPr>
                      <w:bCs/>
                      <w:sz w:val="21"/>
                      <w:szCs w:val="21"/>
                    </w:rPr>
                    <w:fldChar w:fldCharType="separate"/>
                  </w:r>
                  <w:r>
                    <w:rPr>
                      <w:bCs/>
                      <w:sz w:val="21"/>
                      <w:szCs w:val="21"/>
                    </w:rPr>
                    <w:t>③</w:t>
                  </w:r>
                  <w:r>
                    <w:rPr>
                      <w:bCs/>
                      <w:sz w:val="21"/>
                      <w:szCs w:val="21"/>
                    </w:rPr>
                    <w:fldChar w:fldCharType="end"/>
                  </w:r>
                  <w:r>
                    <w:rPr>
                      <w:bCs/>
                      <w:sz w:val="21"/>
                      <w:szCs w:val="21"/>
                    </w:rPr>
                    <w:t>已设计独立的储源室和</w:t>
                  </w:r>
                  <w:r>
                    <w:rPr>
                      <w:rFonts w:hint="eastAsia"/>
                      <w:bCs/>
                      <w:sz w:val="21"/>
                      <w:szCs w:val="21"/>
                      <w:lang w:eastAsia="zh-CN"/>
                    </w:rPr>
                    <w:t>放废暂存间</w:t>
                  </w:r>
                  <w:r>
                    <w:rPr>
                      <w:bCs/>
                      <w:sz w:val="21"/>
                      <w:szCs w:val="21"/>
                    </w:rPr>
                    <w:t>；</w:t>
                  </w:r>
                  <w:r>
                    <w:rPr>
                      <w:sz w:val="21"/>
                      <w:szCs w:val="21"/>
                    </w:rPr>
                    <w:t>④已设计单向门禁系统，</w:t>
                  </w:r>
                  <w:r>
                    <w:rPr>
                      <w:bCs/>
                      <w:sz w:val="21"/>
                      <w:szCs w:val="21"/>
                    </w:rPr>
                    <w:t>可有效控制给药后患者的活动空间。</w:t>
                  </w:r>
                </w:p>
              </w:tc>
              <w:tc>
                <w:tcPr>
                  <w:tcW w:w="432" w:type="pct"/>
                  <w:vAlign w:val="center"/>
                </w:tcPr>
                <w:p w14:paraId="5C440F55">
                  <w:pPr>
                    <w:spacing w:line="360" w:lineRule="exact"/>
                    <w:jc w:val="center"/>
                    <w:rPr>
                      <w:bCs/>
                      <w:sz w:val="21"/>
                      <w:szCs w:val="21"/>
                    </w:rPr>
                  </w:pPr>
                  <w:r>
                    <w:rPr>
                      <w:bCs/>
                      <w:sz w:val="21"/>
                      <w:szCs w:val="21"/>
                    </w:rPr>
                    <w:t>满足</w:t>
                  </w:r>
                </w:p>
              </w:tc>
            </w:tr>
            <w:tr w14:paraId="2098AD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88" w:type="pct"/>
                  <w:vAlign w:val="center"/>
                </w:tcPr>
                <w:p w14:paraId="25CC94E2">
                  <w:pPr>
                    <w:spacing w:line="360" w:lineRule="exact"/>
                    <w:rPr>
                      <w:bCs/>
                      <w:sz w:val="21"/>
                      <w:szCs w:val="21"/>
                    </w:rPr>
                  </w:pPr>
                  <w:r>
                    <w:rPr>
                      <w:bCs/>
                      <w:sz w:val="21"/>
                      <w:szCs w:val="21"/>
                    </w:rPr>
                    <w:t>核医学工作场所应设立相对独立的工作人员、患者、放射性药物和放射性废物路径。工作人员通道和患者通道分开，减少给药后患者对其他人员的照射。注射放射性药物后患者与注射放射性药物前患者不交叉，人员与放射性药物通道不交叉，放射性药物和放射性废物运送通道应尽可能短捷。</w:t>
                  </w:r>
                </w:p>
              </w:tc>
              <w:tc>
                <w:tcPr>
                  <w:tcW w:w="2280" w:type="pct"/>
                  <w:vAlign w:val="center"/>
                </w:tcPr>
                <w:p w14:paraId="34785FD8">
                  <w:pPr>
                    <w:spacing w:line="360" w:lineRule="exact"/>
                    <w:rPr>
                      <w:bCs/>
                      <w:sz w:val="21"/>
                      <w:szCs w:val="21"/>
                    </w:rPr>
                  </w:pPr>
                  <w:r>
                    <w:rPr>
                      <w:bCs/>
                      <w:sz w:val="21"/>
                      <w:szCs w:val="21"/>
                    </w:rPr>
                    <w:t>本项目设计有独立的工作人员和用药患者通道，可以避免医生和用药患者交叉影响，同时针对放射性药物和放射性废物采取时间管控措施，避免交叉影响，且储源室和</w:t>
                  </w:r>
                  <w:r>
                    <w:rPr>
                      <w:rFonts w:hint="eastAsia"/>
                      <w:bCs/>
                      <w:sz w:val="21"/>
                      <w:szCs w:val="21"/>
                      <w:lang w:eastAsia="zh-CN"/>
                    </w:rPr>
                    <w:t>放废暂存间</w:t>
                  </w:r>
                  <w:r>
                    <w:rPr>
                      <w:bCs/>
                      <w:sz w:val="21"/>
                      <w:szCs w:val="21"/>
                    </w:rPr>
                    <w:t>临近场所出入口，还设计了专门的放射性药物专用电梯，其运送通道已尽可能短捷。</w:t>
                  </w:r>
                </w:p>
              </w:tc>
              <w:tc>
                <w:tcPr>
                  <w:tcW w:w="432" w:type="pct"/>
                  <w:vAlign w:val="center"/>
                </w:tcPr>
                <w:p w14:paraId="0901AEB9">
                  <w:pPr>
                    <w:spacing w:line="360" w:lineRule="exact"/>
                    <w:jc w:val="center"/>
                    <w:rPr>
                      <w:bCs/>
                      <w:sz w:val="21"/>
                      <w:szCs w:val="21"/>
                    </w:rPr>
                  </w:pPr>
                  <w:r>
                    <w:rPr>
                      <w:bCs/>
                      <w:sz w:val="21"/>
                      <w:szCs w:val="21"/>
                    </w:rPr>
                    <w:t>满足</w:t>
                  </w:r>
                </w:p>
              </w:tc>
            </w:tr>
            <w:tr w14:paraId="551A78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288" w:type="pct"/>
                  <w:vAlign w:val="center"/>
                </w:tcPr>
                <w:p w14:paraId="1C357346">
                  <w:pPr>
                    <w:spacing w:line="360" w:lineRule="exact"/>
                    <w:rPr>
                      <w:bCs/>
                      <w:sz w:val="21"/>
                      <w:szCs w:val="21"/>
                    </w:rPr>
                  </w:pPr>
                  <w:r>
                    <w:rPr>
                      <w:bCs/>
                      <w:sz w:val="21"/>
                      <w:szCs w:val="21"/>
                    </w:rPr>
                    <w:t>核医学工作场所宜采取合适的措施，控制无关人员随意进入控制区和给药后患者的随意流动，避免工作人员和公众受到不必要的照射。控制区的出入口应设立卫生缓冲区，为工作人员和患者提供必要的可更换衣物、防护用品、冲洗设施和表面污染监测设备。控制区内应设有给药后患者的专用卫生间。</w:t>
                  </w:r>
                </w:p>
              </w:tc>
              <w:tc>
                <w:tcPr>
                  <w:tcW w:w="2280" w:type="pct"/>
                  <w:vAlign w:val="center"/>
                </w:tcPr>
                <w:p w14:paraId="4993FA14">
                  <w:pPr>
                    <w:spacing w:line="360" w:lineRule="exact"/>
                    <w:rPr>
                      <w:bCs/>
                      <w:sz w:val="21"/>
                      <w:szCs w:val="21"/>
                    </w:rPr>
                  </w:pPr>
                  <w:r>
                    <w:rPr>
                      <w:bCs/>
                      <w:sz w:val="21"/>
                      <w:szCs w:val="21"/>
                    </w:rPr>
                    <w:fldChar w:fldCharType="begin"/>
                  </w:r>
                  <w:r>
                    <w:rPr>
                      <w:bCs/>
                      <w:sz w:val="21"/>
                      <w:szCs w:val="21"/>
                    </w:rPr>
                    <w:instrText xml:space="preserve"> = 1 \* GB3 </w:instrText>
                  </w:r>
                  <w:r>
                    <w:rPr>
                      <w:bCs/>
                      <w:sz w:val="21"/>
                      <w:szCs w:val="21"/>
                    </w:rPr>
                    <w:fldChar w:fldCharType="separate"/>
                  </w:r>
                  <w:r>
                    <w:rPr>
                      <w:bCs/>
                      <w:sz w:val="21"/>
                      <w:szCs w:val="21"/>
                    </w:rPr>
                    <w:t>①</w:t>
                  </w:r>
                  <w:r>
                    <w:rPr>
                      <w:bCs/>
                      <w:sz w:val="21"/>
                      <w:szCs w:val="21"/>
                    </w:rPr>
                    <w:fldChar w:fldCharType="end"/>
                  </w:r>
                  <w:r>
                    <w:rPr>
                      <w:bCs/>
                      <w:sz w:val="21"/>
                      <w:szCs w:val="21"/>
                    </w:rPr>
                    <w:t>本项目核医学科已设计病人单向流通门禁系统，可有效控制病人流动范围并控制无关人员进入，避免工作人员和公众受到不必要的照射；</w:t>
                  </w:r>
                  <w:r>
                    <w:rPr>
                      <w:bCs/>
                      <w:sz w:val="21"/>
                      <w:szCs w:val="21"/>
                    </w:rPr>
                    <w:fldChar w:fldCharType="begin"/>
                  </w:r>
                  <w:r>
                    <w:rPr>
                      <w:bCs/>
                      <w:sz w:val="21"/>
                      <w:szCs w:val="21"/>
                    </w:rPr>
                    <w:instrText xml:space="preserve"> = 2 \* GB3 </w:instrText>
                  </w:r>
                  <w:r>
                    <w:rPr>
                      <w:bCs/>
                      <w:sz w:val="21"/>
                      <w:szCs w:val="21"/>
                    </w:rPr>
                    <w:fldChar w:fldCharType="separate"/>
                  </w:r>
                  <w:r>
                    <w:rPr>
                      <w:bCs/>
                      <w:sz w:val="21"/>
                      <w:szCs w:val="21"/>
                    </w:rPr>
                    <w:t>②</w:t>
                  </w:r>
                  <w:r>
                    <w:rPr>
                      <w:bCs/>
                      <w:sz w:val="21"/>
                      <w:szCs w:val="21"/>
                    </w:rPr>
                    <w:fldChar w:fldCharType="end"/>
                  </w:r>
                  <w:r>
                    <w:rPr>
                      <w:bCs/>
                      <w:sz w:val="21"/>
                      <w:szCs w:val="21"/>
                    </w:rPr>
                    <w:t>控制区出入口已设计工作人员卫生通过区域（更衣间、监测间），配备更衣、淋浴和表面沾污监测设备，辐射工作人员需经过表面沾污监测→合格→更衣流程后离开；</w:t>
                  </w:r>
                  <w:r>
                    <w:rPr>
                      <w:bCs/>
                      <w:sz w:val="21"/>
                      <w:szCs w:val="21"/>
                    </w:rPr>
                    <w:fldChar w:fldCharType="begin"/>
                  </w:r>
                  <w:r>
                    <w:rPr>
                      <w:bCs/>
                      <w:sz w:val="21"/>
                      <w:szCs w:val="21"/>
                    </w:rPr>
                    <w:instrText xml:space="preserve"> = 3 \* GB3 </w:instrText>
                  </w:r>
                  <w:r>
                    <w:rPr>
                      <w:bCs/>
                      <w:sz w:val="21"/>
                      <w:szCs w:val="21"/>
                    </w:rPr>
                    <w:fldChar w:fldCharType="separate"/>
                  </w:r>
                  <w:r>
                    <w:rPr>
                      <w:bCs/>
                      <w:sz w:val="21"/>
                      <w:szCs w:val="21"/>
                    </w:rPr>
                    <w:t>③</w:t>
                  </w:r>
                  <w:r>
                    <w:rPr>
                      <w:bCs/>
                      <w:sz w:val="21"/>
                      <w:szCs w:val="21"/>
                    </w:rPr>
                    <w:fldChar w:fldCharType="end"/>
                  </w:r>
                  <w:r>
                    <w:rPr>
                      <w:bCs/>
                      <w:sz w:val="21"/>
                      <w:szCs w:val="21"/>
                    </w:rPr>
                    <w:t>已设计给药后病人的专用卫生间，针对用药病人排泄废水的收集采用独立下水管道排入衰变池。</w:t>
                  </w:r>
                </w:p>
              </w:tc>
              <w:tc>
                <w:tcPr>
                  <w:tcW w:w="432" w:type="pct"/>
                  <w:vAlign w:val="center"/>
                </w:tcPr>
                <w:p w14:paraId="4CEDAD34">
                  <w:pPr>
                    <w:spacing w:line="360" w:lineRule="exact"/>
                    <w:jc w:val="center"/>
                    <w:rPr>
                      <w:bCs/>
                      <w:sz w:val="21"/>
                      <w:szCs w:val="21"/>
                    </w:rPr>
                  </w:pPr>
                  <w:r>
                    <w:rPr>
                      <w:bCs/>
                      <w:sz w:val="21"/>
                      <w:szCs w:val="21"/>
                    </w:rPr>
                    <w:t>满足</w:t>
                  </w:r>
                </w:p>
              </w:tc>
            </w:tr>
          </w:tbl>
          <w:p w14:paraId="739B6902">
            <w:pPr>
              <w:ind w:firstLine="480"/>
              <w:rPr>
                <w:lang w:bidi="ar"/>
              </w:rPr>
            </w:pPr>
            <w:r>
              <w:rPr>
                <w:bCs/>
              </w:rPr>
              <w:t>综上所述，本项目核医学科平面布局满足《核医学辐射防护与安全要求》（HJ1188-2021）</w:t>
            </w:r>
            <w:r>
              <w:t>，核医学科位置相对封闭且独立，</w:t>
            </w:r>
            <w:r>
              <w:rPr>
                <w:lang w:bidi="ar"/>
              </w:rPr>
              <w:t>功能用房相对集中且齐全，满足功能需要，设施布局顺序和诊断流程一一对应，便于放射性药物生产、制备、给药、检查/治疗等步骤的逐步实施，</w:t>
            </w:r>
            <w:r>
              <w:t>各组成部分功能分区明确，满足诊治工作要求，既能有机联系，又不相互干扰，且最大限</w:t>
            </w:r>
            <w:r>
              <w:rPr>
                <w:rFonts w:hint="eastAsia"/>
                <w:lang w:eastAsia="zh-CN"/>
              </w:rPr>
              <w:t>度地</w:t>
            </w:r>
            <w:r>
              <w:t>避开了人流量较大的门诊区或其它人流活动区。在设计阶段，所有辐射工作场所均进行了合理的优化布局，同时兼顾了病人就诊的方便性。从辐射安全的角度考虑，本项目辐射工作场所产生的电离辐射经屏蔽后对周围辐射环境影响是可接受的，平面布置合理</w:t>
            </w:r>
            <w:r>
              <w:rPr>
                <w:lang w:bidi="ar"/>
              </w:rPr>
              <w:t>。</w:t>
            </w:r>
          </w:p>
          <w:p w14:paraId="7F856FDA">
            <w:pPr>
              <w:ind w:firstLine="480" w:firstLineChars="200"/>
              <w:rPr>
                <w:bCs/>
              </w:rPr>
            </w:pPr>
            <w:r>
              <w:rPr>
                <w:bCs/>
              </w:rPr>
              <w:t>本项目</w:t>
            </w:r>
            <w:r>
              <w:rPr>
                <w:rFonts w:hint="eastAsia"/>
                <w:bCs/>
                <w:lang w:val="en-US" w:eastAsia="zh-CN"/>
              </w:rPr>
              <w:t>四层手术部和内镜中心的</w:t>
            </w:r>
            <w:r>
              <w:rPr>
                <w:rFonts w:hint="default" w:ascii="Times New Roman" w:hAnsi="Times New Roman" w:cs="Times New Roman"/>
                <w:bCs/>
                <w:lang w:val="en-US" w:eastAsia="zh-CN"/>
              </w:rPr>
              <w:t>Ⅱ</w:t>
            </w:r>
            <w:r>
              <w:rPr>
                <w:rFonts w:hint="eastAsia"/>
                <w:bCs/>
                <w:lang w:val="en-US" w:eastAsia="zh-CN"/>
              </w:rPr>
              <w:t>类</w:t>
            </w:r>
            <w:r>
              <w:rPr>
                <w:bCs/>
              </w:rPr>
              <w:t>射线装置工作场所根据工作要求，有利于辐射防护和环境保护，各组成部分功能分区明确，既能有机联系，又不互相干扰，且最大限度避开了</w:t>
            </w:r>
            <w:r>
              <w:rPr>
                <w:rFonts w:hint="eastAsia"/>
              </w:rPr>
              <w:t>居留因子较高的其他手术室，</w:t>
            </w:r>
            <w:r>
              <w:rPr>
                <w:bCs/>
              </w:rPr>
              <w:t>同时兼顾了病人就诊的方便性。从辐射安全的角度考虑，本项目辐射工作场所产生的电离辐射经屏蔽后对周围</w:t>
            </w:r>
            <w:r>
              <w:rPr>
                <w:rFonts w:hint="eastAsia"/>
                <w:bCs/>
              </w:rPr>
              <w:t>的</w:t>
            </w:r>
            <w:r>
              <w:rPr>
                <w:bCs/>
              </w:rPr>
              <w:t>辐射环境影响是可接受的，平面布置合理。</w:t>
            </w:r>
          </w:p>
          <w:p w14:paraId="2C1870CE">
            <w:pPr>
              <w:rPr>
                <w:rFonts w:eastAsia="黑体"/>
              </w:rPr>
            </w:pPr>
            <w:r>
              <w:rPr>
                <w:rFonts w:eastAsia="黑体"/>
              </w:rPr>
              <w:t>二、工作区域分区管理措施</w:t>
            </w:r>
          </w:p>
          <w:p w14:paraId="40AC6B13">
            <w:pPr>
              <w:ind w:firstLine="482"/>
              <w:rPr>
                <w:b/>
              </w:rPr>
            </w:pPr>
            <w:r>
              <w:rPr>
                <w:b/>
              </w:rPr>
              <w:t>1、“两区”划分</w:t>
            </w:r>
          </w:p>
          <w:p w14:paraId="31948262">
            <w:pPr>
              <w:ind w:firstLine="480"/>
              <w:rPr>
                <w:bCs/>
              </w:rPr>
            </w:pPr>
            <w:r>
              <w:rPr>
                <w:szCs w:val="22"/>
              </w:rPr>
              <w:t>为了便于辐射防护管理和职业照射控制，根据《电离辐射防护与辐射源安全基本标准》（GB18871-2002），将辐射工作场所进行分区管理，本项目辐射工作场所分为控制区和监督区。控制区需要专门的防护手段和安全措施，以便控制正常工作条件下的正常照射或防止污染扩散，并预防潜在照射或限制潜在照射；监督区不需要专门的防护手段或安全措施，但需要经常对职业照射条件进行监督和评价。未被定为控制区和监督区的区域的剂量设计目标值采用公众成员的设计目标值。</w:t>
            </w:r>
          </w:p>
          <w:p w14:paraId="295AB235">
            <w:pPr>
              <w:ind w:left="17" w:firstLine="446"/>
              <w:contextualSpacing/>
              <w:rPr>
                <w:szCs w:val="21"/>
              </w:rPr>
            </w:pPr>
            <w:r>
              <w:t>本次环评根据控制区和监督区的定义以及《核医学辐射防护与安全要求》（HJ1188-2021），结合项目平面布置、辐射防护和环境特点进行辐射防护分区划分。本项目控制区和监督区划分情况见表10-</w:t>
            </w:r>
            <w:r>
              <w:rPr>
                <w:rFonts w:hint="eastAsia"/>
                <w:lang w:val="en-US" w:eastAsia="zh-CN"/>
              </w:rPr>
              <w:t>4</w:t>
            </w:r>
            <w:r>
              <w:rPr>
                <w:rFonts w:hint="eastAsia"/>
              </w:rPr>
              <w:t>和附图4</w:t>
            </w:r>
            <w:r>
              <w:rPr>
                <w:szCs w:val="21"/>
              </w:rPr>
              <w:t>。</w:t>
            </w:r>
          </w:p>
          <w:p w14:paraId="17737578">
            <w:pPr>
              <w:spacing w:before="163" w:line="240" w:lineRule="auto"/>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表10-</w:t>
            </w:r>
            <w:r>
              <w:rPr>
                <w:rFonts w:hint="default" w:ascii="Times New Roman" w:hAnsi="Times New Roman" w:eastAsia="宋体" w:cs="Times New Roman"/>
                <w:b/>
                <w:bCs w:val="0"/>
                <w:sz w:val="21"/>
                <w:szCs w:val="21"/>
                <w:lang w:val="en-US" w:eastAsia="zh-CN"/>
              </w:rPr>
              <w:t>4</w:t>
            </w:r>
            <w:r>
              <w:rPr>
                <w:rFonts w:hint="default" w:ascii="Times New Roman" w:hAnsi="Times New Roman" w:eastAsia="宋体" w:cs="Times New Roman"/>
                <w:b/>
                <w:bCs w:val="0"/>
                <w:sz w:val="21"/>
                <w:szCs w:val="21"/>
              </w:rPr>
              <w:t xml:space="preserve">  本项目工作区域划分一览表</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28" w:type="dxa"/>
                <w:left w:w="0" w:type="dxa"/>
                <w:bottom w:w="28" w:type="dxa"/>
                <w:right w:w="0" w:type="dxa"/>
              </w:tblCellMar>
            </w:tblPr>
            <w:tblGrid>
              <w:gridCol w:w="1109"/>
              <w:gridCol w:w="4951"/>
              <w:gridCol w:w="2739"/>
            </w:tblGrid>
            <w:tr w14:paraId="49D7C4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0" w:type="dxa"/>
                  <w:bottom w:w="28" w:type="dxa"/>
                  <w:right w:w="0" w:type="dxa"/>
                </w:tblCellMar>
              </w:tblPrEx>
              <w:trPr>
                <w:jc w:val="center"/>
              </w:trPr>
              <w:tc>
                <w:tcPr>
                  <w:tcW w:w="630" w:type="pct"/>
                  <w:vAlign w:val="center"/>
                </w:tcPr>
                <w:p w14:paraId="436E4ABE">
                  <w:pPr>
                    <w:widowControl/>
                    <w:spacing w:line="360" w:lineRule="exact"/>
                    <w:jc w:val="center"/>
                    <w:rPr>
                      <w:b/>
                      <w:bCs w:val="0"/>
                      <w:sz w:val="21"/>
                      <w:szCs w:val="21"/>
                    </w:rPr>
                  </w:pPr>
                  <w:r>
                    <w:rPr>
                      <w:b/>
                      <w:bCs w:val="0"/>
                      <w:sz w:val="21"/>
                      <w:szCs w:val="21"/>
                    </w:rPr>
                    <w:t>工作场所</w:t>
                  </w:r>
                </w:p>
              </w:tc>
              <w:tc>
                <w:tcPr>
                  <w:tcW w:w="2813" w:type="pct"/>
                  <w:vAlign w:val="center"/>
                </w:tcPr>
                <w:p w14:paraId="7936462B">
                  <w:pPr>
                    <w:widowControl/>
                    <w:spacing w:line="360" w:lineRule="exact"/>
                    <w:jc w:val="center"/>
                    <w:rPr>
                      <w:b/>
                      <w:bCs w:val="0"/>
                      <w:sz w:val="21"/>
                      <w:szCs w:val="21"/>
                    </w:rPr>
                  </w:pPr>
                  <w:r>
                    <w:rPr>
                      <w:b/>
                      <w:bCs w:val="0"/>
                      <w:sz w:val="21"/>
                      <w:szCs w:val="21"/>
                    </w:rPr>
                    <w:t>控制区</w:t>
                  </w:r>
                </w:p>
              </w:tc>
              <w:tc>
                <w:tcPr>
                  <w:tcW w:w="1556" w:type="pct"/>
                  <w:vAlign w:val="center"/>
                </w:tcPr>
                <w:p w14:paraId="322ED615">
                  <w:pPr>
                    <w:widowControl/>
                    <w:spacing w:line="360" w:lineRule="exact"/>
                    <w:jc w:val="center"/>
                    <w:rPr>
                      <w:b/>
                      <w:bCs w:val="0"/>
                      <w:sz w:val="21"/>
                      <w:szCs w:val="21"/>
                    </w:rPr>
                  </w:pPr>
                  <w:r>
                    <w:rPr>
                      <w:b/>
                      <w:bCs w:val="0"/>
                      <w:sz w:val="21"/>
                      <w:szCs w:val="21"/>
                    </w:rPr>
                    <w:t>监督区</w:t>
                  </w:r>
                </w:p>
              </w:tc>
            </w:tr>
            <w:tr w14:paraId="7F8993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0" w:type="dxa"/>
                  <w:bottom w:w="28" w:type="dxa"/>
                  <w:right w:w="0" w:type="dxa"/>
                </w:tblCellMar>
              </w:tblPrEx>
              <w:trPr>
                <w:jc w:val="center"/>
              </w:trPr>
              <w:tc>
                <w:tcPr>
                  <w:tcW w:w="630" w:type="pct"/>
                  <w:vAlign w:val="center"/>
                </w:tcPr>
                <w:p w14:paraId="6177BB36">
                  <w:pPr>
                    <w:widowControl/>
                    <w:spacing w:line="360" w:lineRule="exact"/>
                    <w:jc w:val="center"/>
                    <w:rPr>
                      <w:bCs/>
                      <w:sz w:val="21"/>
                      <w:szCs w:val="21"/>
                    </w:rPr>
                  </w:pPr>
                  <w:r>
                    <w:rPr>
                      <w:bCs/>
                      <w:sz w:val="21"/>
                      <w:szCs w:val="21"/>
                    </w:rPr>
                    <w:t>负一层</w:t>
                  </w:r>
                </w:p>
              </w:tc>
              <w:tc>
                <w:tcPr>
                  <w:tcW w:w="2813" w:type="pct"/>
                  <w:vAlign w:val="center"/>
                </w:tcPr>
                <w:p w14:paraId="4955E088">
                  <w:pPr>
                    <w:widowControl/>
                    <w:spacing w:line="360" w:lineRule="exact"/>
                    <w:jc w:val="center"/>
                    <w:rPr>
                      <w:rFonts w:hint="eastAsia" w:eastAsia="宋体"/>
                      <w:bCs/>
                      <w:sz w:val="21"/>
                      <w:szCs w:val="21"/>
                      <w:lang w:val="en-US" w:eastAsia="zh-CN"/>
                    </w:rPr>
                  </w:pPr>
                  <w:r>
                    <w:rPr>
                      <w:bCs/>
                      <w:sz w:val="21"/>
                      <w:szCs w:val="21"/>
                    </w:rPr>
                    <w:t>储源室</w:t>
                  </w:r>
                  <w:r>
                    <w:rPr>
                      <w:rFonts w:hint="eastAsia"/>
                      <w:bCs/>
                      <w:sz w:val="21"/>
                      <w:szCs w:val="21"/>
                      <w:lang w:val="en-US" w:eastAsia="zh-CN"/>
                    </w:rPr>
                    <w:t>1#</w:t>
                  </w:r>
                  <w:r>
                    <w:rPr>
                      <w:bCs/>
                      <w:sz w:val="21"/>
                      <w:szCs w:val="21"/>
                    </w:rPr>
                    <w:t>、分装室</w:t>
                  </w:r>
                  <w:r>
                    <w:rPr>
                      <w:rFonts w:hint="eastAsia"/>
                      <w:bCs/>
                      <w:sz w:val="21"/>
                      <w:szCs w:val="21"/>
                      <w:lang w:val="en-US" w:eastAsia="zh-CN"/>
                    </w:rPr>
                    <w:t>1#</w:t>
                  </w:r>
                  <w:r>
                    <w:rPr>
                      <w:bCs/>
                      <w:sz w:val="21"/>
                      <w:szCs w:val="21"/>
                    </w:rPr>
                    <w:t>、</w:t>
                  </w:r>
                  <w:r>
                    <w:rPr>
                      <w:rFonts w:hint="eastAsia"/>
                      <w:bCs/>
                      <w:sz w:val="21"/>
                      <w:szCs w:val="21"/>
                      <w:lang w:val="en-US" w:eastAsia="zh-CN"/>
                    </w:rPr>
                    <w:t>PET</w:t>
                  </w:r>
                  <w:r>
                    <w:rPr>
                      <w:bCs/>
                      <w:sz w:val="21"/>
                      <w:szCs w:val="21"/>
                    </w:rPr>
                    <w:t>注射室</w:t>
                  </w:r>
                  <w:r>
                    <w:rPr>
                      <w:rFonts w:hint="eastAsia"/>
                      <w:bCs/>
                      <w:sz w:val="21"/>
                      <w:szCs w:val="21"/>
                      <w:lang w:eastAsia="zh-CN"/>
                    </w:rPr>
                    <w:t>、</w:t>
                  </w:r>
                  <w:r>
                    <w:rPr>
                      <w:rFonts w:hint="eastAsia"/>
                      <w:bCs/>
                      <w:sz w:val="21"/>
                      <w:szCs w:val="21"/>
                      <w:lang w:val="en-US" w:eastAsia="zh-CN"/>
                    </w:rPr>
                    <w:t>ECT注射室</w:t>
                  </w:r>
                  <w:r>
                    <w:rPr>
                      <w:bCs/>
                      <w:sz w:val="21"/>
                      <w:szCs w:val="21"/>
                    </w:rPr>
                    <w:t>、</w:t>
                  </w:r>
                  <w:r>
                    <w:rPr>
                      <w:rFonts w:hint="eastAsia"/>
                      <w:bCs/>
                      <w:sz w:val="21"/>
                      <w:szCs w:val="21"/>
                      <w:lang w:val="en-US" w:eastAsia="zh-CN"/>
                    </w:rPr>
                    <w:t>敷贴室1#、敷贴室2#、甲功室、抢救室、PET</w:t>
                  </w:r>
                  <w:r>
                    <w:rPr>
                      <w:bCs/>
                      <w:sz w:val="21"/>
                      <w:szCs w:val="21"/>
                    </w:rPr>
                    <w:t>注射后等候室</w:t>
                  </w:r>
                  <w:r>
                    <w:rPr>
                      <w:rFonts w:hint="eastAsia"/>
                      <w:bCs/>
                      <w:sz w:val="21"/>
                      <w:szCs w:val="21"/>
                      <w:lang w:eastAsia="zh-CN"/>
                    </w:rPr>
                    <w:t>、</w:t>
                  </w:r>
                  <w:r>
                    <w:rPr>
                      <w:rFonts w:hint="eastAsia"/>
                      <w:bCs/>
                      <w:sz w:val="21"/>
                      <w:szCs w:val="21"/>
                      <w:lang w:val="en-US" w:eastAsia="zh-CN"/>
                    </w:rPr>
                    <w:t>ECT注射后等候室</w:t>
                  </w:r>
                  <w:r>
                    <w:rPr>
                      <w:bCs/>
                      <w:sz w:val="21"/>
                      <w:szCs w:val="21"/>
                    </w:rPr>
                    <w:t>、</w:t>
                  </w:r>
                  <w:r>
                    <w:rPr>
                      <w:rFonts w:hint="eastAsia"/>
                      <w:bCs/>
                      <w:sz w:val="21"/>
                      <w:szCs w:val="21"/>
                      <w:lang w:val="en-US" w:eastAsia="zh-CN"/>
                    </w:rPr>
                    <w:t>S</w:t>
                  </w:r>
                  <w:r>
                    <w:rPr>
                      <w:bCs/>
                      <w:sz w:val="21"/>
                      <w:szCs w:val="21"/>
                    </w:rPr>
                    <w:t>PE</w:t>
                  </w:r>
                  <w:r>
                    <w:rPr>
                      <w:rFonts w:hint="eastAsia"/>
                      <w:bCs/>
                      <w:sz w:val="21"/>
                      <w:szCs w:val="21"/>
                      <w:lang w:val="en-US" w:eastAsia="zh-CN"/>
                    </w:rPr>
                    <w:t>C</w:t>
                  </w:r>
                  <w:r>
                    <w:rPr>
                      <w:bCs/>
                      <w:sz w:val="21"/>
                      <w:szCs w:val="21"/>
                    </w:rPr>
                    <w:t>T/CT机房</w:t>
                  </w:r>
                  <w:r>
                    <w:rPr>
                      <w:rFonts w:hint="eastAsia"/>
                      <w:bCs/>
                      <w:sz w:val="21"/>
                      <w:szCs w:val="21"/>
                      <w:lang w:val="en-US" w:eastAsia="zh-CN"/>
                    </w:rPr>
                    <w:t>、PET机房</w:t>
                  </w:r>
                  <w:r>
                    <w:rPr>
                      <w:bCs/>
                      <w:sz w:val="21"/>
                      <w:szCs w:val="21"/>
                    </w:rPr>
                    <w:t>、</w:t>
                  </w:r>
                  <w:r>
                    <w:rPr>
                      <w:rFonts w:hint="eastAsia"/>
                      <w:bCs/>
                      <w:sz w:val="21"/>
                      <w:szCs w:val="21"/>
                      <w:lang w:val="en-US" w:eastAsia="zh-CN"/>
                    </w:rPr>
                    <w:t>PET留观</w:t>
                  </w:r>
                  <w:r>
                    <w:rPr>
                      <w:bCs/>
                      <w:sz w:val="21"/>
                      <w:szCs w:val="21"/>
                    </w:rPr>
                    <w:t>室</w:t>
                  </w:r>
                  <w:r>
                    <w:rPr>
                      <w:rFonts w:hint="eastAsia"/>
                      <w:bCs/>
                      <w:sz w:val="21"/>
                      <w:szCs w:val="21"/>
                      <w:lang w:eastAsia="zh-CN"/>
                    </w:rPr>
                    <w:t>、</w:t>
                  </w:r>
                  <w:r>
                    <w:rPr>
                      <w:rFonts w:hint="eastAsia"/>
                      <w:bCs/>
                      <w:sz w:val="21"/>
                      <w:szCs w:val="21"/>
                      <w:lang w:val="en-US" w:eastAsia="zh-CN"/>
                    </w:rPr>
                    <w:t>ECT留观室、</w:t>
                  </w:r>
                  <w:r>
                    <w:rPr>
                      <w:bCs/>
                      <w:sz w:val="21"/>
                      <w:szCs w:val="21"/>
                    </w:rPr>
                    <w:t>放废暂存间、</w:t>
                  </w:r>
                  <w:r>
                    <w:rPr>
                      <w:rFonts w:hint="eastAsia"/>
                      <w:bCs/>
                      <w:sz w:val="21"/>
                      <w:szCs w:val="21"/>
                      <w:lang w:val="en-US" w:eastAsia="zh-CN"/>
                    </w:rPr>
                    <w:t>Sr-89注射室、I-131服药室、分装室2#、日间留观室、</w:t>
                  </w:r>
                  <w:r>
                    <w:rPr>
                      <w:bCs/>
                      <w:sz w:val="21"/>
                      <w:szCs w:val="21"/>
                    </w:rPr>
                    <w:t>储源室</w:t>
                  </w:r>
                  <w:r>
                    <w:rPr>
                      <w:rFonts w:hint="eastAsia"/>
                      <w:bCs/>
                      <w:sz w:val="21"/>
                      <w:szCs w:val="21"/>
                      <w:lang w:val="en-US" w:eastAsia="zh-CN"/>
                    </w:rPr>
                    <w:t>2#</w:t>
                  </w:r>
                  <w:r>
                    <w:rPr>
                      <w:bCs/>
                      <w:sz w:val="21"/>
                      <w:szCs w:val="21"/>
                    </w:rPr>
                    <w:t>、患者走廊、留观室、</w:t>
                  </w:r>
                  <w:r>
                    <w:rPr>
                      <w:rFonts w:hint="eastAsia"/>
                      <w:bCs/>
                      <w:sz w:val="21"/>
                      <w:szCs w:val="21"/>
                      <w:lang w:val="en-US" w:eastAsia="zh-CN"/>
                    </w:rPr>
                    <w:t>洁具</w:t>
                  </w:r>
                  <w:r>
                    <w:rPr>
                      <w:bCs/>
                      <w:sz w:val="21"/>
                      <w:szCs w:val="21"/>
                    </w:rPr>
                    <w:t>间</w:t>
                  </w:r>
                  <w:r>
                    <w:rPr>
                      <w:rFonts w:hint="eastAsia"/>
                      <w:bCs/>
                      <w:sz w:val="21"/>
                      <w:szCs w:val="21"/>
                      <w:lang w:val="en-US" w:eastAsia="zh-CN"/>
                    </w:rPr>
                    <w:t>等</w:t>
                  </w:r>
                </w:p>
              </w:tc>
              <w:tc>
                <w:tcPr>
                  <w:tcW w:w="1556" w:type="pct"/>
                  <w:vAlign w:val="center"/>
                </w:tcPr>
                <w:p w14:paraId="7E939A0B">
                  <w:pPr>
                    <w:widowControl/>
                    <w:spacing w:line="360" w:lineRule="exact"/>
                    <w:jc w:val="center"/>
                    <w:rPr>
                      <w:bCs/>
                      <w:sz w:val="21"/>
                      <w:szCs w:val="21"/>
                    </w:rPr>
                  </w:pPr>
                  <w:r>
                    <w:rPr>
                      <w:bCs/>
                      <w:sz w:val="21"/>
                      <w:szCs w:val="21"/>
                    </w:rPr>
                    <w:t>卫生通过间、淋浴间、设备间、</w:t>
                  </w:r>
                  <w:r>
                    <w:rPr>
                      <w:rFonts w:hint="eastAsia"/>
                      <w:bCs/>
                      <w:sz w:val="21"/>
                      <w:szCs w:val="21"/>
                      <w:lang w:val="en-US" w:eastAsia="zh-CN"/>
                    </w:rPr>
                    <w:t>共用</w:t>
                  </w:r>
                  <w:r>
                    <w:rPr>
                      <w:bCs/>
                      <w:sz w:val="21"/>
                      <w:szCs w:val="21"/>
                    </w:rPr>
                    <w:t>控制室、缓冲间等</w:t>
                  </w:r>
                </w:p>
              </w:tc>
            </w:tr>
            <w:tr w14:paraId="2E84B9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0" w:type="dxa"/>
                  <w:bottom w:w="28" w:type="dxa"/>
                  <w:right w:w="0" w:type="dxa"/>
                </w:tblCellMar>
              </w:tblPrEx>
              <w:trPr>
                <w:jc w:val="center"/>
              </w:trPr>
              <w:tc>
                <w:tcPr>
                  <w:tcW w:w="630" w:type="pct"/>
                  <w:vAlign w:val="center"/>
                </w:tcPr>
                <w:p w14:paraId="674E4802">
                  <w:pPr>
                    <w:widowControl/>
                    <w:spacing w:line="360" w:lineRule="exact"/>
                    <w:jc w:val="center"/>
                    <w:rPr>
                      <w:bCs/>
                      <w:sz w:val="21"/>
                      <w:szCs w:val="21"/>
                    </w:rPr>
                  </w:pPr>
                  <w:r>
                    <w:rPr>
                      <w:bCs/>
                      <w:sz w:val="21"/>
                      <w:szCs w:val="21"/>
                    </w:rPr>
                    <w:t>四层</w:t>
                  </w:r>
                </w:p>
              </w:tc>
              <w:tc>
                <w:tcPr>
                  <w:tcW w:w="2813" w:type="pct"/>
                  <w:vAlign w:val="center"/>
                </w:tcPr>
                <w:p w14:paraId="412D753B">
                  <w:pPr>
                    <w:spacing w:line="360" w:lineRule="exact"/>
                    <w:jc w:val="center"/>
                    <w:rPr>
                      <w:rFonts w:hint="default" w:eastAsia="宋体"/>
                      <w:bCs/>
                      <w:sz w:val="21"/>
                      <w:szCs w:val="21"/>
                      <w:lang w:val="en-US" w:eastAsia="zh-CN"/>
                    </w:rPr>
                  </w:pPr>
                  <w:r>
                    <w:rPr>
                      <w:rFonts w:hint="eastAsia"/>
                      <w:bCs/>
                      <w:sz w:val="21"/>
                      <w:szCs w:val="21"/>
                      <w:lang w:val="en-US" w:eastAsia="zh-CN"/>
                    </w:rPr>
                    <w:t>DSA+CT复合手术室、CT设备间、DSA手术室OR09、DSA手术室OR10、DSA手术室OR11、ERCP室</w:t>
                  </w:r>
                </w:p>
              </w:tc>
              <w:tc>
                <w:tcPr>
                  <w:tcW w:w="1556" w:type="pct"/>
                  <w:vAlign w:val="center"/>
                </w:tcPr>
                <w:p w14:paraId="07F71F9F">
                  <w:pPr>
                    <w:widowControl/>
                    <w:spacing w:line="360" w:lineRule="exact"/>
                    <w:jc w:val="center"/>
                    <w:rPr>
                      <w:bCs/>
                      <w:sz w:val="21"/>
                      <w:szCs w:val="21"/>
                    </w:rPr>
                  </w:pPr>
                  <w:r>
                    <w:rPr>
                      <w:rFonts w:hint="eastAsia"/>
                      <w:bCs/>
                      <w:sz w:val="21"/>
                      <w:szCs w:val="21"/>
                      <w:lang w:val="en-US" w:eastAsia="zh-CN"/>
                    </w:rPr>
                    <w:t>DSA控制室、共用控制室、设备间</w:t>
                  </w:r>
                  <w:r>
                    <w:rPr>
                      <w:bCs/>
                      <w:sz w:val="21"/>
                      <w:szCs w:val="21"/>
                    </w:rPr>
                    <w:t>、缓冲间等</w:t>
                  </w:r>
                </w:p>
              </w:tc>
            </w:tr>
          </w:tbl>
          <w:p w14:paraId="7AFEEA9E">
            <w:pPr>
              <w:ind w:firstLine="482"/>
              <w:rPr>
                <w:b/>
              </w:rPr>
            </w:pPr>
            <w:r>
              <w:rPr>
                <w:b/>
              </w:rPr>
              <w:t>2、“两区”管控措施</w:t>
            </w:r>
          </w:p>
          <w:p w14:paraId="207BB54C">
            <w:pPr>
              <w:ind w:firstLine="482"/>
              <w:rPr>
                <w:b/>
              </w:rPr>
            </w:pPr>
            <w:r>
              <w:rPr>
                <w:b/>
              </w:rPr>
              <w:t>（1）控制区管控措施</w:t>
            </w:r>
          </w:p>
          <w:p w14:paraId="44E6EEDD">
            <w:pPr>
              <w:ind w:firstLine="480"/>
            </w:pPr>
            <w:r>
              <w:fldChar w:fldCharType="begin"/>
            </w:r>
            <w:r>
              <w:instrText xml:space="preserve"> = 1 \* GB3 </w:instrText>
            </w:r>
            <w:r>
              <w:fldChar w:fldCharType="separate"/>
            </w:r>
            <w:r>
              <w:t>①</w:t>
            </w:r>
            <w:r>
              <w:fldChar w:fldCharType="end"/>
            </w:r>
            <w:r>
              <w:t>运行过程中控制区内禁止任何人员进入，职业人员在该区域工作时尽量缩短居留时间，以</w:t>
            </w:r>
            <w:r>
              <w:rPr>
                <w:rFonts w:hint="eastAsia"/>
                <w:lang w:eastAsia="zh-CN"/>
              </w:rPr>
              <w:t>减少</w:t>
            </w:r>
            <w:r>
              <w:t>不必要的照射。</w:t>
            </w:r>
            <w:r>
              <w:fldChar w:fldCharType="begin"/>
            </w:r>
            <w:r>
              <w:instrText xml:space="preserve"> = 2 \* GB3 </w:instrText>
            </w:r>
            <w:r>
              <w:fldChar w:fldCharType="separate"/>
            </w:r>
            <w:r>
              <w:t>②</w:t>
            </w:r>
            <w:r>
              <w:fldChar w:fldCharType="end"/>
            </w:r>
            <w:r>
              <w:t>在控制区的进出口及其他适当位置处设立醒目的、符合GB18871-2002附录F（见图4.1-18）规定的警告标识，并以红色地标线警示“控制区”的边界。</w:t>
            </w:r>
            <w:r>
              <w:fldChar w:fldCharType="begin"/>
            </w:r>
            <w:r>
              <w:instrText xml:space="preserve"> = 3 \* GB3 </w:instrText>
            </w:r>
            <w:r>
              <w:fldChar w:fldCharType="separate"/>
            </w:r>
            <w:r>
              <w:t>③</w:t>
            </w:r>
            <w:r>
              <w:fldChar w:fldCharType="end"/>
            </w:r>
            <w:r>
              <w:t>制定辐射防护与安全措施，包括适用于控制区的规则和程序。</w:t>
            </w:r>
            <w:r>
              <w:fldChar w:fldCharType="begin"/>
            </w:r>
            <w:r>
              <w:instrText xml:space="preserve"> = 4 \* GB3 </w:instrText>
            </w:r>
            <w:r>
              <w:fldChar w:fldCharType="separate"/>
            </w:r>
            <w:r>
              <w:t>④</w:t>
            </w:r>
            <w:r>
              <w:fldChar w:fldCharType="end"/>
            </w:r>
            <w:r>
              <w:t>运用行政管理程序（如进入控制区的人员授权制度）和实体措施（包括门锁、门禁和联锁装置）限制进出控制区；</w:t>
            </w:r>
            <w:r>
              <w:fldChar w:fldCharType="begin"/>
            </w:r>
            <w:r>
              <w:instrText xml:space="preserve"> = 5 \* GB3 </w:instrText>
            </w:r>
            <w:r>
              <w:fldChar w:fldCharType="separate"/>
            </w:r>
            <w:r>
              <w:t>⑤</w:t>
            </w:r>
            <w:r>
              <w:fldChar w:fldCharType="end"/>
            </w:r>
            <w:r>
              <w:rPr>
                <w:bCs/>
              </w:rPr>
              <w:t>在更衣间或监测间配备个人防护用品、工作服、污染监测仪和被污染防护衣具的贮存柜等；</w:t>
            </w:r>
            <w:r>
              <w:fldChar w:fldCharType="begin"/>
            </w:r>
            <w:r>
              <w:instrText xml:space="preserve"> = 6 \* GB3 </w:instrText>
            </w:r>
            <w:r>
              <w:fldChar w:fldCharType="separate"/>
            </w:r>
            <w:r>
              <w:t>⑥</w:t>
            </w:r>
            <w:r>
              <w:fldChar w:fldCharType="end"/>
            </w:r>
            <w:r>
              <w:t>职业人员进入控制区内必须携带个人剂量报警仪及便携式辐射监测仪器。</w:t>
            </w:r>
          </w:p>
          <w:p w14:paraId="6A666E59">
            <w:pPr>
              <w:ind w:firstLine="482"/>
              <w:rPr>
                <w:b/>
              </w:rPr>
            </w:pPr>
            <w:r>
              <w:rPr>
                <w:b/>
              </w:rPr>
              <w:t>（2）监督区管控措施</w:t>
            </w:r>
          </w:p>
          <w:p w14:paraId="76A432E8">
            <w:pPr>
              <w:ind w:firstLine="480"/>
            </w:pPr>
            <w:r>
              <w:fldChar w:fldCharType="begin"/>
            </w:r>
            <w:r>
              <w:instrText xml:space="preserve"> = 1 \* GB3 </w:instrText>
            </w:r>
            <w:r>
              <w:fldChar w:fldCharType="separate"/>
            </w:r>
            <w:r>
              <w:t>①</w:t>
            </w:r>
            <w:r>
              <w:fldChar w:fldCharType="end"/>
            </w:r>
            <w:r>
              <w:t>监督区范围内限制非职业人员进入；</w:t>
            </w:r>
            <w:r>
              <w:fldChar w:fldCharType="begin"/>
            </w:r>
            <w:r>
              <w:instrText xml:space="preserve"> = 2 \* GB3 </w:instrText>
            </w:r>
            <w:r>
              <w:fldChar w:fldCharType="separate"/>
            </w:r>
            <w:r>
              <w:t>②</w:t>
            </w:r>
            <w:r>
              <w:fldChar w:fldCharType="end"/>
            </w:r>
            <w:r>
              <w:t>以黄线地标线警示“监督区”的边界；</w:t>
            </w:r>
            <w:r>
              <w:fldChar w:fldCharType="begin"/>
            </w:r>
            <w:r>
              <w:instrText xml:space="preserve"> = 3 \* GB3 </w:instrText>
            </w:r>
            <w:r>
              <w:fldChar w:fldCharType="separate"/>
            </w:r>
            <w:r>
              <w:t>③</w:t>
            </w:r>
            <w:r>
              <w:fldChar w:fldCharType="end"/>
            </w:r>
            <w:r>
              <w:t>在监督区的入口处的适当地点设立</w:t>
            </w:r>
            <w:r>
              <w:rPr>
                <w:rFonts w:hint="eastAsia"/>
                <w:lang w:eastAsia="zh-CN"/>
              </w:rPr>
              <w:t>标明</w:t>
            </w:r>
            <w:r>
              <w:t>监督区的标牌。</w:t>
            </w:r>
          </w:p>
          <w:tbl>
            <w:tblPr>
              <w:tblStyle w:val="57"/>
              <w:tblW w:w="0" w:type="auto"/>
              <w:jc w:val="center"/>
              <w:tblLayout w:type="fixed"/>
              <w:tblCellMar>
                <w:top w:w="0" w:type="dxa"/>
                <w:left w:w="108" w:type="dxa"/>
                <w:bottom w:w="0" w:type="dxa"/>
                <w:right w:w="108" w:type="dxa"/>
              </w:tblCellMar>
            </w:tblPr>
            <w:tblGrid>
              <w:gridCol w:w="3230"/>
              <w:gridCol w:w="3230"/>
            </w:tblGrid>
            <w:tr w14:paraId="1C259CEF">
              <w:tblPrEx>
                <w:tblCellMar>
                  <w:top w:w="0" w:type="dxa"/>
                  <w:left w:w="108" w:type="dxa"/>
                  <w:bottom w:w="0" w:type="dxa"/>
                  <w:right w:w="108" w:type="dxa"/>
                </w:tblCellMar>
              </w:tblPrEx>
              <w:trPr>
                <w:trHeight w:val="2830" w:hRule="atLeast"/>
                <w:jc w:val="center"/>
              </w:trPr>
              <w:tc>
                <w:tcPr>
                  <w:tcW w:w="3230" w:type="dxa"/>
                  <w:vAlign w:val="center"/>
                </w:tcPr>
                <w:p w14:paraId="1441E1AC">
                  <w:pPr>
                    <w:jc w:val="center"/>
                    <w:rPr>
                      <w:sz w:val="28"/>
                      <w:szCs w:val="28"/>
                    </w:rPr>
                  </w:pPr>
                  <w:r>
                    <w:drawing>
                      <wp:inline distT="0" distB="0" distL="0" distR="0">
                        <wp:extent cx="1419225" cy="1738630"/>
                        <wp:effectExtent l="0" t="0" r="9525" b="13970"/>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28"/>
                                <a:stretch>
                                  <a:fillRect/>
                                </a:stretch>
                              </pic:blipFill>
                              <pic:spPr>
                                <a:xfrm>
                                  <a:off x="0" y="0"/>
                                  <a:ext cx="1419225" cy="1738630"/>
                                </a:xfrm>
                                <a:prstGeom prst="rect">
                                  <a:avLst/>
                                </a:prstGeom>
                                <a:noFill/>
                                <a:ln>
                                  <a:noFill/>
                                </a:ln>
                              </pic:spPr>
                            </pic:pic>
                          </a:graphicData>
                        </a:graphic>
                      </wp:inline>
                    </w:drawing>
                  </w:r>
                </w:p>
              </w:tc>
              <w:tc>
                <w:tcPr>
                  <w:tcW w:w="3230" w:type="dxa"/>
                  <w:vAlign w:val="center"/>
                </w:tcPr>
                <w:p w14:paraId="3E7B52D5">
                  <w:pPr>
                    <w:jc w:val="center"/>
                    <w:rPr>
                      <w:sz w:val="28"/>
                      <w:szCs w:val="28"/>
                    </w:rPr>
                  </w:pPr>
                  <w:r>
                    <w:rPr>
                      <w:sz w:val="28"/>
                      <w:szCs w:val="28"/>
                    </w:rPr>
                    <w:drawing>
                      <wp:inline distT="0" distB="0" distL="0" distR="0">
                        <wp:extent cx="1477645" cy="1651635"/>
                        <wp:effectExtent l="0" t="0" r="0" b="0"/>
                        <wp:docPr id="49" name="图片 1" descr="图片包含 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descr="图片包含 形状&#10;&#10;AI 生成的内容可能不正确。"/>
                                <pic:cNvPicPr>
                                  <a:picLocks noChangeAspect="1"/>
                                </pic:cNvPicPr>
                              </pic:nvPicPr>
                              <pic:blipFill>
                                <a:blip r:embed="rId29"/>
                                <a:srcRect l="4724" t="9824" r="5914" b="5287"/>
                                <a:stretch>
                                  <a:fillRect/>
                                </a:stretch>
                              </pic:blipFill>
                              <pic:spPr>
                                <a:xfrm>
                                  <a:off x="0" y="0"/>
                                  <a:ext cx="1477645" cy="1651635"/>
                                </a:xfrm>
                                <a:prstGeom prst="rect">
                                  <a:avLst/>
                                </a:prstGeom>
                                <a:noFill/>
                                <a:ln>
                                  <a:noFill/>
                                </a:ln>
                              </pic:spPr>
                            </pic:pic>
                          </a:graphicData>
                        </a:graphic>
                      </wp:inline>
                    </w:drawing>
                  </w:r>
                </w:p>
              </w:tc>
            </w:tr>
          </w:tbl>
          <w:p w14:paraId="6A023159">
            <w:pPr>
              <w:spacing w:after="163" w:line="240" w:lineRule="auto"/>
              <w:jc w:val="center"/>
              <w:rPr>
                <w:rFonts w:eastAsia="黑体"/>
                <w:bCs/>
                <w:sz w:val="21"/>
                <w:szCs w:val="21"/>
              </w:rPr>
            </w:pPr>
            <w:r>
              <w:rPr>
                <w:rFonts w:eastAsia="黑体"/>
                <w:bCs/>
                <w:sz w:val="21"/>
                <w:szCs w:val="21"/>
              </w:rPr>
              <w:t>图10-</w:t>
            </w:r>
            <w:r>
              <w:rPr>
                <w:rFonts w:hint="eastAsia" w:eastAsia="黑体"/>
                <w:bCs/>
                <w:sz w:val="21"/>
                <w:szCs w:val="21"/>
                <w:lang w:val="en-US" w:eastAsia="zh-CN"/>
              </w:rPr>
              <w:t>1</w:t>
            </w:r>
            <w:r>
              <w:rPr>
                <w:rFonts w:eastAsia="黑体"/>
                <w:bCs/>
                <w:sz w:val="21"/>
                <w:szCs w:val="21"/>
              </w:rPr>
              <w:t xml:space="preserve">  电离辐射标志和电离辐射警告标志</w:t>
            </w:r>
          </w:p>
          <w:p w14:paraId="712C09D5">
            <w:pPr>
              <w:rPr>
                <w:rFonts w:eastAsia="黑体"/>
              </w:rPr>
            </w:pPr>
            <w:r>
              <w:rPr>
                <w:rFonts w:eastAsia="黑体"/>
              </w:rPr>
              <w:t>三、辐射安全及防护措施</w:t>
            </w:r>
          </w:p>
          <w:p w14:paraId="41821CCD">
            <w:pPr>
              <w:ind w:firstLine="480"/>
              <w:rPr>
                <w:bCs/>
              </w:rPr>
            </w:pPr>
            <w:r>
              <w:rPr>
                <w:bCs/>
              </w:rPr>
              <w:t>本项目非密封放射性物质工作场所</w:t>
            </w:r>
            <w:r>
              <w:rPr>
                <w:rFonts w:hint="eastAsia"/>
                <w:bCs/>
                <w:lang w:val="en-US" w:eastAsia="zh-CN"/>
              </w:rPr>
              <w:t>和</w:t>
            </w:r>
            <w:r>
              <w:rPr>
                <w:rFonts w:hint="default"/>
                <w:bCs/>
                <w:lang w:val="en-US" w:eastAsia="zh-CN"/>
              </w:rPr>
              <w:t>Ⅱ</w:t>
            </w:r>
            <w:r>
              <w:rPr>
                <w:rFonts w:hint="eastAsia"/>
                <w:bCs/>
                <w:lang w:val="en-US" w:eastAsia="zh-CN"/>
              </w:rPr>
              <w:t>类/</w:t>
            </w:r>
            <w:r>
              <w:rPr>
                <w:rFonts w:hint="default" w:ascii="Times New Roman" w:hAnsi="Times New Roman" w:cs="Times New Roman"/>
                <w:bCs/>
                <w:lang w:val="en-US" w:eastAsia="zh-CN"/>
              </w:rPr>
              <w:t>Ⅲ</w:t>
            </w:r>
            <w:r>
              <w:rPr>
                <w:rFonts w:hint="eastAsia"/>
                <w:bCs/>
                <w:lang w:val="en-US" w:eastAsia="zh-CN"/>
              </w:rPr>
              <w:t>类射线装置工作场所</w:t>
            </w:r>
            <w:r>
              <w:rPr>
                <w:bCs/>
              </w:rPr>
              <w:t>采取的辐射防护与放射性污染防治措施主要包括以下方面。</w:t>
            </w:r>
          </w:p>
          <w:p w14:paraId="3797B805">
            <w:pPr>
              <w:ind w:firstLine="482"/>
              <w:rPr>
                <w:b/>
              </w:rPr>
            </w:pPr>
            <w:r>
              <w:rPr>
                <w:b/>
              </w:rPr>
              <w:t>1、防护要求</w:t>
            </w:r>
          </w:p>
          <w:p w14:paraId="67B1106B">
            <w:pPr>
              <w:ind w:firstLine="482"/>
              <w:rPr>
                <w:rFonts w:hint="default"/>
                <w:b/>
                <w:lang w:val="en-US" w:eastAsia="zh-CN"/>
              </w:rPr>
            </w:pPr>
            <w:r>
              <w:rPr>
                <w:rFonts w:hint="eastAsia"/>
                <w:b/>
                <w:lang w:eastAsia="zh-CN"/>
              </w:rPr>
              <w:t>（</w:t>
            </w:r>
            <w:r>
              <w:rPr>
                <w:rFonts w:hint="eastAsia"/>
                <w:b/>
                <w:lang w:val="en-US" w:eastAsia="zh-CN"/>
              </w:rPr>
              <w:t>1</w:t>
            </w:r>
            <w:r>
              <w:rPr>
                <w:rFonts w:hint="eastAsia"/>
                <w:b/>
                <w:lang w:eastAsia="zh-CN"/>
              </w:rPr>
              <w:t>）</w:t>
            </w:r>
            <w:r>
              <w:rPr>
                <w:rFonts w:hint="eastAsia"/>
                <w:b/>
                <w:lang w:val="en-US" w:eastAsia="zh-CN"/>
              </w:rPr>
              <w:t>非密封放射性物质工作场所</w:t>
            </w:r>
          </w:p>
          <w:p w14:paraId="527B5F99">
            <w:pPr>
              <w:ind w:firstLine="480"/>
            </w:pPr>
            <w:r>
              <w:t>根据《</w:t>
            </w:r>
            <w:r>
              <w:rPr>
                <w:bCs/>
              </w:rPr>
              <w:t>核医学放射防护要求</w:t>
            </w:r>
            <w:r>
              <w:t>》</w:t>
            </w:r>
            <w:r>
              <w:rPr>
                <w:bCs/>
              </w:rPr>
              <w:t>（GBZ120-2020），</w:t>
            </w:r>
            <w:r>
              <w:t>依据操作最大量放射性核素的加权活度对核医学场所进行分类管理，把场所分为I、II、III三类，不同类别核医学场所室内表面和装备结构的基本放射防护要求见表10-</w:t>
            </w:r>
            <w:r>
              <w:rPr>
                <w:rFonts w:hint="eastAsia"/>
                <w:lang w:val="en-US" w:eastAsia="zh-CN"/>
              </w:rPr>
              <w:t>5</w:t>
            </w:r>
            <w:r>
              <w:t>。</w:t>
            </w:r>
          </w:p>
          <w:p w14:paraId="620F4ADE">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5</w:t>
            </w:r>
            <w:r>
              <w:rPr>
                <w:rFonts w:eastAsia="黑体"/>
                <w:bCs/>
                <w:sz w:val="21"/>
                <w:szCs w:val="21"/>
              </w:rPr>
              <w:t xml:space="preserve">  不同核医学工作场所室内表面及装备结构的放射防护要求</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6"/>
              <w:gridCol w:w="2241"/>
              <w:gridCol w:w="2241"/>
              <w:gridCol w:w="2251"/>
            </w:tblGrid>
            <w:tr w14:paraId="2D6BF1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174" w:type="pct"/>
                  <w:vMerge w:val="restart"/>
                  <w:vAlign w:val="center"/>
                </w:tcPr>
                <w:p w14:paraId="7FB82220">
                  <w:pPr>
                    <w:spacing w:line="360" w:lineRule="exact"/>
                    <w:contextualSpacing/>
                    <w:jc w:val="center"/>
                    <w:rPr>
                      <w:sz w:val="21"/>
                      <w:szCs w:val="21"/>
                    </w:rPr>
                  </w:pPr>
                  <w:r>
                    <w:rPr>
                      <w:sz w:val="21"/>
                      <w:szCs w:val="21"/>
                    </w:rPr>
                    <w:t>工作场所</w:t>
                  </w:r>
                </w:p>
              </w:tc>
              <w:tc>
                <w:tcPr>
                  <w:tcW w:w="3825" w:type="pct"/>
                  <w:gridSpan w:val="3"/>
                  <w:vAlign w:val="center"/>
                </w:tcPr>
                <w:p w14:paraId="56023303">
                  <w:pPr>
                    <w:spacing w:line="360" w:lineRule="exact"/>
                    <w:contextualSpacing/>
                    <w:jc w:val="center"/>
                    <w:rPr>
                      <w:sz w:val="21"/>
                      <w:szCs w:val="21"/>
                    </w:rPr>
                  </w:pPr>
                  <w:r>
                    <w:rPr>
                      <w:sz w:val="21"/>
                      <w:szCs w:val="21"/>
                    </w:rPr>
                    <w:t>分类</w:t>
                  </w:r>
                </w:p>
              </w:tc>
            </w:tr>
            <w:tr w14:paraId="4E936F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174" w:type="pct"/>
                  <w:vMerge w:val="continue"/>
                  <w:vAlign w:val="center"/>
                </w:tcPr>
                <w:p w14:paraId="210970F5">
                  <w:pPr>
                    <w:spacing w:line="360" w:lineRule="exact"/>
                    <w:contextualSpacing/>
                    <w:jc w:val="center"/>
                    <w:rPr>
                      <w:sz w:val="21"/>
                      <w:szCs w:val="21"/>
                    </w:rPr>
                  </w:pPr>
                </w:p>
              </w:tc>
              <w:tc>
                <w:tcPr>
                  <w:tcW w:w="1273" w:type="pct"/>
                  <w:vAlign w:val="center"/>
                </w:tcPr>
                <w:p w14:paraId="023F2653">
                  <w:pPr>
                    <w:spacing w:line="360" w:lineRule="exact"/>
                    <w:contextualSpacing/>
                    <w:jc w:val="center"/>
                    <w:rPr>
                      <w:sz w:val="21"/>
                      <w:szCs w:val="21"/>
                    </w:rPr>
                  </w:pPr>
                  <w:r>
                    <w:rPr>
                      <w:sz w:val="21"/>
                      <w:szCs w:val="21"/>
                    </w:rPr>
                    <w:t>Ⅰ类</w:t>
                  </w:r>
                </w:p>
              </w:tc>
              <w:tc>
                <w:tcPr>
                  <w:tcW w:w="1273" w:type="pct"/>
                  <w:vAlign w:val="center"/>
                </w:tcPr>
                <w:p w14:paraId="4BADDDEC">
                  <w:pPr>
                    <w:spacing w:line="360" w:lineRule="exact"/>
                    <w:contextualSpacing/>
                    <w:jc w:val="center"/>
                    <w:rPr>
                      <w:sz w:val="21"/>
                      <w:szCs w:val="21"/>
                    </w:rPr>
                  </w:pPr>
                  <w:r>
                    <w:rPr>
                      <w:sz w:val="21"/>
                      <w:szCs w:val="21"/>
                    </w:rPr>
                    <w:t>Ⅱ类</w:t>
                  </w:r>
                </w:p>
              </w:tc>
              <w:tc>
                <w:tcPr>
                  <w:tcW w:w="1278" w:type="pct"/>
                  <w:vAlign w:val="center"/>
                </w:tcPr>
                <w:p w14:paraId="6827812C">
                  <w:pPr>
                    <w:spacing w:line="360" w:lineRule="exact"/>
                    <w:contextualSpacing/>
                    <w:jc w:val="center"/>
                    <w:rPr>
                      <w:sz w:val="21"/>
                      <w:szCs w:val="21"/>
                    </w:rPr>
                  </w:pPr>
                  <w:r>
                    <w:rPr>
                      <w:sz w:val="21"/>
                      <w:szCs w:val="21"/>
                    </w:rPr>
                    <w:t>Ⅲ类</w:t>
                  </w:r>
                </w:p>
              </w:tc>
            </w:tr>
            <w:tr w14:paraId="0BD303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4" w:type="pct"/>
                  <w:vAlign w:val="center"/>
                </w:tcPr>
                <w:p w14:paraId="0917CEB8">
                  <w:pPr>
                    <w:spacing w:line="360" w:lineRule="exact"/>
                    <w:contextualSpacing/>
                    <w:jc w:val="center"/>
                    <w:rPr>
                      <w:sz w:val="21"/>
                      <w:szCs w:val="21"/>
                    </w:rPr>
                  </w:pPr>
                  <w:r>
                    <w:rPr>
                      <w:sz w:val="21"/>
                      <w:szCs w:val="21"/>
                    </w:rPr>
                    <w:t>结构屏蔽</w:t>
                  </w:r>
                </w:p>
              </w:tc>
              <w:tc>
                <w:tcPr>
                  <w:tcW w:w="1273" w:type="pct"/>
                  <w:vAlign w:val="center"/>
                </w:tcPr>
                <w:p w14:paraId="71621486">
                  <w:pPr>
                    <w:spacing w:line="360" w:lineRule="exact"/>
                    <w:contextualSpacing/>
                    <w:jc w:val="center"/>
                    <w:rPr>
                      <w:sz w:val="21"/>
                      <w:szCs w:val="21"/>
                    </w:rPr>
                  </w:pPr>
                  <w:r>
                    <w:rPr>
                      <w:sz w:val="21"/>
                      <w:szCs w:val="21"/>
                    </w:rPr>
                    <w:t>需要</w:t>
                  </w:r>
                </w:p>
              </w:tc>
              <w:tc>
                <w:tcPr>
                  <w:tcW w:w="1273" w:type="pct"/>
                  <w:vAlign w:val="center"/>
                </w:tcPr>
                <w:p w14:paraId="5ABA54E9">
                  <w:pPr>
                    <w:spacing w:line="360" w:lineRule="exact"/>
                    <w:contextualSpacing/>
                    <w:jc w:val="center"/>
                    <w:rPr>
                      <w:sz w:val="21"/>
                      <w:szCs w:val="21"/>
                    </w:rPr>
                  </w:pPr>
                  <w:r>
                    <w:rPr>
                      <w:sz w:val="21"/>
                      <w:szCs w:val="21"/>
                    </w:rPr>
                    <w:t>需要</w:t>
                  </w:r>
                </w:p>
              </w:tc>
              <w:tc>
                <w:tcPr>
                  <w:tcW w:w="1278" w:type="pct"/>
                  <w:vAlign w:val="center"/>
                </w:tcPr>
                <w:p w14:paraId="39584EC7">
                  <w:pPr>
                    <w:spacing w:line="360" w:lineRule="exact"/>
                    <w:contextualSpacing/>
                    <w:jc w:val="center"/>
                    <w:rPr>
                      <w:sz w:val="21"/>
                      <w:szCs w:val="21"/>
                    </w:rPr>
                  </w:pPr>
                  <w:r>
                    <w:rPr>
                      <w:sz w:val="21"/>
                      <w:szCs w:val="21"/>
                    </w:rPr>
                    <w:t>不需要</w:t>
                  </w:r>
                </w:p>
              </w:tc>
            </w:tr>
            <w:tr w14:paraId="5B91E9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4" w:type="pct"/>
                  <w:vAlign w:val="center"/>
                </w:tcPr>
                <w:p w14:paraId="3947C10D">
                  <w:pPr>
                    <w:spacing w:line="360" w:lineRule="exact"/>
                    <w:contextualSpacing/>
                    <w:jc w:val="center"/>
                    <w:rPr>
                      <w:sz w:val="21"/>
                      <w:szCs w:val="21"/>
                    </w:rPr>
                  </w:pPr>
                  <w:r>
                    <w:rPr>
                      <w:sz w:val="21"/>
                      <w:szCs w:val="21"/>
                    </w:rPr>
                    <w:t>地面</w:t>
                  </w:r>
                </w:p>
              </w:tc>
              <w:tc>
                <w:tcPr>
                  <w:tcW w:w="1273" w:type="pct"/>
                  <w:vAlign w:val="center"/>
                </w:tcPr>
                <w:p w14:paraId="10C5D70F">
                  <w:pPr>
                    <w:spacing w:line="360" w:lineRule="exact"/>
                    <w:contextualSpacing/>
                    <w:jc w:val="center"/>
                    <w:rPr>
                      <w:sz w:val="21"/>
                      <w:szCs w:val="21"/>
                    </w:rPr>
                  </w:pPr>
                  <w:r>
                    <w:rPr>
                      <w:sz w:val="21"/>
                      <w:szCs w:val="21"/>
                    </w:rPr>
                    <w:t>与墙壁接缝无缝隙</w:t>
                  </w:r>
                </w:p>
              </w:tc>
              <w:tc>
                <w:tcPr>
                  <w:tcW w:w="1273" w:type="pct"/>
                  <w:vAlign w:val="center"/>
                </w:tcPr>
                <w:p w14:paraId="10D80AEE">
                  <w:pPr>
                    <w:spacing w:line="360" w:lineRule="exact"/>
                    <w:contextualSpacing/>
                    <w:jc w:val="center"/>
                    <w:rPr>
                      <w:sz w:val="21"/>
                      <w:szCs w:val="21"/>
                    </w:rPr>
                  </w:pPr>
                  <w:r>
                    <w:rPr>
                      <w:sz w:val="21"/>
                      <w:szCs w:val="21"/>
                    </w:rPr>
                    <w:t>与墙壁接缝无缝隙</w:t>
                  </w:r>
                </w:p>
              </w:tc>
              <w:tc>
                <w:tcPr>
                  <w:tcW w:w="1278" w:type="pct"/>
                  <w:vAlign w:val="center"/>
                </w:tcPr>
                <w:p w14:paraId="4B2813F1">
                  <w:pPr>
                    <w:spacing w:line="360" w:lineRule="exact"/>
                    <w:contextualSpacing/>
                    <w:jc w:val="center"/>
                    <w:rPr>
                      <w:sz w:val="21"/>
                      <w:szCs w:val="21"/>
                    </w:rPr>
                  </w:pPr>
                  <w:r>
                    <w:rPr>
                      <w:sz w:val="21"/>
                      <w:szCs w:val="21"/>
                    </w:rPr>
                    <w:t>易清洗</w:t>
                  </w:r>
                </w:p>
              </w:tc>
            </w:tr>
            <w:tr w14:paraId="190270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4" w:type="pct"/>
                  <w:vAlign w:val="center"/>
                </w:tcPr>
                <w:p w14:paraId="07B1211F">
                  <w:pPr>
                    <w:spacing w:line="360" w:lineRule="exact"/>
                    <w:contextualSpacing/>
                    <w:jc w:val="center"/>
                    <w:rPr>
                      <w:sz w:val="21"/>
                      <w:szCs w:val="21"/>
                    </w:rPr>
                  </w:pPr>
                  <w:r>
                    <w:rPr>
                      <w:sz w:val="21"/>
                      <w:szCs w:val="21"/>
                    </w:rPr>
                    <w:t>表面</w:t>
                  </w:r>
                </w:p>
              </w:tc>
              <w:tc>
                <w:tcPr>
                  <w:tcW w:w="1273" w:type="pct"/>
                  <w:vAlign w:val="center"/>
                </w:tcPr>
                <w:p w14:paraId="3150616D">
                  <w:pPr>
                    <w:spacing w:line="360" w:lineRule="exact"/>
                    <w:contextualSpacing/>
                    <w:jc w:val="center"/>
                    <w:rPr>
                      <w:sz w:val="21"/>
                      <w:szCs w:val="21"/>
                    </w:rPr>
                  </w:pPr>
                  <w:r>
                    <w:rPr>
                      <w:sz w:val="21"/>
                      <w:szCs w:val="21"/>
                    </w:rPr>
                    <w:t>易清洗</w:t>
                  </w:r>
                </w:p>
              </w:tc>
              <w:tc>
                <w:tcPr>
                  <w:tcW w:w="1273" w:type="pct"/>
                  <w:vAlign w:val="center"/>
                </w:tcPr>
                <w:p w14:paraId="73B67128">
                  <w:pPr>
                    <w:spacing w:line="360" w:lineRule="exact"/>
                    <w:contextualSpacing/>
                    <w:jc w:val="center"/>
                    <w:rPr>
                      <w:sz w:val="21"/>
                      <w:szCs w:val="21"/>
                    </w:rPr>
                  </w:pPr>
                  <w:r>
                    <w:rPr>
                      <w:sz w:val="21"/>
                      <w:szCs w:val="21"/>
                    </w:rPr>
                    <w:t>易清洗</w:t>
                  </w:r>
                </w:p>
              </w:tc>
              <w:tc>
                <w:tcPr>
                  <w:tcW w:w="1278" w:type="pct"/>
                  <w:vAlign w:val="center"/>
                </w:tcPr>
                <w:p w14:paraId="391FEE36">
                  <w:pPr>
                    <w:spacing w:line="360" w:lineRule="exact"/>
                    <w:contextualSpacing/>
                    <w:jc w:val="center"/>
                    <w:rPr>
                      <w:sz w:val="21"/>
                      <w:szCs w:val="21"/>
                    </w:rPr>
                  </w:pPr>
                  <w:r>
                    <w:rPr>
                      <w:sz w:val="21"/>
                      <w:szCs w:val="21"/>
                    </w:rPr>
                    <w:t>易清洗</w:t>
                  </w:r>
                </w:p>
              </w:tc>
            </w:tr>
            <w:tr w14:paraId="0C9F73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4" w:type="pct"/>
                  <w:vAlign w:val="center"/>
                </w:tcPr>
                <w:p w14:paraId="0D8F7670">
                  <w:pPr>
                    <w:spacing w:line="360" w:lineRule="exact"/>
                    <w:contextualSpacing/>
                    <w:jc w:val="center"/>
                    <w:rPr>
                      <w:sz w:val="21"/>
                      <w:szCs w:val="21"/>
                    </w:rPr>
                  </w:pPr>
                  <w:r>
                    <w:rPr>
                      <w:sz w:val="21"/>
                      <w:szCs w:val="21"/>
                    </w:rPr>
                    <w:t>手套箱</w:t>
                  </w:r>
                </w:p>
              </w:tc>
              <w:tc>
                <w:tcPr>
                  <w:tcW w:w="1273" w:type="pct"/>
                  <w:vAlign w:val="center"/>
                </w:tcPr>
                <w:p w14:paraId="53BF5046">
                  <w:pPr>
                    <w:spacing w:line="360" w:lineRule="exact"/>
                    <w:contextualSpacing/>
                    <w:jc w:val="center"/>
                    <w:rPr>
                      <w:sz w:val="21"/>
                      <w:szCs w:val="21"/>
                    </w:rPr>
                  </w:pPr>
                  <w:r>
                    <w:rPr>
                      <w:sz w:val="21"/>
                      <w:szCs w:val="21"/>
                    </w:rPr>
                    <w:t>需要</w:t>
                  </w:r>
                </w:p>
              </w:tc>
              <w:tc>
                <w:tcPr>
                  <w:tcW w:w="1273" w:type="pct"/>
                  <w:vAlign w:val="center"/>
                </w:tcPr>
                <w:p w14:paraId="6D776000">
                  <w:pPr>
                    <w:spacing w:line="360" w:lineRule="exact"/>
                    <w:contextualSpacing/>
                    <w:jc w:val="center"/>
                    <w:rPr>
                      <w:sz w:val="21"/>
                      <w:szCs w:val="21"/>
                    </w:rPr>
                  </w:pPr>
                  <w:r>
                    <w:rPr>
                      <w:sz w:val="21"/>
                      <w:szCs w:val="21"/>
                    </w:rPr>
                    <w:t>需要</w:t>
                  </w:r>
                </w:p>
              </w:tc>
              <w:tc>
                <w:tcPr>
                  <w:tcW w:w="1278" w:type="pct"/>
                  <w:vAlign w:val="center"/>
                </w:tcPr>
                <w:p w14:paraId="17AAC049">
                  <w:pPr>
                    <w:spacing w:line="360" w:lineRule="exact"/>
                    <w:contextualSpacing/>
                    <w:jc w:val="center"/>
                    <w:rPr>
                      <w:sz w:val="21"/>
                      <w:szCs w:val="21"/>
                    </w:rPr>
                  </w:pPr>
                  <w:r>
                    <w:rPr>
                      <w:sz w:val="21"/>
                      <w:szCs w:val="21"/>
                    </w:rPr>
                    <w:t>不必须</w:t>
                  </w:r>
                </w:p>
              </w:tc>
            </w:tr>
            <w:tr w14:paraId="34956E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4" w:type="pct"/>
                  <w:vAlign w:val="center"/>
                </w:tcPr>
                <w:p w14:paraId="5C27A426">
                  <w:pPr>
                    <w:spacing w:line="360" w:lineRule="exact"/>
                    <w:contextualSpacing/>
                    <w:jc w:val="center"/>
                    <w:rPr>
                      <w:sz w:val="21"/>
                      <w:szCs w:val="21"/>
                    </w:rPr>
                  </w:pPr>
                  <w:r>
                    <w:rPr>
                      <w:sz w:val="21"/>
                      <w:szCs w:val="21"/>
                    </w:rPr>
                    <w:t>室内通风</w:t>
                  </w:r>
                </w:p>
              </w:tc>
              <w:tc>
                <w:tcPr>
                  <w:tcW w:w="1273" w:type="pct"/>
                  <w:vAlign w:val="center"/>
                </w:tcPr>
                <w:p w14:paraId="77D13020">
                  <w:pPr>
                    <w:spacing w:line="360" w:lineRule="exact"/>
                    <w:contextualSpacing/>
                    <w:jc w:val="center"/>
                    <w:rPr>
                      <w:sz w:val="21"/>
                      <w:szCs w:val="21"/>
                    </w:rPr>
                  </w:pPr>
                  <w:r>
                    <w:rPr>
                      <w:sz w:val="21"/>
                      <w:szCs w:val="21"/>
                    </w:rPr>
                    <w:t>特殊的强制通风</w:t>
                  </w:r>
                </w:p>
              </w:tc>
              <w:tc>
                <w:tcPr>
                  <w:tcW w:w="1273" w:type="pct"/>
                  <w:vAlign w:val="center"/>
                </w:tcPr>
                <w:p w14:paraId="2F30322A">
                  <w:pPr>
                    <w:spacing w:line="360" w:lineRule="exact"/>
                    <w:contextualSpacing/>
                    <w:jc w:val="center"/>
                    <w:rPr>
                      <w:sz w:val="21"/>
                      <w:szCs w:val="21"/>
                    </w:rPr>
                  </w:pPr>
                  <w:r>
                    <w:rPr>
                      <w:sz w:val="21"/>
                      <w:szCs w:val="21"/>
                    </w:rPr>
                    <w:t>良好通风</w:t>
                  </w:r>
                </w:p>
              </w:tc>
              <w:tc>
                <w:tcPr>
                  <w:tcW w:w="1278" w:type="pct"/>
                  <w:vAlign w:val="center"/>
                </w:tcPr>
                <w:p w14:paraId="67013685">
                  <w:pPr>
                    <w:spacing w:line="360" w:lineRule="exact"/>
                    <w:contextualSpacing/>
                    <w:jc w:val="center"/>
                    <w:rPr>
                      <w:sz w:val="21"/>
                      <w:szCs w:val="21"/>
                    </w:rPr>
                  </w:pPr>
                  <w:r>
                    <w:rPr>
                      <w:sz w:val="21"/>
                      <w:szCs w:val="21"/>
                    </w:rPr>
                    <w:t>一般自然通风</w:t>
                  </w:r>
                </w:p>
              </w:tc>
            </w:tr>
            <w:tr w14:paraId="1C9EF6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4" w:type="pct"/>
                  <w:vAlign w:val="center"/>
                </w:tcPr>
                <w:p w14:paraId="63B0705D">
                  <w:pPr>
                    <w:spacing w:line="360" w:lineRule="exact"/>
                    <w:contextualSpacing/>
                    <w:jc w:val="center"/>
                    <w:rPr>
                      <w:sz w:val="21"/>
                      <w:szCs w:val="21"/>
                    </w:rPr>
                  </w:pPr>
                  <w:r>
                    <w:rPr>
                      <w:sz w:val="21"/>
                      <w:szCs w:val="21"/>
                    </w:rPr>
                    <w:t>管道</w:t>
                  </w:r>
                </w:p>
              </w:tc>
              <w:tc>
                <w:tcPr>
                  <w:tcW w:w="1273" w:type="pct"/>
                  <w:vAlign w:val="center"/>
                </w:tcPr>
                <w:p w14:paraId="02D38C96">
                  <w:pPr>
                    <w:spacing w:line="360" w:lineRule="exact"/>
                    <w:contextualSpacing/>
                    <w:jc w:val="center"/>
                    <w:rPr>
                      <w:sz w:val="21"/>
                      <w:szCs w:val="21"/>
                    </w:rPr>
                  </w:pPr>
                  <w:r>
                    <w:rPr>
                      <w:sz w:val="21"/>
                      <w:szCs w:val="21"/>
                    </w:rPr>
                    <w:t>特殊的管道</w:t>
                  </w:r>
                  <w:r>
                    <w:rPr>
                      <w:rFonts w:eastAsia="黑体"/>
                      <w:sz w:val="21"/>
                      <w:szCs w:val="21"/>
                      <w:vertAlign w:val="superscript"/>
                    </w:rPr>
                    <w:t>①</w:t>
                  </w:r>
                </w:p>
              </w:tc>
              <w:tc>
                <w:tcPr>
                  <w:tcW w:w="1273" w:type="pct"/>
                  <w:vAlign w:val="center"/>
                </w:tcPr>
                <w:p w14:paraId="08C50015">
                  <w:pPr>
                    <w:spacing w:line="360" w:lineRule="exact"/>
                    <w:contextualSpacing/>
                    <w:jc w:val="center"/>
                    <w:rPr>
                      <w:sz w:val="21"/>
                      <w:szCs w:val="21"/>
                    </w:rPr>
                  </w:pPr>
                  <w:r>
                    <w:rPr>
                      <w:sz w:val="21"/>
                      <w:szCs w:val="21"/>
                    </w:rPr>
                    <w:t>普通管道</w:t>
                  </w:r>
                </w:p>
              </w:tc>
              <w:tc>
                <w:tcPr>
                  <w:tcW w:w="1278" w:type="pct"/>
                  <w:vAlign w:val="center"/>
                </w:tcPr>
                <w:p w14:paraId="08A0D1D8">
                  <w:pPr>
                    <w:spacing w:line="360" w:lineRule="exact"/>
                    <w:contextualSpacing/>
                    <w:jc w:val="center"/>
                    <w:rPr>
                      <w:sz w:val="21"/>
                      <w:szCs w:val="21"/>
                    </w:rPr>
                  </w:pPr>
                  <w:r>
                    <w:rPr>
                      <w:sz w:val="21"/>
                      <w:szCs w:val="21"/>
                    </w:rPr>
                    <w:t>普通管道</w:t>
                  </w:r>
                </w:p>
              </w:tc>
            </w:tr>
            <w:tr w14:paraId="5A175A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74" w:type="pct"/>
                  <w:vAlign w:val="center"/>
                </w:tcPr>
                <w:p w14:paraId="1950EEFF">
                  <w:pPr>
                    <w:spacing w:line="360" w:lineRule="exact"/>
                    <w:contextualSpacing/>
                    <w:jc w:val="center"/>
                    <w:rPr>
                      <w:sz w:val="21"/>
                      <w:szCs w:val="21"/>
                    </w:rPr>
                  </w:pPr>
                  <w:r>
                    <w:rPr>
                      <w:sz w:val="21"/>
                      <w:szCs w:val="21"/>
                    </w:rPr>
                    <w:t>清洗及去污设备</w:t>
                  </w:r>
                </w:p>
              </w:tc>
              <w:tc>
                <w:tcPr>
                  <w:tcW w:w="1273" w:type="pct"/>
                  <w:vAlign w:val="center"/>
                </w:tcPr>
                <w:p w14:paraId="50ED5CAA">
                  <w:pPr>
                    <w:spacing w:line="360" w:lineRule="exact"/>
                    <w:contextualSpacing/>
                    <w:jc w:val="center"/>
                    <w:rPr>
                      <w:sz w:val="21"/>
                      <w:szCs w:val="21"/>
                    </w:rPr>
                  </w:pPr>
                  <w:r>
                    <w:rPr>
                      <w:sz w:val="21"/>
                      <w:szCs w:val="21"/>
                    </w:rPr>
                    <w:t>洗手盆</w:t>
                  </w:r>
                  <w:r>
                    <w:rPr>
                      <w:rFonts w:eastAsia="黑体"/>
                      <w:sz w:val="21"/>
                      <w:szCs w:val="21"/>
                      <w:vertAlign w:val="superscript"/>
                    </w:rPr>
                    <w:t>②</w:t>
                  </w:r>
                  <w:r>
                    <w:rPr>
                      <w:sz w:val="21"/>
                      <w:szCs w:val="21"/>
                    </w:rPr>
                    <w:t>和去污设备</w:t>
                  </w:r>
                </w:p>
              </w:tc>
              <w:tc>
                <w:tcPr>
                  <w:tcW w:w="1273" w:type="pct"/>
                  <w:vAlign w:val="center"/>
                </w:tcPr>
                <w:p w14:paraId="3D08D028">
                  <w:pPr>
                    <w:spacing w:line="360" w:lineRule="exact"/>
                    <w:contextualSpacing/>
                    <w:jc w:val="center"/>
                    <w:rPr>
                      <w:sz w:val="21"/>
                      <w:szCs w:val="21"/>
                    </w:rPr>
                  </w:pPr>
                  <w:r>
                    <w:rPr>
                      <w:sz w:val="21"/>
                      <w:szCs w:val="21"/>
                    </w:rPr>
                    <w:t>洗手盆</w:t>
                  </w:r>
                  <w:r>
                    <w:rPr>
                      <w:rFonts w:eastAsia="黑体"/>
                      <w:sz w:val="21"/>
                      <w:szCs w:val="21"/>
                      <w:vertAlign w:val="superscript"/>
                    </w:rPr>
                    <w:t>②</w:t>
                  </w:r>
                  <w:r>
                    <w:rPr>
                      <w:sz w:val="21"/>
                      <w:szCs w:val="21"/>
                    </w:rPr>
                    <w:t>和去污设备</w:t>
                  </w:r>
                </w:p>
              </w:tc>
              <w:tc>
                <w:tcPr>
                  <w:tcW w:w="1278" w:type="pct"/>
                  <w:vAlign w:val="center"/>
                </w:tcPr>
                <w:p w14:paraId="162665AD">
                  <w:pPr>
                    <w:spacing w:line="360" w:lineRule="exact"/>
                    <w:contextualSpacing/>
                    <w:jc w:val="center"/>
                    <w:rPr>
                      <w:sz w:val="21"/>
                      <w:szCs w:val="21"/>
                    </w:rPr>
                  </w:pPr>
                  <w:r>
                    <w:rPr>
                      <w:sz w:val="21"/>
                      <w:szCs w:val="21"/>
                    </w:rPr>
                    <w:t>洗手盆</w:t>
                  </w:r>
                  <w:r>
                    <w:rPr>
                      <w:rFonts w:eastAsia="黑体"/>
                      <w:sz w:val="21"/>
                      <w:szCs w:val="21"/>
                      <w:vertAlign w:val="superscript"/>
                    </w:rPr>
                    <w:t>②</w:t>
                  </w:r>
                </w:p>
              </w:tc>
            </w:tr>
          </w:tbl>
          <w:p w14:paraId="4D04BE66">
            <w:pPr>
              <w:spacing w:line="320" w:lineRule="exact"/>
              <w:jc w:val="left"/>
              <w:rPr>
                <w:bCs/>
                <w:sz w:val="21"/>
                <w:szCs w:val="21"/>
              </w:rPr>
            </w:pPr>
            <w:r>
              <w:rPr>
                <w:rFonts w:eastAsia="黑体"/>
                <w:sz w:val="21"/>
                <w:szCs w:val="21"/>
              </w:rPr>
              <w:t>注：①下水道宜短，大水流管道应有标记以便维修检测。②洗手盆应为感应式或脚踏式等手部非接触开关控制。</w:t>
            </w:r>
          </w:p>
          <w:p w14:paraId="4A093628">
            <w:pPr>
              <w:ind w:firstLine="480"/>
              <w:rPr>
                <w:bCs/>
              </w:rPr>
            </w:pPr>
            <w:r>
              <w:rPr>
                <w:bCs/>
              </w:rPr>
              <w:t>本项目核医学科具体设计情况见表10-</w:t>
            </w:r>
            <w:r>
              <w:rPr>
                <w:rFonts w:hint="eastAsia"/>
                <w:bCs/>
                <w:lang w:val="en-US" w:eastAsia="zh-CN"/>
              </w:rPr>
              <w:t>6</w:t>
            </w:r>
            <w:r>
              <w:rPr>
                <w:bCs/>
              </w:rPr>
              <w:t>。</w:t>
            </w:r>
          </w:p>
          <w:p w14:paraId="5E6F73F9">
            <w:pPr>
              <w:spacing w:before="163" w:line="240" w:lineRule="auto"/>
              <w:jc w:val="center"/>
              <w:rPr>
                <w:rFonts w:eastAsia="黑体"/>
                <w:bCs/>
                <w:sz w:val="21"/>
                <w:szCs w:val="21"/>
              </w:rPr>
            </w:pPr>
            <w:r>
              <w:rPr>
                <w:rFonts w:hint="default" w:ascii="Times New Roman" w:hAnsi="Times New Roman" w:eastAsia="宋体" w:cs="Times New Roman"/>
                <w:b/>
                <w:bCs w:val="0"/>
                <w:sz w:val="21"/>
                <w:szCs w:val="21"/>
              </w:rPr>
              <w:t>表10-</w:t>
            </w:r>
            <w:r>
              <w:rPr>
                <w:rFonts w:hint="default" w:ascii="Times New Roman" w:hAnsi="Times New Roman" w:eastAsia="宋体" w:cs="Times New Roman"/>
                <w:b/>
                <w:bCs w:val="0"/>
                <w:sz w:val="21"/>
                <w:szCs w:val="21"/>
                <w:lang w:val="en-US" w:eastAsia="zh-CN"/>
              </w:rPr>
              <w:t>6</w:t>
            </w:r>
            <w:r>
              <w:rPr>
                <w:rFonts w:hint="default" w:ascii="Times New Roman" w:hAnsi="Times New Roman" w:eastAsia="宋体" w:cs="Times New Roman"/>
                <w:b/>
                <w:bCs w:val="0"/>
                <w:sz w:val="21"/>
                <w:szCs w:val="21"/>
              </w:rPr>
              <w:t xml:space="preserve">  本项目核医学工作场所防护设计落实情况</w:t>
            </w:r>
          </w:p>
          <w:tbl>
            <w:tblPr>
              <w:tblStyle w:val="58"/>
              <w:tblW w:w="5000" w:type="pct"/>
              <w:tblInd w:w="5"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344"/>
              <w:gridCol w:w="7455"/>
            </w:tblGrid>
            <w:tr w14:paraId="5D97BD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64" w:type="pct"/>
                  <w:vAlign w:val="center"/>
                </w:tcPr>
                <w:p w14:paraId="74C0F052">
                  <w:pPr>
                    <w:spacing w:line="360" w:lineRule="exact"/>
                    <w:jc w:val="center"/>
                    <w:rPr>
                      <w:sz w:val="21"/>
                      <w:szCs w:val="21"/>
                    </w:rPr>
                  </w:pPr>
                  <w:r>
                    <w:rPr>
                      <w:sz w:val="21"/>
                      <w:szCs w:val="21"/>
                    </w:rPr>
                    <w:t>屏蔽结构</w:t>
                  </w:r>
                </w:p>
              </w:tc>
              <w:tc>
                <w:tcPr>
                  <w:tcW w:w="4236" w:type="pct"/>
                </w:tcPr>
                <w:p w14:paraId="28D063F7">
                  <w:pPr>
                    <w:spacing w:line="360" w:lineRule="exact"/>
                    <w:rPr>
                      <w:sz w:val="21"/>
                      <w:szCs w:val="21"/>
                    </w:rPr>
                  </w:pPr>
                  <w:r>
                    <w:rPr>
                      <w:sz w:val="21"/>
                      <w:szCs w:val="21"/>
                    </w:rPr>
                    <w:t>辐射工作场所的墙体、楼板、门、观察窗、工作箱、手套箱、通风橱均按防护要求设计屏蔽结构，根据环境影响分析屏蔽结构外辐射剂量率满足《核医学辐射防护与安全要求》（HJ1188-2021）有关限值要求。</w:t>
                  </w:r>
                </w:p>
              </w:tc>
            </w:tr>
            <w:tr w14:paraId="48F212C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64" w:type="pct"/>
                  <w:vAlign w:val="center"/>
                </w:tcPr>
                <w:p w14:paraId="213C1F52">
                  <w:pPr>
                    <w:spacing w:line="360" w:lineRule="exact"/>
                    <w:jc w:val="center"/>
                    <w:rPr>
                      <w:sz w:val="21"/>
                      <w:szCs w:val="21"/>
                    </w:rPr>
                  </w:pPr>
                  <w:r>
                    <w:rPr>
                      <w:sz w:val="21"/>
                      <w:szCs w:val="21"/>
                    </w:rPr>
                    <w:t>地面</w:t>
                  </w:r>
                </w:p>
              </w:tc>
              <w:tc>
                <w:tcPr>
                  <w:tcW w:w="4236" w:type="pct"/>
                </w:tcPr>
                <w:p w14:paraId="1A8A5BD7">
                  <w:pPr>
                    <w:spacing w:line="360" w:lineRule="exact"/>
                    <w:rPr>
                      <w:sz w:val="21"/>
                      <w:szCs w:val="21"/>
                    </w:rPr>
                  </w:pPr>
                  <w:r>
                    <w:rPr>
                      <w:sz w:val="21"/>
                      <w:szCs w:val="21"/>
                    </w:rPr>
                    <w:t>辐射工作场所墙面与地面交接</w:t>
                  </w:r>
                  <w:r>
                    <w:rPr>
                      <w:rFonts w:hint="eastAsia"/>
                      <w:sz w:val="21"/>
                      <w:szCs w:val="21"/>
                      <w:lang w:val="en-US" w:eastAsia="zh-CN"/>
                    </w:rPr>
                    <w:t>处</w:t>
                  </w:r>
                  <w:r>
                    <w:rPr>
                      <w:sz w:val="21"/>
                      <w:szCs w:val="21"/>
                    </w:rPr>
                    <w:t>做圆角处理，地面全部敷设易去污并可以拆除更换的材料，其边缘应高出地面15~25cm，且地面光滑，易去污，受辐照后不易老化，且防水。</w:t>
                  </w:r>
                </w:p>
              </w:tc>
            </w:tr>
            <w:tr w14:paraId="7CC3BA0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64" w:type="pct"/>
                  <w:vAlign w:val="center"/>
                </w:tcPr>
                <w:p w14:paraId="09C76E08">
                  <w:pPr>
                    <w:spacing w:line="360" w:lineRule="exact"/>
                    <w:jc w:val="center"/>
                    <w:rPr>
                      <w:sz w:val="21"/>
                      <w:szCs w:val="21"/>
                    </w:rPr>
                  </w:pPr>
                  <w:r>
                    <w:rPr>
                      <w:sz w:val="21"/>
                      <w:szCs w:val="21"/>
                    </w:rPr>
                    <w:t>工作台表面</w:t>
                  </w:r>
                </w:p>
              </w:tc>
              <w:tc>
                <w:tcPr>
                  <w:tcW w:w="4236" w:type="pct"/>
                </w:tcPr>
                <w:p w14:paraId="42D4E78C">
                  <w:pPr>
                    <w:spacing w:line="360" w:lineRule="exact"/>
                    <w:rPr>
                      <w:sz w:val="21"/>
                      <w:szCs w:val="21"/>
                    </w:rPr>
                  </w:pPr>
                  <w:r>
                    <w:rPr>
                      <w:bCs/>
                      <w:sz w:val="21"/>
                      <w:szCs w:val="21"/>
                    </w:rPr>
                    <w:t>涉及非密封放射性物质操作的工作台面均设计为易清洗的不锈钢台面。</w:t>
                  </w:r>
                </w:p>
              </w:tc>
            </w:tr>
            <w:tr w14:paraId="1DAAC28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64" w:type="pct"/>
                  <w:vAlign w:val="center"/>
                </w:tcPr>
                <w:p w14:paraId="7BC39186">
                  <w:pPr>
                    <w:spacing w:line="360" w:lineRule="exact"/>
                    <w:jc w:val="center"/>
                    <w:rPr>
                      <w:sz w:val="21"/>
                      <w:szCs w:val="21"/>
                    </w:rPr>
                  </w:pPr>
                  <w:r>
                    <w:rPr>
                      <w:sz w:val="21"/>
                      <w:szCs w:val="21"/>
                    </w:rPr>
                    <w:t>手套箱</w:t>
                  </w:r>
                </w:p>
              </w:tc>
              <w:tc>
                <w:tcPr>
                  <w:tcW w:w="4236" w:type="pct"/>
                </w:tcPr>
                <w:p w14:paraId="18B2C7E1">
                  <w:pPr>
                    <w:spacing w:line="360" w:lineRule="exact"/>
                    <w:rPr>
                      <w:sz w:val="21"/>
                      <w:szCs w:val="21"/>
                    </w:rPr>
                  </w:pPr>
                  <w:r>
                    <w:rPr>
                      <w:bCs/>
                      <w:sz w:val="21"/>
                      <w:szCs w:val="21"/>
                    </w:rPr>
                    <w:t>各工作箱、手套箱和通风橱风速均大于0.5m/s。</w:t>
                  </w:r>
                </w:p>
              </w:tc>
            </w:tr>
            <w:tr w14:paraId="291623E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64" w:type="pct"/>
                  <w:vAlign w:val="center"/>
                </w:tcPr>
                <w:p w14:paraId="3AF49872">
                  <w:pPr>
                    <w:spacing w:line="360" w:lineRule="exact"/>
                    <w:jc w:val="center"/>
                    <w:rPr>
                      <w:sz w:val="21"/>
                      <w:szCs w:val="21"/>
                    </w:rPr>
                  </w:pPr>
                  <w:r>
                    <w:rPr>
                      <w:sz w:val="21"/>
                      <w:szCs w:val="21"/>
                    </w:rPr>
                    <w:t>室内通风</w:t>
                  </w:r>
                </w:p>
              </w:tc>
              <w:tc>
                <w:tcPr>
                  <w:tcW w:w="4236" w:type="pct"/>
                </w:tcPr>
                <w:p w14:paraId="54890F20">
                  <w:pPr>
                    <w:spacing w:line="360" w:lineRule="exact"/>
                    <w:rPr>
                      <w:sz w:val="21"/>
                      <w:szCs w:val="21"/>
                    </w:rPr>
                  </w:pPr>
                  <w:r>
                    <w:rPr>
                      <w:bCs/>
                      <w:sz w:val="21"/>
                      <w:szCs w:val="21"/>
                    </w:rPr>
                    <w:t>辐射工作场所内已设计独立的排风系统（不与非辐射工作区域碰管），引至</w:t>
                  </w:r>
                  <w:r>
                    <w:rPr>
                      <w:rFonts w:hint="eastAsia"/>
                      <w:bCs/>
                      <w:sz w:val="21"/>
                      <w:szCs w:val="21"/>
                      <w:lang w:val="en-US" w:eastAsia="zh-CN"/>
                    </w:rPr>
                    <w:t>门诊医技</w:t>
                  </w:r>
                  <w:r>
                    <w:rPr>
                      <w:bCs/>
                      <w:sz w:val="21"/>
                      <w:szCs w:val="21"/>
                    </w:rPr>
                    <w:t>楼楼顶统一进行排放。</w:t>
                  </w:r>
                </w:p>
              </w:tc>
            </w:tr>
            <w:tr w14:paraId="1D699CF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64" w:type="pct"/>
                  <w:vAlign w:val="center"/>
                </w:tcPr>
                <w:p w14:paraId="516D2B1D">
                  <w:pPr>
                    <w:spacing w:line="360" w:lineRule="exact"/>
                    <w:jc w:val="center"/>
                    <w:rPr>
                      <w:sz w:val="21"/>
                      <w:szCs w:val="21"/>
                    </w:rPr>
                  </w:pPr>
                  <w:r>
                    <w:rPr>
                      <w:sz w:val="21"/>
                      <w:szCs w:val="21"/>
                    </w:rPr>
                    <w:t>管道</w:t>
                  </w:r>
                </w:p>
              </w:tc>
              <w:tc>
                <w:tcPr>
                  <w:tcW w:w="4236" w:type="pct"/>
                </w:tcPr>
                <w:p w14:paraId="641BE694">
                  <w:pPr>
                    <w:spacing w:line="360" w:lineRule="exact"/>
                    <w:rPr>
                      <w:sz w:val="21"/>
                      <w:szCs w:val="21"/>
                    </w:rPr>
                  </w:pPr>
                  <w:r>
                    <w:rPr>
                      <w:bCs/>
                      <w:sz w:val="21"/>
                      <w:szCs w:val="21"/>
                    </w:rPr>
                    <w:t>辐射工作场所内已设计放射性下水口，并通过独立的特排管道连接至负三层并联衰变池。</w:t>
                  </w:r>
                </w:p>
              </w:tc>
            </w:tr>
            <w:tr w14:paraId="3C15F39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764" w:type="pct"/>
                  <w:vAlign w:val="center"/>
                </w:tcPr>
                <w:p w14:paraId="77B6E04E">
                  <w:pPr>
                    <w:spacing w:line="360" w:lineRule="exact"/>
                    <w:jc w:val="center"/>
                    <w:rPr>
                      <w:sz w:val="21"/>
                      <w:szCs w:val="21"/>
                    </w:rPr>
                  </w:pPr>
                  <w:r>
                    <w:rPr>
                      <w:sz w:val="21"/>
                      <w:szCs w:val="21"/>
                    </w:rPr>
                    <w:t>清洗剂去污设备</w:t>
                  </w:r>
                </w:p>
              </w:tc>
              <w:tc>
                <w:tcPr>
                  <w:tcW w:w="4236" w:type="pct"/>
                </w:tcPr>
                <w:p w14:paraId="3DC7FBDC">
                  <w:pPr>
                    <w:spacing w:line="360" w:lineRule="exact"/>
                    <w:rPr>
                      <w:bCs/>
                      <w:sz w:val="21"/>
                      <w:szCs w:val="21"/>
                    </w:rPr>
                  </w:pPr>
                  <w:r>
                    <w:rPr>
                      <w:bCs/>
                      <w:sz w:val="21"/>
                      <w:szCs w:val="21"/>
                    </w:rPr>
                    <w:t>辐射工作场所职业人员卫生通过间拟配备清洗剂用于皮肤沾染去污，同时配备α/β表面沾污仪用于人体表面沾污监测。</w:t>
                  </w:r>
                </w:p>
              </w:tc>
            </w:tr>
          </w:tbl>
          <w:p w14:paraId="312E2146">
            <w:pPr>
              <w:ind w:firstLine="480"/>
              <w:rPr>
                <w:bCs/>
              </w:rPr>
            </w:pPr>
            <w:r>
              <w:rPr>
                <w:bCs/>
              </w:rPr>
              <w:t>对比表10-</w:t>
            </w:r>
            <w:r>
              <w:rPr>
                <w:rFonts w:hint="eastAsia"/>
                <w:bCs/>
                <w:lang w:val="en-US" w:eastAsia="zh-CN"/>
              </w:rPr>
              <w:t>5</w:t>
            </w:r>
            <w:r>
              <w:rPr>
                <w:bCs/>
              </w:rPr>
              <w:t>、表10-</w:t>
            </w:r>
            <w:r>
              <w:rPr>
                <w:rFonts w:hint="eastAsia"/>
                <w:bCs/>
                <w:lang w:val="en-US" w:eastAsia="zh-CN"/>
              </w:rPr>
              <w:t>6</w:t>
            </w:r>
            <w:r>
              <w:rPr>
                <w:bCs/>
              </w:rPr>
              <w:t>，本项目核医学科工作场所放射防护设计能满足</w:t>
            </w:r>
            <w:r>
              <w:t>《</w:t>
            </w:r>
            <w:r>
              <w:rPr>
                <w:bCs/>
              </w:rPr>
              <w:t>核医学放射防护要求</w:t>
            </w:r>
            <w:r>
              <w:t>》</w:t>
            </w:r>
            <w:r>
              <w:rPr>
                <w:bCs/>
              </w:rPr>
              <w:t>（GBZ120-2020）中最高类别（I类）场所的防护要求。</w:t>
            </w:r>
          </w:p>
          <w:p w14:paraId="68D49989">
            <w:pPr>
              <w:numPr>
                <w:ilvl w:val="0"/>
                <w:numId w:val="0"/>
              </w:numPr>
              <w:ind w:left="0" w:leftChars="0" w:firstLine="480" w:firstLineChars="0"/>
              <w:rPr>
                <w:rFonts w:hint="eastAsia"/>
                <w:b/>
                <w:lang w:val="en-US" w:eastAsia="zh-CN"/>
              </w:rPr>
            </w:pPr>
            <w:r>
              <w:rPr>
                <w:rFonts w:hint="eastAsia" w:ascii="Times New Roman" w:hAnsi="Times New Roman" w:eastAsia="宋体" w:cs="Times New Roman"/>
                <w:b/>
                <w:sz w:val="24"/>
                <w:szCs w:val="24"/>
                <w:lang w:val="en-US" w:eastAsia="zh-CN" w:bidi="ar-SA"/>
              </w:rPr>
              <w:t>（</w:t>
            </w:r>
            <w:r>
              <w:rPr>
                <w:rFonts w:hint="eastAsia" w:cs="Times New Roman"/>
                <w:b/>
                <w:sz w:val="24"/>
                <w:szCs w:val="24"/>
                <w:lang w:val="en-US" w:eastAsia="zh-CN" w:bidi="ar-SA"/>
              </w:rPr>
              <w:t>2</w:t>
            </w:r>
            <w:r>
              <w:rPr>
                <w:rFonts w:hint="eastAsia" w:ascii="Times New Roman" w:hAnsi="Times New Roman" w:eastAsia="宋体" w:cs="Times New Roman"/>
                <w:b/>
                <w:sz w:val="24"/>
                <w:szCs w:val="24"/>
                <w:lang w:val="en-US" w:eastAsia="zh-CN" w:bidi="ar-SA"/>
              </w:rPr>
              <w:t>）</w:t>
            </w:r>
            <w:r>
              <w:rPr>
                <w:rFonts w:hint="eastAsia"/>
                <w:b/>
                <w:lang w:val="en-US" w:eastAsia="zh-CN"/>
              </w:rPr>
              <w:t>射线装置工作场所</w:t>
            </w:r>
          </w:p>
          <w:p w14:paraId="76F3E94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bCs/>
                <w:lang w:val="en-US" w:eastAsia="zh-CN"/>
              </w:rPr>
            </w:pPr>
            <w:r>
              <w:t>根据《</w:t>
            </w:r>
            <w:r>
              <w:rPr>
                <w:rFonts w:hint="eastAsia"/>
                <w:bCs/>
                <w:lang w:val="en-US" w:eastAsia="zh-CN"/>
              </w:rPr>
              <w:t>放射诊断</w:t>
            </w:r>
            <w:r>
              <w:rPr>
                <w:bCs/>
              </w:rPr>
              <w:t>放射防护要求</w:t>
            </w:r>
            <w:r>
              <w:t>》</w:t>
            </w:r>
            <w:r>
              <w:rPr>
                <w:bCs/>
              </w:rPr>
              <w:t>（</w:t>
            </w:r>
            <w:r>
              <w:rPr>
                <w:rFonts w:hint="eastAsia"/>
                <w:bCs/>
                <w:lang w:val="en-US" w:eastAsia="zh-CN"/>
              </w:rPr>
              <w:t>GBZ130-2020），</w:t>
            </w:r>
            <w:r>
              <w:rPr>
                <w:bCs/>
              </w:rPr>
              <w:t>X射线装置设备机房</w:t>
            </w:r>
            <w:r>
              <w:rPr>
                <w:rFonts w:hint="eastAsia"/>
                <w:bCs/>
                <w:lang w:val="en-US" w:eastAsia="zh-CN"/>
              </w:rPr>
              <w:t>面积和单边长度</w:t>
            </w:r>
            <w:r>
              <w:rPr>
                <w:bCs/>
              </w:rPr>
              <w:t>应满足下表所列要求</w:t>
            </w:r>
            <w:r>
              <w:rPr>
                <w:rFonts w:hint="eastAsia"/>
                <w:bCs/>
                <w:lang w:val="en-US" w:eastAsia="zh-CN"/>
              </w:rPr>
              <w:t>。</w:t>
            </w:r>
          </w:p>
          <w:p w14:paraId="44D7BD24">
            <w:pPr>
              <w:spacing w:before="163" w:line="240" w:lineRule="auto"/>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表10-</w:t>
            </w:r>
            <w:r>
              <w:rPr>
                <w:rFonts w:hint="eastAsia" w:ascii="Times New Roman" w:hAnsi="Times New Roman" w:eastAsia="宋体" w:cs="Times New Roman"/>
                <w:b/>
                <w:bCs w:val="0"/>
                <w:sz w:val="21"/>
                <w:szCs w:val="21"/>
                <w:lang w:val="en-US" w:eastAsia="zh-CN"/>
              </w:rPr>
              <w:t>7</w:t>
            </w:r>
            <w:r>
              <w:rPr>
                <w:rFonts w:hint="default" w:ascii="Times New Roman" w:hAnsi="Times New Roman" w:eastAsia="宋体" w:cs="Times New Roman"/>
                <w:b/>
                <w:bCs w:val="0"/>
                <w:sz w:val="21"/>
                <w:szCs w:val="21"/>
              </w:rPr>
              <w:t xml:space="preserve">  不同类型X射线设备机房的屏蔽防护要求</w:t>
            </w:r>
          </w:p>
          <w:tbl>
            <w:tblPr>
              <w:tblStyle w:val="57"/>
              <w:tblW w:w="8519"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25"/>
              <w:gridCol w:w="2933"/>
              <w:gridCol w:w="2361"/>
            </w:tblGrid>
            <w:tr w14:paraId="3536EC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892" w:type="pct"/>
                  <w:noWrap w:val="0"/>
                  <w:vAlign w:val="center"/>
                </w:tcPr>
                <w:p w14:paraId="64FE2A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6"/>
                      <w:sz w:val="21"/>
                      <w:szCs w:val="21"/>
                    </w:rPr>
                  </w:pPr>
                  <w:r>
                    <w:rPr>
                      <w:b/>
                      <w:bCs/>
                      <w:spacing w:val="-6"/>
                      <w:sz w:val="21"/>
                      <w:szCs w:val="21"/>
                    </w:rPr>
                    <w:t>设备类型</w:t>
                  </w:r>
                </w:p>
              </w:tc>
              <w:tc>
                <w:tcPr>
                  <w:tcW w:w="1721" w:type="pct"/>
                  <w:noWrap w:val="0"/>
                  <w:vAlign w:val="center"/>
                </w:tcPr>
                <w:p w14:paraId="0B682E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6"/>
                      <w:sz w:val="21"/>
                      <w:szCs w:val="21"/>
                    </w:rPr>
                  </w:pPr>
                  <w:r>
                    <w:rPr>
                      <w:b/>
                      <w:bCs/>
                      <w:spacing w:val="-6"/>
                      <w:sz w:val="21"/>
                      <w:szCs w:val="21"/>
                    </w:rPr>
                    <w:t>机房内最小有效使用面积（m</w:t>
                  </w:r>
                  <w:r>
                    <w:rPr>
                      <w:b/>
                      <w:bCs/>
                      <w:spacing w:val="-6"/>
                      <w:sz w:val="21"/>
                      <w:szCs w:val="21"/>
                      <w:vertAlign w:val="superscript"/>
                    </w:rPr>
                    <w:t>2</w:t>
                  </w:r>
                  <w:r>
                    <w:rPr>
                      <w:b/>
                      <w:bCs/>
                      <w:spacing w:val="-6"/>
                      <w:sz w:val="21"/>
                      <w:szCs w:val="21"/>
                    </w:rPr>
                    <w:t>）</w:t>
                  </w:r>
                </w:p>
              </w:tc>
              <w:tc>
                <w:tcPr>
                  <w:tcW w:w="1385" w:type="pct"/>
                  <w:noWrap w:val="0"/>
                  <w:vAlign w:val="center"/>
                </w:tcPr>
                <w:p w14:paraId="4957C6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bCs/>
                      <w:spacing w:val="-6"/>
                      <w:sz w:val="21"/>
                      <w:szCs w:val="21"/>
                    </w:rPr>
                  </w:pPr>
                  <w:r>
                    <w:rPr>
                      <w:b/>
                      <w:bCs/>
                      <w:spacing w:val="-6"/>
                      <w:sz w:val="21"/>
                      <w:szCs w:val="21"/>
                    </w:rPr>
                    <w:t>机房内最小单边长度（m）</w:t>
                  </w:r>
                </w:p>
              </w:tc>
            </w:tr>
            <w:tr w14:paraId="3FF995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892" w:type="pct"/>
                  <w:noWrap w:val="0"/>
                  <w:vAlign w:val="center"/>
                </w:tcPr>
                <w:p w14:paraId="61B2DA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单管头X射线设备</w:t>
                  </w:r>
                </w:p>
              </w:tc>
              <w:tc>
                <w:tcPr>
                  <w:tcW w:w="1721" w:type="pct"/>
                  <w:noWrap w:val="0"/>
                  <w:vAlign w:val="center"/>
                </w:tcPr>
                <w:p w14:paraId="72FA54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spacing w:val="-6"/>
                      <w:sz w:val="21"/>
                      <w:szCs w:val="21"/>
                    </w:rPr>
                  </w:pPr>
                  <w:r>
                    <w:rPr>
                      <w:rFonts w:eastAsia="仿宋"/>
                      <w:spacing w:val="-6"/>
                      <w:sz w:val="21"/>
                      <w:szCs w:val="21"/>
                    </w:rPr>
                    <w:t>20</w:t>
                  </w:r>
                </w:p>
              </w:tc>
              <w:tc>
                <w:tcPr>
                  <w:tcW w:w="1385" w:type="pct"/>
                  <w:noWrap w:val="0"/>
                  <w:vAlign w:val="center"/>
                </w:tcPr>
                <w:p w14:paraId="0E22BD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spacing w:val="-6"/>
                      <w:sz w:val="21"/>
                      <w:szCs w:val="21"/>
                    </w:rPr>
                  </w:pPr>
                  <w:r>
                    <w:rPr>
                      <w:rFonts w:eastAsia="仿宋"/>
                      <w:spacing w:val="-6"/>
                      <w:sz w:val="21"/>
                      <w:szCs w:val="21"/>
                    </w:rPr>
                    <w:t>3.5</w:t>
                  </w:r>
                </w:p>
              </w:tc>
            </w:tr>
            <w:tr w14:paraId="76C0FF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1892" w:type="pct"/>
                  <w:noWrap w:val="0"/>
                  <w:vAlign w:val="center"/>
                </w:tcPr>
                <w:p w14:paraId="4EA29B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CT机（不含头颅移动CT）</w:t>
                  </w:r>
                </w:p>
              </w:tc>
              <w:tc>
                <w:tcPr>
                  <w:tcW w:w="1721" w:type="pct"/>
                  <w:noWrap w:val="0"/>
                  <w:vAlign w:val="center"/>
                </w:tcPr>
                <w:p w14:paraId="5C6618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仿宋"/>
                      <w:spacing w:val="-6"/>
                      <w:sz w:val="21"/>
                      <w:szCs w:val="21"/>
                      <w:lang w:val="en-US" w:eastAsia="zh-CN"/>
                    </w:rPr>
                  </w:pPr>
                  <w:r>
                    <w:rPr>
                      <w:rFonts w:hint="eastAsia" w:eastAsia="仿宋"/>
                      <w:spacing w:val="-6"/>
                      <w:sz w:val="21"/>
                      <w:szCs w:val="21"/>
                      <w:lang w:val="en-US" w:eastAsia="zh-CN"/>
                    </w:rPr>
                    <w:t>30</w:t>
                  </w:r>
                </w:p>
              </w:tc>
              <w:tc>
                <w:tcPr>
                  <w:tcW w:w="1385" w:type="pct"/>
                  <w:noWrap w:val="0"/>
                  <w:vAlign w:val="center"/>
                </w:tcPr>
                <w:p w14:paraId="227B49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仿宋"/>
                      <w:spacing w:val="-6"/>
                      <w:sz w:val="21"/>
                      <w:szCs w:val="21"/>
                      <w:lang w:val="en-US" w:eastAsia="zh-CN"/>
                    </w:rPr>
                  </w:pPr>
                  <w:r>
                    <w:rPr>
                      <w:rFonts w:hint="eastAsia" w:eastAsia="仿宋"/>
                      <w:spacing w:val="-6"/>
                      <w:sz w:val="21"/>
                      <w:szCs w:val="21"/>
                      <w:lang w:val="en-US" w:eastAsia="zh-CN"/>
                    </w:rPr>
                    <w:t>4.5</w:t>
                  </w:r>
                </w:p>
              </w:tc>
            </w:tr>
          </w:tbl>
          <w:p w14:paraId="0EAFB67B">
            <w:pPr>
              <w:rPr>
                <w:bCs/>
              </w:rPr>
            </w:pPr>
            <w:r>
              <w:rPr>
                <w:rFonts w:eastAsia="黑体"/>
                <w:bCs/>
                <w:sz w:val="21"/>
                <w:szCs w:val="21"/>
              </w:rPr>
              <w:t>注：根据建设单位提供资料，本项目DSA</w:t>
            </w:r>
            <w:r>
              <w:rPr>
                <w:rFonts w:hint="eastAsia" w:eastAsia="黑体"/>
                <w:bCs/>
                <w:sz w:val="21"/>
                <w:szCs w:val="21"/>
                <w:lang w:val="en-US" w:eastAsia="zh-CN"/>
              </w:rPr>
              <w:t>和ERCP</w:t>
            </w:r>
            <w:r>
              <w:rPr>
                <w:rFonts w:eastAsia="黑体"/>
                <w:bCs/>
                <w:sz w:val="21"/>
                <w:szCs w:val="21"/>
              </w:rPr>
              <w:t>为单管头X射线设备。</w:t>
            </w:r>
          </w:p>
          <w:p w14:paraId="2B4EBB02">
            <w:pPr>
              <w:ind w:firstLine="480"/>
              <w:rPr>
                <w:bCs/>
              </w:rPr>
            </w:pPr>
            <w:r>
              <w:rPr>
                <w:bCs/>
              </w:rPr>
              <w:t>本项目</w:t>
            </w:r>
            <w:r>
              <w:rPr>
                <w:rFonts w:hint="eastAsia"/>
                <w:bCs/>
                <w:lang w:val="en-US" w:eastAsia="zh-CN"/>
              </w:rPr>
              <w:t>射线装置机房</w:t>
            </w:r>
            <w:r>
              <w:rPr>
                <w:bCs/>
              </w:rPr>
              <w:t>具体设计情况见表10-</w:t>
            </w:r>
            <w:r>
              <w:rPr>
                <w:rFonts w:hint="eastAsia"/>
                <w:bCs/>
                <w:lang w:val="en-US" w:eastAsia="zh-CN"/>
              </w:rPr>
              <w:t>8</w:t>
            </w:r>
            <w:r>
              <w:rPr>
                <w:bCs/>
              </w:rPr>
              <w:t>。</w:t>
            </w:r>
          </w:p>
          <w:p w14:paraId="1D190122">
            <w:pPr>
              <w:spacing w:before="163" w:line="240" w:lineRule="auto"/>
              <w:jc w:val="center"/>
              <w:rPr>
                <w:rFonts w:eastAsia="黑体"/>
                <w:bCs/>
                <w:sz w:val="21"/>
                <w:szCs w:val="21"/>
              </w:rPr>
            </w:pPr>
            <w:r>
              <w:rPr>
                <w:rFonts w:hint="default" w:ascii="Times New Roman" w:hAnsi="Times New Roman" w:eastAsia="宋体" w:cs="Times New Roman"/>
                <w:b/>
                <w:bCs w:val="0"/>
                <w:sz w:val="21"/>
                <w:szCs w:val="21"/>
              </w:rPr>
              <w:t>表10-</w:t>
            </w:r>
            <w:r>
              <w:rPr>
                <w:rFonts w:hint="eastAsia" w:cs="Times New Roman"/>
                <w:b/>
                <w:bCs w:val="0"/>
                <w:sz w:val="21"/>
                <w:szCs w:val="21"/>
                <w:lang w:val="en-US" w:eastAsia="zh-CN"/>
              </w:rPr>
              <w:t>8</w:t>
            </w:r>
            <w:r>
              <w:rPr>
                <w:rFonts w:hint="default" w:ascii="Times New Roman" w:hAnsi="Times New Roman" w:eastAsia="宋体" w:cs="Times New Roman"/>
                <w:b/>
                <w:bCs w:val="0"/>
                <w:sz w:val="21"/>
                <w:szCs w:val="21"/>
              </w:rPr>
              <w:t xml:space="preserve">  本项目</w:t>
            </w:r>
            <w:r>
              <w:rPr>
                <w:rFonts w:hint="eastAsia" w:cs="Times New Roman"/>
                <w:b/>
                <w:bCs w:val="0"/>
                <w:sz w:val="21"/>
                <w:szCs w:val="21"/>
                <w:lang w:val="en-US" w:eastAsia="zh-CN"/>
              </w:rPr>
              <w:t>射线装置机房</w:t>
            </w:r>
            <w:r>
              <w:rPr>
                <w:rFonts w:hint="default" w:ascii="Times New Roman" w:hAnsi="Times New Roman" w:eastAsia="宋体" w:cs="Times New Roman"/>
                <w:b/>
                <w:bCs w:val="0"/>
                <w:sz w:val="21"/>
                <w:szCs w:val="21"/>
              </w:rPr>
              <w:t>防护设计落实情况</w:t>
            </w:r>
          </w:p>
          <w:tbl>
            <w:tblPr>
              <w:tblStyle w:val="57"/>
              <w:tblW w:w="5008" w:type="pct"/>
              <w:tblInd w:w="1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47"/>
              <w:gridCol w:w="2750"/>
              <w:gridCol w:w="3316"/>
            </w:tblGrid>
            <w:tr w14:paraId="3A276B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558" w:type="pct"/>
                  <w:noWrap w:val="0"/>
                  <w:vAlign w:val="center"/>
                </w:tcPr>
                <w:p w14:paraId="32A8A82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
                      <w:spacing w:val="-11"/>
                      <w:sz w:val="21"/>
                      <w:szCs w:val="21"/>
                    </w:rPr>
                  </w:pPr>
                  <w:r>
                    <w:rPr>
                      <w:b/>
                      <w:spacing w:val="-11"/>
                      <w:sz w:val="21"/>
                      <w:szCs w:val="21"/>
                    </w:rPr>
                    <w:t>工作场所</w:t>
                  </w:r>
                </w:p>
              </w:tc>
              <w:tc>
                <w:tcPr>
                  <w:tcW w:w="1560" w:type="pct"/>
                  <w:noWrap w:val="0"/>
                  <w:vAlign w:val="center"/>
                </w:tcPr>
                <w:p w14:paraId="4085E6D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eastAsia="宋体"/>
                      <w:b/>
                      <w:spacing w:val="-11"/>
                      <w:sz w:val="21"/>
                      <w:szCs w:val="21"/>
                      <w:lang w:val="en-US" w:eastAsia="zh-CN"/>
                    </w:rPr>
                  </w:pPr>
                  <w:r>
                    <w:rPr>
                      <w:b/>
                      <w:spacing w:val="-11"/>
                      <w:sz w:val="21"/>
                      <w:szCs w:val="21"/>
                    </w:rPr>
                    <w:t>有效使用面积</w:t>
                  </w:r>
                  <w:r>
                    <w:rPr>
                      <w:rFonts w:hint="eastAsia"/>
                      <w:b/>
                      <w:spacing w:val="-11"/>
                      <w:sz w:val="21"/>
                      <w:szCs w:val="21"/>
                      <w:lang w:eastAsia="zh-CN"/>
                    </w:rPr>
                    <w:t>，</w:t>
                  </w:r>
                  <w:r>
                    <w:rPr>
                      <w:rFonts w:hint="eastAsia"/>
                      <w:b/>
                      <w:spacing w:val="-11"/>
                      <w:sz w:val="21"/>
                      <w:szCs w:val="21"/>
                      <w:lang w:val="en-US" w:eastAsia="zh-CN"/>
                    </w:rPr>
                    <w:t>m</w:t>
                  </w:r>
                  <w:r>
                    <w:rPr>
                      <w:rFonts w:hint="eastAsia"/>
                      <w:b/>
                      <w:spacing w:val="-11"/>
                      <w:sz w:val="21"/>
                      <w:szCs w:val="21"/>
                      <w:vertAlign w:val="superscript"/>
                      <w:lang w:val="en-US" w:eastAsia="zh-CN"/>
                    </w:rPr>
                    <w:t>2</w:t>
                  </w:r>
                </w:p>
              </w:tc>
              <w:tc>
                <w:tcPr>
                  <w:tcW w:w="1881" w:type="pct"/>
                  <w:noWrap w:val="0"/>
                  <w:vAlign w:val="center"/>
                </w:tcPr>
                <w:p w14:paraId="38C3216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
                      <w:spacing w:val="-11"/>
                      <w:sz w:val="21"/>
                      <w:szCs w:val="21"/>
                    </w:rPr>
                  </w:pPr>
                  <w:r>
                    <w:rPr>
                      <w:b/>
                      <w:spacing w:val="-11"/>
                      <w:sz w:val="21"/>
                      <w:szCs w:val="21"/>
                    </w:rPr>
                    <w:t>净空尺寸</w:t>
                  </w:r>
                </w:p>
              </w:tc>
            </w:tr>
            <w:tr w14:paraId="3C717D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8" w:type="pct"/>
                  <w:noWrap w:val="0"/>
                  <w:vAlign w:val="center"/>
                </w:tcPr>
                <w:p w14:paraId="7A5F7DE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PET/CT机房</w:t>
                  </w:r>
                </w:p>
              </w:tc>
              <w:tc>
                <w:tcPr>
                  <w:tcW w:w="1560" w:type="pct"/>
                  <w:noWrap w:val="0"/>
                  <w:vAlign w:val="center"/>
                </w:tcPr>
                <w:p w14:paraId="44993EF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51.12</w:t>
                  </w:r>
                </w:p>
              </w:tc>
              <w:tc>
                <w:tcPr>
                  <w:tcW w:w="1881" w:type="pct"/>
                  <w:noWrap w:val="0"/>
                  <w:vAlign w:val="center"/>
                </w:tcPr>
                <w:p w14:paraId="4BB5B9B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Cs/>
                      <w:spacing w:val="-11"/>
                      <w:sz w:val="21"/>
                      <w:szCs w:val="21"/>
                      <w:highlight w:val="none"/>
                    </w:rPr>
                  </w:pPr>
                  <w:r>
                    <w:rPr>
                      <w:rFonts w:hint="eastAsia"/>
                      <w:sz w:val="21"/>
                      <w:szCs w:val="22"/>
                      <w:highlight w:val="none"/>
                      <w:lang w:val="en-US" w:eastAsia="zh-CN"/>
                    </w:rPr>
                    <w:t>7.2</w:t>
                  </w:r>
                  <w:r>
                    <w:rPr>
                      <w:sz w:val="21"/>
                      <w:szCs w:val="22"/>
                      <w:highlight w:val="none"/>
                    </w:rPr>
                    <w:t>m×宽</w:t>
                  </w:r>
                  <w:r>
                    <w:rPr>
                      <w:rFonts w:hint="eastAsia"/>
                      <w:sz w:val="21"/>
                      <w:szCs w:val="22"/>
                      <w:highlight w:val="none"/>
                      <w:lang w:val="en-US" w:eastAsia="zh-CN"/>
                    </w:rPr>
                    <w:t>7.1</w:t>
                  </w:r>
                  <w:r>
                    <w:rPr>
                      <w:sz w:val="21"/>
                      <w:szCs w:val="22"/>
                      <w:highlight w:val="none"/>
                    </w:rPr>
                    <w:t>m×高</w:t>
                  </w:r>
                  <w:r>
                    <w:rPr>
                      <w:rFonts w:hint="eastAsia"/>
                      <w:sz w:val="21"/>
                      <w:szCs w:val="22"/>
                      <w:highlight w:val="none"/>
                      <w:lang w:val="en-US" w:eastAsia="zh-CN"/>
                    </w:rPr>
                    <w:t>4.7</w:t>
                  </w:r>
                  <w:r>
                    <w:rPr>
                      <w:sz w:val="21"/>
                      <w:szCs w:val="22"/>
                      <w:highlight w:val="none"/>
                    </w:rPr>
                    <w:t>m</w:t>
                  </w:r>
                </w:p>
              </w:tc>
            </w:tr>
            <w:tr w14:paraId="1E5B68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8" w:type="pct"/>
                  <w:noWrap w:val="0"/>
                  <w:vAlign w:val="center"/>
                </w:tcPr>
                <w:p w14:paraId="6E4E1DA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SPECT/CT机房</w:t>
                  </w:r>
                </w:p>
              </w:tc>
              <w:tc>
                <w:tcPr>
                  <w:tcW w:w="1560" w:type="pct"/>
                  <w:noWrap w:val="0"/>
                  <w:vAlign w:val="center"/>
                </w:tcPr>
                <w:p w14:paraId="77BBAA3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46.86</w:t>
                  </w:r>
                </w:p>
              </w:tc>
              <w:tc>
                <w:tcPr>
                  <w:tcW w:w="1881" w:type="pct"/>
                  <w:noWrap w:val="0"/>
                  <w:vAlign w:val="center"/>
                </w:tcPr>
                <w:p w14:paraId="7B1E19B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Cs/>
                      <w:spacing w:val="-11"/>
                      <w:sz w:val="21"/>
                      <w:szCs w:val="21"/>
                      <w:highlight w:val="none"/>
                    </w:rPr>
                  </w:pPr>
                  <w:r>
                    <w:rPr>
                      <w:rFonts w:hint="eastAsia"/>
                      <w:sz w:val="21"/>
                      <w:szCs w:val="22"/>
                      <w:highlight w:val="none"/>
                      <w:lang w:val="en-US" w:eastAsia="zh-CN"/>
                    </w:rPr>
                    <w:t>7.1</w:t>
                  </w:r>
                  <w:r>
                    <w:rPr>
                      <w:sz w:val="21"/>
                      <w:szCs w:val="22"/>
                      <w:highlight w:val="none"/>
                    </w:rPr>
                    <w:t>m×宽</w:t>
                  </w:r>
                  <w:r>
                    <w:rPr>
                      <w:rFonts w:hint="eastAsia"/>
                      <w:sz w:val="21"/>
                      <w:szCs w:val="22"/>
                      <w:highlight w:val="none"/>
                      <w:lang w:val="en-US" w:eastAsia="zh-CN"/>
                    </w:rPr>
                    <w:t>6.6</w:t>
                  </w:r>
                  <w:r>
                    <w:rPr>
                      <w:sz w:val="21"/>
                      <w:szCs w:val="22"/>
                      <w:highlight w:val="none"/>
                    </w:rPr>
                    <w:t>m×高</w:t>
                  </w:r>
                  <w:r>
                    <w:rPr>
                      <w:rFonts w:hint="eastAsia"/>
                      <w:sz w:val="21"/>
                      <w:szCs w:val="22"/>
                      <w:highlight w:val="none"/>
                      <w:lang w:val="en-US" w:eastAsia="zh-CN"/>
                    </w:rPr>
                    <w:t>4.7</w:t>
                  </w:r>
                  <w:r>
                    <w:rPr>
                      <w:sz w:val="21"/>
                      <w:szCs w:val="22"/>
                      <w:highlight w:val="none"/>
                    </w:rPr>
                    <w:t>m</w:t>
                  </w:r>
                </w:p>
              </w:tc>
            </w:tr>
            <w:tr w14:paraId="39A246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8" w:type="pct"/>
                  <w:noWrap w:val="0"/>
                  <w:vAlign w:val="center"/>
                </w:tcPr>
                <w:p w14:paraId="2878D7C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eastAsia="宋体"/>
                      <w:bCs/>
                      <w:spacing w:val="-11"/>
                      <w:sz w:val="21"/>
                      <w:szCs w:val="21"/>
                      <w:lang w:val="en-US" w:eastAsia="zh-CN"/>
                    </w:rPr>
                  </w:pPr>
                  <w:r>
                    <w:rPr>
                      <w:rFonts w:hint="eastAsia"/>
                      <w:bCs/>
                      <w:spacing w:val="-11"/>
                      <w:sz w:val="21"/>
                      <w:szCs w:val="21"/>
                      <w:lang w:val="en-US" w:eastAsia="zh-CN"/>
                    </w:rPr>
                    <w:t>DSA+CT复合手术室</w:t>
                  </w:r>
                </w:p>
              </w:tc>
              <w:tc>
                <w:tcPr>
                  <w:tcW w:w="1560" w:type="pct"/>
                  <w:noWrap w:val="0"/>
                  <w:vAlign w:val="center"/>
                </w:tcPr>
                <w:p w14:paraId="045605D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vertAlign w:val="superscript"/>
                      <w:lang w:val="en-US"/>
                    </w:rPr>
                  </w:pPr>
                  <w:r>
                    <w:rPr>
                      <w:rFonts w:hint="eastAsia"/>
                      <w:bCs/>
                      <w:spacing w:val="-11"/>
                      <w:sz w:val="21"/>
                      <w:szCs w:val="21"/>
                      <w:lang w:val="en-US" w:eastAsia="zh-CN"/>
                    </w:rPr>
                    <w:t>61.84</w:t>
                  </w:r>
                </w:p>
              </w:tc>
              <w:tc>
                <w:tcPr>
                  <w:tcW w:w="1881" w:type="pct"/>
                  <w:noWrap w:val="0"/>
                  <w:vAlign w:val="center"/>
                </w:tcPr>
                <w:p w14:paraId="4850A58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Cs/>
                      <w:spacing w:val="-11"/>
                      <w:sz w:val="21"/>
                      <w:szCs w:val="21"/>
                      <w:highlight w:val="none"/>
                    </w:rPr>
                  </w:pPr>
                  <w:r>
                    <w:rPr>
                      <w:sz w:val="21"/>
                      <w:szCs w:val="22"/>
                      <w:highlight w:val="none"/>
                    </w:rPr>
                    <w:t>长</w:t>
                  </w:r>
                  <w:r>
                    <w:rPr>
                      <w:rFonts w:hint="eastAsia"/>
                      <w:sz w:val="21"/>
                      <w:szCs w:val="22"/>
                      <w:highlight w:val="none"/>
                      <w:lang w:val="en-US" w:eastAsia="zh-CN"/>
                    </w:rPr>
                    <w:t>9.23</w:t>
                  </w:r>
                  <w:r>
                    <w:rPr>
                      <w:sz w:val="21"/>
                      <w:szCs w:val="22"/>
                      <w:highlight w:val="none"/>
                    </w:rPr>
                    <w:t>m×宽</w:t>
                  </w:r>
                  <w:r>
                    <w:rPr>
                      <w:rFonts w:hint="eastAsia"/>
                      <w:sz w:val="21"/>
                      <w:szCs w:val="22"/>
                      <w:highlight w:val="none"/>
                      <w:lang w:val="en-US" w:eastAsia="zh-CN"/>
                    </w:rPr>
                    <w:t>6.7</w:t>
                  </w:r>
                  <w:r>
                    <w:rPr>
                      <w:sz w:val="21"/>
                      <w:szCs w:val="22"/>
                      <w:highlight w:val="none"/>
                    </w:rPr>
                    <w:t>m×高</w:t>
                  </w:r>
                  <w:r>
                    <w:rPr>
                      <w:rFonts w:hint="eastAsia"/>
                      <w:sz w:val="21"/>
                      <w:szCs w:val="22"/>
                      <w:highlight w:val="none"/>
                      <w:lang w:val="en-US" w:eastAsia="zh-CN"/>
                    </w:rPr>
                    <w:t>4.3</w:t>
                  </w:r>
                  <w:r>
                    <w:rPr>
                      <w:sz w:val="21"/>
                      <w:szCs w:val="22"/>
                      <w:highlight w:val="none"/>
                    </w:rPr>
                    <w:t>m</w:t>
                  </w:r>
                </w:p>
              </w:tc>
            </w:tr>
            <w:tr w14:paraId="10F29C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8" w:type="pct"/>
                  <w:noWrap w:val="0"/>
                  <w:vAlign w:val="center"/>
                </w:tcPr>
                <w:p w14:paraId="150F58F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DSA手术室OR09</w:t>
                  </w:r>
                </w:p>
              </w:tc>
              <w:tc>
                <w:tcPr>
                  <w:tcW w:w="1560" w:type="pct"/>
                  <w:noWrap w:val="0"/>
                  <w:vAlign w:val="center"/>
                </w:tcPr>
                <w:p w14:paraId="6167467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47.60</w:t>
                  </w:r>
                </w:p>
              </w:tc>
              <w:tc>
                <w:tcPr>
                  <w:tcW w:w="1881" w:type="pct"/>
                  <w:noWrap w:val="0"/>
                  <w:vAlign w:val="center"/>
                </w:tcPr>
                <w:p w14:paraId="10498A1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Cs/>
                      <w:spacing w:val="-11"/>
                      <w:sz w:val="21"/>
                      <w:szCs w:val="21"/>
                      <w:highlight w:val="none"/>
                    </w:rPr>
                  </w:pPr>
                  <w:r>
                    <w:rPr>
                      <w:rFonts w:hint="eastAsia"/>
                      <w:sz w:val="21"/>
                      <w:szCs w:val="22"/>
                      <w:highlight w:val="none"/>
                      <w:lang w:val="en-US" w:eastAsia="zh-CN"/>
                    </w:rPr>
                    <w:t>7.0</w:t>
                  </w:r>
                  <w:r>
                    <w:rPr>
                      <w:sz w:val="21"/>
                      <w:szCs w:val="22"/>
                      <w:highlight w:val="none"/>
                    </w:rPr>
                    <w:t>m×宽</w:t>
                  </w:r>
                  <w:r>
                    <w:rPr>
                      <w:rFonts w:hint="eastAsia"/>
                      <w:sz w:val="21"/>
                      <w:szCs w:val="22"/>
                      <w:highlight w:val="none"/>
                      <w:lang w:val="en-US" w:eastAsia="zh-CN"/>
                    </w:rPr>
                    <w:t>6.8</w:t>
                  </w:r>
                  <w:r>
                    <w:rPr>
                      <w:sz w:val="21"/>
                      <w:szCs w:val="22"/>
                      <w:highlight w:val="none"/>
                    </w:rPr>
                    <w:t>m×高</w:t>
                  </w:r>
                  <w:r>
                    <w:rPr>
                      <w:rFonts w:hint="eastAsia"/>
                      <w:sz w:val="21"/>
                      <w:szCs w:val="22"/>
                      <w:highlight w:val="none"/>
                      <w:lang w:val="en-US" w:eastAsia="zh-CN"/>
                    </w:rPr>
                    <w:t>4.3</w:t>
                  </w:r>
                  <w:r>
                    <w:rPr>
                      <w:sz w:val="21"/>
                      <w:szCs w:val="22"/>
                      <w:highlight w:val="none"/>
                    </w:rPr>
                    <w:t>m</w:t>
                  </w:r>
                </w:p>
              </w:tc>
            </w:tr>
            <w:tr w14:paraId="3D008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8" w:type="pct"/>
                  <w:noWrap w:val="0"/>
                  <w:vAlign w:val="center"/>
                </w:tcPr>
                <w:p w14:paraId="4979F9B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DSA手术室OR10</w:t>
                  </w:r>
                </w:p>
              </w:tc>
              <w:tc>
                <w:tcPr>
                  <w:tcW w:w="2750" w:type="dxa"/>
                  <w:noWrap w:val="0"/>
                  <w:vAlign w:val="center"/>
                </w:tcPr>
                <w:p w14:paraId="2E3B91B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bCs/>
                      <w:spacing w:val="-11"/>
                      <w:sz w:val="21"/>
                      <w:szCs w:val="21"/>
                      <w:lang w:val="en-US" w:eastAsia="zh-CN"/>
                    </w:rPr>
                  </w:pPr>
                  <w:r>
                    <w:rPr>
                      <w:rFonts w:hint="eastAsia"/>
                      <w:bCs/>
                      <w:spacing w:val="-11"/>
                      <w:sz w:val="21"/>
                      <w:szCs w:val="21"/>
                      <w:lang w:val="en-US" w:eastAsia="zh-CN"/>
                    </w:rPr>
                    <w:t>47.60</w:t>
                  </w:r>
                </w:p>
              </w:tc>
              <w:tc>
                <w:tcPr>
                  <w:tcW w:w="3316" w:type="dxa"/>
                  <w:noWrap w:val="0"/>
                  <w:vAlign w:val="center"/>
                </w:tcPr>
                <w:p w14:paraId="7D3E380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Cs/>
                      <w:spacing w:val="-11"/>
                      <w:sz w:val="21"/>
                      <w:szCs w:val="21"/>
                      <w:highlight w:val="none"/>
                    </w:rPr>
                  </w:pPr>
                  <w:r>
                    <w:rPr>
                      <w:rFonts w:hint="eastAsia"/>
                      <w:sz w:val="21"/>
                      <w:szCs w:val="22"/>
                      <w:highlight w:val="none"/>
                      <w:lang w:val="en-US" w:eastAsia="zh-CN"/>
                    </w:rPr>
                    <w:t>7.0</w:t>
                  </w:r>
                  <w:r>
                    <w:rPr>
                      <w:sz w:val="21"/>
                      <w:szCs w:val="22"/>
                      <w:highlight w:val="none"/>
                    </w:rPr>
                    <w:t>m×宽</w:t>
                  </w:r>
                  <w:r>
                    <w:rPr>
                      <w:rFonts w:hint="eastAsia"/>
                      <w:sz w:val="21"/>
                      <w:szCs w:val="22"/>
                      <w:highlight w:val="none"/>
                      <w:lang w:val="en-US" w:eastAsia="zh-CN"/>
                    </w:rPr>
                    <w:t>6.8</w:t>
                  </w:r>
                  <w:r>
                    <w:rPr>
                      <w:sz w:val="21"/>
                      <w:szCs w:val="22"/>
                      <w:highlight w:val="none"/>
                    </w:rPr>
                    <w:t>m×高</w:t>
                  </w:r>
                  <w:r>
                    <w:rPr>
                      <w:rFonts w:hint="eastAsia"/>
                      <w:sz w:val="21"/>
                      <w:szCs w:val="22"/>
                      <w:highlight w:val="none"/>
                      <w:lang w:val="en-US" w:eastAsia="zh-CN"/>
                    </w:rPr>
                    <w:t>4.3</w:t>
                  </w:r>
                  <w:r>
                    <w:rPr>
                      <w:sz w:val="21"/>
                      <w:szCs w:val="22"/>
                      <w:highlight w:val="none"/>
                    </w:rPr>
                    <w:t>m</w:t>
                  </w:r>
                </w:p>
              </w:tc>
            </w:tr>
            <w:tr w14:paraId="59593B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8" w:type="pct"/>
                  <w:noWrap w:val="0"/>
                  <w:vAlign w:val="center"/>
                </w:tcPr>
                <w:p w14:paraId="59C225E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DSA手术室OR11</w:t>
                  </w:r>
                </w:p>
              </w:tc>
              <w:tc>
                <w:tcPr>
                  <w:tcW w:w="2750" w:type="dxa"/>
                  <w:noWrap w:val="0"/>
                  <w:vAlign w:val="center"/>
                </w:tcPr>
                <w:p w14:paraId="49CBC536">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bCs/>
                      <w:spacing w:val="-11"/>
                      <w:sz w:val="21"/>
                      <w:szCs w:val="21"/>
                      <w:lang w:val="en-US" w:eastAsia="zh-CN"/>
                    </w:rPr>
                  </w:pPr>
                  <w:r>
                    <w:rPr>
                      <w:rFonts w:hint="eastAsia"/>
                      <w:bCs/>
                      <w:spacing w:val="-11"/>
                      <w:sz w:val="21"/>
                      <w:szCs w:val="21"/>
                      <w:lang w:val="en-US" w:eastAsia="zh-CN"/>
                    </w:rPr>
                    <w:t>47.60</w:t>
                  </w:r>
                </w:p>
              </w:tc>
              <w:tc>
                <w:tcPr>
                  <w:tcW w:w="3316" w:type="dxa"/>
                  <w:noWrap w:val="0"/>
                  <w:vAlign w:val="center"/>
                </w:tcPr>
                <w:p w14:paraId="48C4680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Cs/>
                      <w:spacing w:val="-11"/>
                      <w:sz w:val="21"/>
                      <w:szCs w:val="21"/>
                      <w:highlight w:val="none"/>
                    </w:rPr>
                  </w:pPr>
                  <w:r>
                    <w:rPr>
                      <w:rFonts w:hint="eastAsia"/>
                      <w:sz w:val="21"/>
                      <w:szCs w:val="22"/>
                      <w:highlight w:val="none"/>
                      <w:lang w:val="en-US" w:eastAsia="zh-CN"/>
                    </w:rPr>
                    <w:t>7.0</w:t>
                  </w:r>
                  <w:r>
                    <w:rPr>
                      <w:sz w:val="21"/>
                      <w:szCs w:val="22"/>
                      <w:highlight w:val="none"/>
                    </w:rPr>
                    <w:t>m×宽</w:t>
                  </w:r>
                  <w:r>
                    <w:rPr>
                      <w:rFonts w:hint="eastAsia"/>
                      <w:sz w:val="21"/>
                      <w:szCs w:val="22"/>
                      <w:highlight w:val="none"/>
                      <w:lang w:val="en-US" w:eastAsia="zh-CN"/>
                    </w:rPr>
                    <w:t>6.8</w:t>
                  </w:r>
                  <w:r>
                    <w:rPr>
                      <w:sz w:val="21"/>
                      <w:szCs w:val="22"/>
                      <w:highlight w:val="none"/>
                    </w:rPr>
                    <w:t>m×高</w:t>
                  </w:r>
                  <w:r>
                    <w:rPr>
                      <w:rFonts w:hint="eastAsia"/>
                      <w:sz w:val="21"/>
                      <w:szCs w:val="22"/>
                      <w:highlight w:val="none"/>
                      <w:lang w:val="en-US" w:eastAsia="zh-CN"/>
                    </w:rPr>
                    <w:t>4.3</w:t>
                  </w:r>
                  <w:r>
                    <w:rPr>
                      <w:sz w:val="21"/>
                      <w:szCs w:val="22"/>
                      <w:highlight w:val="none"/>
                    </w:rPr>
                    <w:t>m</w:t>
                  </w:r>
                </w:p>
              </w:tc>
            </w:tr>
            <w:tr w14:paraId="35486E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8" w:type="pct"/>
                  <w:noWrap w:val="0"/>
                  <w:vAlign w:val="center"/>
                </w:tcPr>
                <w:p w14:paraId="06838C2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ERCP室</w:t>
                  </w:r>
                </w:p>
              </w:tc>
              <w:tc>
                <w:tcPr>
                  <w:tcW w:w="1560" w:type="pct"/>
                  <w:noWrap w:val="0"/>
                  <w:vAlign w:val="center"/>
                </w:tcPr>
                <w:p w14:paraId="21C9843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bCs/>
                      <w:spacing w:val="-11"/>
                      <w:sz w:val="21"/>
                      <w:szCs w:val="21"/>
                      <w:lang w:val="en-US" w:eastAsia="zh-CN"/>
                    </w:rPr>
                  </w:pPr>
                  <w:r>
                    <w:rPr>
                      <w:rFonts w:hint="eastAsia"/>
                      <w:bCs/>
                      <w:spacing w:val="-11"/>
                      <w:sz w:val="21"/>
                      <w:szCs w:val="21"/>
                      <w:lang w:val="en-US" w:eastAsia="zh-CN"/>
                    </w:rPr>
                    <w:t>26.78</w:t>
                  </w:r>
                </w:p>
              </w:tc>
              <w:tc>
                <w:tcPr>
                  <w:tcW w:w="1881" w:type="pct"/>
                  <w:noWrap w:val="0"/>
                  <w:vAlign w:val="center"/>
                </w:tcPr>
                <w:p w14:paraId="5C0D00A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bCs/>
                      <w:spacing w:val="-11"/>
                      <w:sz w:val="21"/>
                      <w:szCs w:val="21"/>
                      <w:highlight w:val="none"/>
                    </w:rPr>
                  </w:pPr>
                  <w:r>
                    <w:rPr>
                      <w:rFonts w:hint="eastAsia"/>
                      <w:sz w:val="21"/>
                      <w:szCs w:val="22"/>
                      <w:highlight w:val="none"/>
                      <w:lang w:val="en-US" w:eastAsia="zh-CN"/>
                    </w:rPr>
                    <w:t>5.4</w:t>
                  </w:r>
                  <w:r>
                    <w:rPr>
                      <w:sz w:val="21"/>
                      <w:szCs w:val="22"/>
                      <w:highlight w:val="none"/>
                    </w:rPr>
                    <w:t>m×宽</w:t>
                  </w:r>
                  <w:r>
                    <w:rPr>
                      <w:rFonts w:hint="eastAsia"/>
                      <w:sz w:val="21"/>
                      <w:szCs w:val="22"/>
                      <w:highlight w:val="none"/>
                      <w:lang w:val="en-US" w:eastAsia="zh-CN"/>
                    </w:rPr>
                    <w:t>4.96</w:t>
                  </w:r>
                  <w:r>
                    <w:rPr>
                      <w:sz w:val="21"/>
                      <w:szCs w:val="22"/>
                      <w:highlight w:val="none"/>
                    </w:rPr>
                    <w:t>m×高</w:t>
                  </w:r>
                  <w:r>
                    <w:rPr>
                      <w:rFonts w:hint="eastAsia"/>
                      <w:sz w:val="21"/>
                      <w:szCs w:val="22"/>
                      <w:highlight w:val="none"/>
                      <w:lang w:val="en-US" w:eastAsia="zh-CN"/>
                    </w:rPr>
                    <w:t>4.3</w:t>
                  </w:r>
                  <w:r>
                    <w:rPr>
                      <w:sz w:val="21"/>
                      <w:szCs w:val="22"/>
                      <w:highlight w:val="none"/>
                    </w:rPr>
                    <w:t>m</w:t>
                  </w:r>
                </w:p>
              </w:tc>
            </w:tr>
          </w:tbl>
          <w:p w14:paraId="572FE8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lang w:val="en-US" w:eastAsia="zh-CN"/>
              </w:rPr>
            </w:pPr>
            <w:r>
              <w:rPr>
                <w:bCs/>
              </w:rPr>
              <w:t>对比表10-</w:t>
            </w:r>
            <w:r>
              <w:rPr>
                <w:rFonts w:hint="eastAsia"/>
                <w:bCs/>
                <w:lang w:val="en-US" w:eastAsia="zh-CN"/>
              </w:rPr>
              <w:t>7</w:t>
            </w:r>
            <w:r>
              <w:rPr>
                <w:bCs/>
              </w:rPr>
              <w:t>、表10-</w:t>
            </w:r>
            <w:r>
              <w:rPr>
                <w:rFonts w:hint="eastAsia"/>
                <w:bCs/>
                <w:lang w:val="en-US" w:eastAsia="zh-CN"/>
              </w:rPr>
              <w:t>8</w:t>
            </w:r>
            <w:r>
              <w:rPr>
                <w:bCs/>
              </w:rPr>
              <w:t>，本项目</w:t>
            </w:r>
            <w:r>
              <w:rPr>
                <w:rFonts w:hint="eastAsia"/>
                <w:bCs/>
                <w:lang w:val="en-US" w:eastAsia="zh-CN"/>
              </w:rPr>
              <w:t>射线装置机房</w:t>
            </w:r>
            <w:r>
              <w:rPr>
                <w:bCs/>
              </w:rPr>
              <w:t>防护设计能满足</w:t>
            </w:r>
            <w:r>
              <w:t>《</w:t>
            </w:r>
            <w:r>
              <w:rPr>
                <w:rFonts w:hint="eastAsia"/>
                <w:bCs/>
                <w:lang w:val="en-US" w:eastAsia="zh-CN"/>
              </w:rPr>
              <w:t>放射诊断</w:t>
            </w:r>
            <w:r>
              <w:rPr>
                <w:bCs/>
              </w:rPr>
              <w:t>放射防护要求</w:t>
            </w:r>
            <w:r>
              <w:t>》</w:t>
            </w:r>
            <w:r>
              <w:rPr>
                <w:bCs/>
              </w:rPr>
              <w:t>（GBZ1</w:t>
            </w:r>
            <w:r>
              <w:rPr>
                <w:rFonts w:hint="eastAsia"/>
                <w:bCs/>
                <w:lang w:val="en-US" w:eastAsia="zh-CN"/>
              </w:rPr>
              <w:t>3</w:t>
            </w:r>
            <w:r>
              <w:rPr>
                <w:bCs/>
              </w:rPr>
              <w:t>0-2020的</w:t>
            </w:r>
            <w:r>
              <w:rPr>
                <w:rFonts w:hint="eastAsia"/>
                <w:bCs/>
                <w:lang w:val="en-US" w:eastAsia="zh-CN"/>
              </w:rPr>
              <w:t>机房面积和单边长度</w:t>
            </w:r>
            <w:r>
              <w:rPr>
                <w:bCs/>
              </w:rPr>
              <w:t>要求。</w:t>
            </w:r>
          </w:p>
          <w:p w14:paraId="51BF5039">
            <w:pPr>
              <w:ind w:firstLine="482"/>
              <w:rPr>
                <w:b/>
              </w:rPr>
            </w:pPr>
            <w:r>
              <w:rPr>
                <w:b/>
              </w:rPr>
              <w:t>2、建筑物屏蔽设计</w:t>
            </w:r>
          </w:p>
          <w:p w14:paraId="337573B9">
            <w:pPr>
              <w:ind w:firstLine="482"/>
              <w:rPr>
                <w:b/>
              </w:rPr>
            </w:pPr>
            <w:r>
              <w:rPr>
                <w:b/>
              </w:rPr>
              <w:t>（1）</w:t>
            </w:r>
            <w:r>
              <w:rPr>
                <w:rFonts w:hint="eastAsia"/>
                <w:b/>
                <w:lang w:val="en-US" w:eastAsia="zh-CN"/>
              </w:rPr>
              <w:t>核医学科</w:t>
            </w:r>
            <w:r>
              <w:rPr>
                <w:b/>
              </w:rPr>
              <w:t>工作场所建筑屏蔽设计方案</w:t>
            </w:r>
          </w:p>
          <w:p w14:paraId="3BE551F4">
            <w:pPr>
              <w:ind w:firstLine="480"/>
              <w:rPr>
                <w:bCs/>
              </w:rPr>
            </w:pPr>
            <w:r>
              <w:t>本项目辐射</w:t>
            </w:r>
            <w:r>
              <w:rPr>
                <w:bCs/>
              </w:rPr>
              <w:t>工作场所的设计和修建均由相应资质的单位进行设计和装饰，屏蔽防护设计情况见下表。</w:t>
            </w:r>
          </w:p>
          <w:p w14:paraId="6785DDFF">
            <w:pPr>
              <w:spacing w:before="163" w:line="240" w:lineRule="auto"/>
              <w:jc w:val="center"/>
              <w:rPr>
                <w:rFonts w:hint="eastAsia" w:cs="Times New Roman"/>
                <w:b/>
                <w:bCs w:val="0"/>
                <w:sz w:val="21"/>
                <w:szCs w:val="21"/>
                <w:lang w:val="en-US" w:eastAsia="zh-CN"/>
              </w:rPr>
            </w:pPr>
            <w:r>
              <w:rPr>
                <w:rFonts w:hint="eastAsia" w:cs="Times New Roman"/>
                <w:b/>
                <w:bCs w:val="0"/>
                <w:sz w:val="21"/>
                <w:szCs w:val="21"/>
                <w:lang w:val="en-US" w:eastAsia="zh-CN"/>
              </w:rPr>
              <w:t>表10-9  核医学科非密封放射性物质工作场所建筑辐射防护设计情况一览表</w:t>
            </w:r>
          </w:p>
          <w:tbl>
            <w:tblPr>
              <w:tblStyle w:val="57"/>
              <w:tblW w:w="5021"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533"/>
              <w:gridCol w:w="2060"/>
              <w:gridCol w:w="2183"/>
              <w:gridCol w:w="1464"/>
            </w:tblGrid>
            <w:tr w14:paraId="51ED50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tcMar>
                    <w:left w:w="28" w:type="dxa"/>
                    <w:right w:w="28" w:type="dxa"/>
                  </w:tcMar>
                  <w:vAlign w:val="center"/>
                </w:tcPr>
                <w:p w14:paraId="34D1166A">
                  <w:pPr>
                    <w:keepNext w:val="0"/>
                    <w:keepLines w:val="0"/>
                    <w:pageBreakBefore w:val="0"/>
                    <w:widowControl/>
                    <w:kinsoku/>
                    <w:overflowPunct/>
                    <w:topLinePunct w:val="0"/>
                    <w:autoSpaceDE/>
                    <w:autoSpaceDN/>
                    <w:bidi w:val="0"/>
                    <w:adjustRightInd/>
                    <w:snapToGrid/>
                    <w:spacing w:line="360" w:lineRule="exact"/>
                    <w:jc w:val="center"/>
                    <w:textAlignment w:val="auto"/>
                    <w:rPr>
                      <w:b/>
                      <w:bCs/>
                      <w:spacing w:val="-6"/>
                      <w:sz w:val="21"/>
                      <w:szCs w:val="21"/>
                    </w:rPr>
                  </w:pPr>
                  <w:bookmarkStart w:id="39" w:name="_Hlk190779959"/>
                  <w:r>
                    <w:rPr>
                      <w:b/>
                      <w:bCs/>
                      <w:spacing w:val="-6"/>
                      <w:sz w:val="21"/>
                      <w:szCs w:val="21"/>
                    </w:rPr>
                    <w:t>工作场所</w:t>
                  </w:r>
                </w:p>
              </w:tc>
              <w:tc>
                <w:tcPr>
                  <w:tcW w:w="867" w:type="pct"/>
                  <w:tcMar>
                    <w:left w:w="28" w:type="dxa"/>
                    <w:right w:w="28" w:type="dxa"/>
                  </w:tcMar>
                  <w:vAlign w:val="center"/>
                </w:tcPr>
                <w:p w14:paraId="13B387F0">
                  <w:pPr>
                    <w:keepNext w:val="0"/>
                    <w:keepLines w:val="0"/>
                    <w:pageBreakBefore w:val="0"/>
                    <w:widowControl/>
                    <w:kinsoku/>
                    <w:overflowPunct/>
                    <w:topLinePunct w:val="0"/>
                    <w:autoSpaceDE/>
                    <w:autoSpaceDN/>
                    <w:bidi w:val="0"/>
                    <w:adjustRightInd/>
                    <w:snapToGrid/>
                    <w:spacing w:line="360" w:lineRule="exact"/>
                    <w:jc w:val="center"/>
                    <w:textAlignment w:val="auto"/>
                    <w:rPr>
                      <w:b/>
                      <w:bCs/>
                      <w:spacing w:val="-6"/>
                      <w:sz w:val="21"/>
                      <w:szCs w:val="21"/>
                    </w:rPr>
                  </w:pPr>
                  <w:r>
                    <w:rPr>
                      <w:b/>
                      <w:bCs/>
                      <w:spacing w:val="-6"/>
                      <w:sz w:val="21"/>
                      <w:szCs w:val="21"/>
                    </w:rPr>
                    <w:t>四面墙体</w:t>
                  </w:r>
                </w:p>
              </w:tc>
              <w:tc>
                <w:tcPr>
                  <w:tcW w:w="1165" w:type="pct"/>
                  <w:tcMar>
                    <w:left w:w="28" w:type="dxa"/>
                    <w:right w:w="28" w:type="dxa"/>
                  </w:tcMar>
                  <w:vAlign w:val="center"/>
                </w:tcPr>
                <w:p w14:paraId="6972CAA4">
                  <w:pPr>
                    <w:keepNext w:val="0"/>
                    <w:keepLines w:val="0"/>
                    <w:pageBreakBefore w:val="0"/>
                    <w:widowControl/>
                    <w:kinsoku/>
                    <w:overflowPunct/>
                    <w:topLinePunct w:val="0"/>
                    <w:autoSpaceDE/>
                    <w:autoSpaceDN/>
                    <w:bidi w:val="0"/>
                    <w:adjustRightInd/>
                    <w:snapToGrid/>
                    <w:spacing w:line="360" w:lineRule="exact"/>
                    <w:jc w:val="center"/>
                    <w:textAlignment w:val="auto"/>
                    <w:rPr>
                      <w:b/>
                      <w:bCs/>
                      <w:spacing w:val="-6"/>
                      <w:sz w:val="21"/>
                      <w:szCs w:val="21"/>
                    </w:rPr>
                  </w:pPr>
                  <w:r>
                    <w:rPr>
                      <w:b/>
                      <w:bCs/>
                      <w:spacing w:val="-6"/>
                      <w:sz w:val="21"/>
                      <w:szCs w:val="21"/>
                    </w:rPr>
                    <w:t>顶板/底板</w:t>
                  </w:r>
                </w:p>
              </w:tc>
              <w:tc>
                <w:tcPr>
                  <w:tcW w:w="1235" w:type="pct"/>
                  <w:tcMar>
                    <w:left w:w="28" w:type="dxa"/>
                    <w:right w:w="28" w:type="dxa"/>
                  </w:tcMar>
                  <w:vAlign w:val="center"/>
                </w:tcPr>
                <w:p w14:paraId="73D4E837">
                  <w:pPr>
                    <w:keepNext w:val="0"/>
                    <w:keepLines w:val="0"/>
                    <w:pageBreakBefore w:val="0"/>
                    <w:widowControl/>
                    <w:kinsoku/>
                    <w:overflowPunct/>
                    <w:topLinePunct w:val="0"/>
                    <w:autoSpaceDE/>
                    <w:autoSpaceDN/>
                    <w:bidi w:val="0"/>
                    <w:adjustRightInd/>
                    <w:snapToGrid/>
                    <w:spacing w:line="360" w:lineRule="exact"/>
                    <w:jc w:val="center"/>
                    <w:textAlignment w:val="auto"/>
                    <w:rPr>
                      <w:b/>
                      <w:bCs/>
                      <w:spacing w:val="-6"/>
                      <w:sz w:val="21"/>
                      <w:szCs w:val="21"/>
                    </w:rPr>
                  </w:pPr>
                  <w:r>
                    <w:rPr>
                      <w:b/>
                      <w:bCs/>
                      <w:spacing w:val="-6"/>
                      <w:sz w:val="21"/>
                      <w:szCs w:val="21"/>
                    </w:rPr>
                    <w:t>门</w:t>
                  </w:r>
                </w:p>
              </w:tc>
              <w:tc>
                <w:tcPr>
                  <w:tcW w:w="828" w:type="pct"/>
                  <w:vAlign w:val="center"/>
                </w:tcPr>
                <w:p w14:paraId="49DD82BC">
                  <w:pPr>
                    <w:keepNext w:val="0"/>
                    <w:keepLines w:val="0"/>
                    <w:pageBreakBefore w:val="0"/>
                    <w:widowControl/>
                    <w:kinsoku/>
                    <w:overflowPunct/>
                    <w:topLinePunct w:val="0"/>
                    <w:autoSpaceDE/>
                    <w:autoSpaceDN/>
                    <w:bidi w:val="0"/>
                    <w:adjustRightInd/>
                    <w:snapToGrid/>
                    <w:spacing w:line="360" w:lineRule="exact"/>
                    <w:jc w:val="center"/>
                    <w:textAlignment w:val="auto"/>
                    <w:rPr>
                      <w:b/>
                      <w:bCs/>
                      <w:spacing w:val="-6"/>
                      <w:sz w:val="21"/>
                      <w:szCs w:val="21"/>
                    </w:rPr>
                  </w:pPr>
                  <w:r>
                    <w:rPr>
                      <w:b/>
                      <w:bCs/>
                      <w:spacing w:val="-6"/>
                      <w:sz w:val="21"/>
                      <w:szCs w:val="21"/>
                    </w:rPr>
                    <w:t>窗</w:t>
                  </w:r>
                </w:p>
              </w:tc>
            </w:tr>
            <w:tr w14:paraId="40CEEA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32966EAE">
                  <w:pPr>
                    <w:spacing w:line="360" w:lineRule="exact"/>
                    <w:jc w:val="center"/>
                    <w:rPr>
                      <w:rFonts w:hint="default" w:ascii="Times New Roman" w:hAnsi="Times New Roman" w:eastAsia="宋体" w:cs="Times New Roman"/>
                      <w:bCs/>
                      <w:sz w:val="21"/>
                      <w:szCs w:val="21"/>
                      <w:lang w:val="en-US" w:eastAsia="zh-CN" w:bidi="ar"/>
                    </w:rPr>
                  </w:pPr>
                  <w:r>
                    <w:rPr>
                      <w:bCs/>
                      <w:sz w:val="21"/>
                      <w:szCs w:val="21"/>
                    </w:rPr>
                    <w:t>分装室</w:t>
                  </w:r>
                  <w:r>
                    <w:rPr>
                      <w:rFonts w:hint="eastAsia"/>
                      <w:bCs/>
                      <w:sz w:val="21"/>
                      <w:szCs w:val="21"/>
                      <w:lang w:val="en-US" w:eastAsia="zh-CN"/>
                    </w:rPr>
                    <w:t>1#</w:t>
                  </w:r>
                </w:p>
              </w:tc>
              <w:tc>
                <w:tcPr>
                  <w:tcW w:w="867" w:type="pct"/>
                  <w:tcMar>
                    <w:left w:w="28" w:type="dxa"/>
                    <w:right w:w="28" w:type="dxa"/>
                  </w:tcMar>
                  <w:vAlign w:val="center"/>
                </w:tcPr>
                <w:p w14:paraId="5020CA06">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14F32698">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4F1C439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与储源室</w:t>
                  </w:r>
                  <w:r>
                    <w:rPr>
                      <w:rFonts w:hint="eastAsia"/>
                      <w:spacing w:val="-6"/>
                      <w:sz w:val="21"/>
                      <w:szCs w:val="21"/>
                      <w:lang w:val="en-US" w:eastAsia="zh-CN"/>
                    </w:rPr>
                    <w:t>1#、敷贴室（1#、2#）</w:t>
                  </w:r>
                  <w:r>
                    <w:rPr>
                      <w:spacing w:val="-6"/>
                      <w:sz w:val="21"/>
                      <w:szCs w:val="21"/>
                    </w:rPr>
                    <w:t>相连防护门为3mm铅，与卫生通过间</w:t>
                  </w:r>
                  <w:r>
                    <w:rPr>
                      <w:rFonts w:hint="eastAsia"/>
                      <w:spacing w:val="-6"/>
                      <w:sz w:val="21"/>
                      <w:szCs w:val="21"/>
                      <w:lang w:eastAsia="zh-CN"/>
                    </w:rPr>
                    <w:t>、</w:t>
                  </w:r>
                  <w:r>
                    <w:rPr>
                      <w:rFonts w:hint="eastAsia"/>
                      <w:spacing w:val="-6"/>
                      <w:sz w:val="21"/>
                      <w:szCs w:val="21"/>
                      <w:lang w:val="en-US" w:eastAsia="zh-CN"/>
                    </w:rPr>
                    <w:t>实验室</w:t>
                  </w:r>
                  <w:r>
                    <w:rPr>
                      <w:spacing w:val="-6"/>
                      <w:sz w:val="21"/>
                      <w:szCs w:val="21"/>
                    </w:rPr>
                    <w:t>相连防护门为10mm铅</w:t>
                  </w:r>
                </w:p>
              </w:tc>
              <w:tc>
                <w:tcPr>
                  <w:tcW w:w="828" w:type="pct"/>
                  <w:vAlign w:val="center"/>
                </w:tcPr>
                <w:p w14:paraId="0A5A2F22">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PET</w:t>
                  </w:r>
                  <w:r>
                    <w:rPr>
                      <w:spacing w:val="-6"/>
                      <w:sz w:val="21"/>
                      <w:szCs w:val="21"/>
                    </w:rPr>
                    <w:t>注射</w:t>
                  </w:r>
                  <w:r>
                    <w:rPr>
                      <w:rFonts w:hint="eastAsia"/>
                      <w:spacing w:val="-6"/>
                      <w:sz w:val="21"/>
                      <w:szCs w:val="21"/>
                      <w:lang w:val="en-US" w:eastAsia="zh-CN"/>
                    </w:rPr>
                    <w:t>窗</w:t>
                  </w:r>
                  <w:r>
                    <w:rPr>
                      <w:spacing w:val="-6"/>
                      <w:sz w:val="21"/>
                      <w:szCs w:val="21"/>
                    </w:rPr>
                    <w:t>为</w:t>
                  </w:r>
                  <w:r>
                    <w:rPr>
                      <w:rFonts w:hint="eastAsia"/>
                      <w:spacing w:val="-6"/>
                      <w:sz w:val="21"/>
                      <w:szCs w:val="21"/>
                      <w:lang w:val="en-US" w:eastAsia="zh-CN"/>
                    </w:rPr>
                    <w:t>50</w:t>
                  </w:r>
                  <w:r>
                    <w:rPr>
                      <w:spacing w:val="-6"/>
                      <w:sz w:val="21"/>
                      <w:szCs w:val="21"/>
                    </w:rPr>
                    <w:t>mm铅</w:t>
                  </w:r>
                  <w:r>
                    <w:rPr>
                      <w:rFonts w:hint="eastAsia"/>
                      <w:spacing w:val="-6"/>
                      <w:sz w:val="21"/>
                      <w:szCs w:val="21"/>
                      <w:lang w:val="en-US" w:eastAsia="zh-CN"/>
                    </w:rPr>
                    <w:t>当量</w:t>
                  </w:r>
                  <w:r>
                    <w:rPr>
                      <w:rFonts w:hint="eastAsia"/>
                      <w:spacing w:val="-6"/>
                      <w:sz w:val="21"/>
                      <w:szCs w:val="21"/>
                      <w:lang w:eastAsia="zh-CN"/>
                    </w:rPr>
                    <w:t>，</w:t>
                  </w:r>
                  <w:r>
                    <w:rPr>
                      <w:rFonts w:hint="eastAsia"/>
                      <w:spacing w:val="-6"/>
                      <w:sz w:val="21"/>
                      <w:szCs w:val="21"/>
                      <w:lang w:val="en-US" w:eastAsia="zh-CN"/>
                    </w:rPr>
                    <w:t>ECT注射窗为5mm铅当量</w:t>
                  </w:r>
                </w:p>
              </w:tc>
            </w:tr>
            <w:tr w14:paraId="6173D3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743210EC">
                  <w:pPr>
                    <w:spacing w:line="360" w:lineRule="exact"/>
                    <w:jc w:val="center"/>
                    <w:rPr>
                      <w:rFonts w:ascii="Times New Roman" w:hAnsi="Times New Roman" w:eastAsia="宋体" w:cs="Times New Roman"/>
                      <w:bCs/>
                      <w:sz w:val="21"/>
                      <w:szCs w:val="21"/>
                      <w:lang w:val="en-US" w:eastAsia="zh-CN" w:bidi="ar"/>
                    </w:rPr>
                  </w:pPr>
                  <w:r>
                    <w:rPr>
                      <w:rFonts w:hint="eastAsia"/>
                      <w:bCs/>
                      <w:sz w:val="21"/>
                      <w:szCs w:val="21"/>
                      <w:lang w:val="en-US" w:eastAsia="zh-CN"/>
                    </w:rPr>
                    <w:t>PET</w:t>
                  </w:r>
                  <w:r>
                    <w:rPr>
                      <w:bCs/>
                      <w:sz w:val="21"/>
                      <w:szCs w:val="21"/>
                    </w:rPr>
                    <w:t>注射室</w:t>
                  </w:r>
                </w:p>
              </w:tc>
              <w:tc>
                <w:tcPr>
                  <w:tcW w:w="867" w:type="pct"/>
                  <w:tcMar>
                    <w:left w:w="28" w:type="dxa"/>
                    <w:right w:w="28" w:type="dxa"/>
                  </w:tcMar>
                  <w:vAlign w:val="center"/>
                </w:tcPr>
                <w:p w14:paraId="3FC03428">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4B9DB746">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7C8CE2F9">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bCs/>
                      <w:sz w:val="21"/>
                      <w:szCs w:val="21"/>
                      <w:lang w:val="en-US" w:eastAsia="zh-CN"/>
                    </w:rPr>
                    <w:t>与患者通道相连防护门为</w:t>
                  </w:r>
                  <w:r>
                    <w:rPr>
                      <w:rFonts w:hint="eastAsia"/>
                      <w:spacing w:val="-6"/>
                      <w:sz w:val="21"/>
                      <w:szCs w:val="21"/>
                      <w:lang w:val="en-US" w:eastAsia="zh-CN"/>
                    </w:rPr>
                    <w:t>10mm铅</w:t>
                  </w:r>
                </w:p>
              </w:tc>
              <w:tc>
                <w:tcPr>
                  <w:tcW w:w="828" w:type="pct"/>
                  <w:vAlign w:val="center"/>
                </w:tcPr>
                <w:p w14:paraId="43EC75E6">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PET</w:t>
                  </w:r>
                  <w:r>
                    <w:rPr>
                      <w:spacing w:val="-6"/>
                      <w:sz w:val="21"/>
                      <w:szCs w:val="21"/>
                    </w:rPr>
                    <w:t>注射</w:t>
                  </w:r>
                  <w:r>
                    <w:rPr>
                      <w:rFonts w:hint="eastAsia"/>
                      <w:spacing w:val="-6"/>
                      <w:sz w:val="21"/>
                      <w:szCs w:val="21"/>
                      <w:lang w:val="en-US" w:eastAsia="zh-CN"/>
                    </w:rPr>
                    <w:t>窗</w:t>
                  </w:r>
                  <w:r>
                    <w:rPr>
                      <w:spacing w:val="-6"/>
                      <w:sz w:val="21"/>
                      <w:szCs w:val="21"/>
                    </w:rPr>
                    <w:t>为</w:t>
                  </w:r>
                  <w:r>
                    <w:rPr>
                      <w:rFonts w:hint="eastAsia"/>
                      <w:spacing w:val="-6"/>
                      <w:sz w:val="21"/>
                      <w:szCs w:val="21"/>
                      <w:lang w:val="en-US" w:eastAsia="zh-CN"/>
                    </w:rPr>
                    <w:t>50</w:t>
                  </w:r>
                  <w:r>
                    <w:rPr>
                      <w:spacing w:val="-6"/>
                      <w:sz w:val="21"/>
                      <w:szCs w:val="21"/>
                    </w:rPr>
                    <w:t>mm铅</w:t>
                  </w:r>
                  <w:r>
                    <w:rPr>
                      <w:rFonts w:hint="eastAsia"/>
                      <w:spacing w:val="-6"/>
                      <w:sz w:val="21"/>
                      <w:szCs w:val="21"/>
                      <w:lang w:val="en-US" w:eastAsia="zh-CN"/>
                    </w:rPr>
                    <w:t>当量</w:t>
                  </w:r>
                </w:p>
              </w:tc>
            </w:tr>
            <w:tr w14:paraId="3CF7C3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0F67C136">
                  <w:pPr>
                    <w:spacing w:line="360" w:lineRule="exact"/>
                    <w:jc w:val="center"/>
                    <w:rPr>
                      <w:rFonts w:hint="default" w:ascii="Times New Roman" w:hAnsi="Times New Roman" w:eastAsia="宋体" w:cs="Times New Roman"/>
                      <w:bCs/>
                      <w:sz w:val="21"/>
                      <w:szCs w:val="21"/>
                      <w:lang w:val="en-US" w:eastAsia="zh-CN" w:bidi="ar-SA"/>
                    </w:rPr>
                  </w:pPr>
                  <w:r>
                    <w:rPr>
                      <w:rFonts w:hint="eastAsia"/>
                      <w:bCs/>
                      <w:sz w:val="21"/>
                      <w:szCs w:val="21"/>
                      <w:lang w:val="en-US" w:eastAsia="zh-CN"/>
                    </w:rPr>
                    <w:t>ECT注射室</w:t>
                  </w:r>
                </w:p>
              </w:tc>
              <w:tc>
                <w:tcPr>
                  <w:tcW w:w="867" w:type="pct"/>
                  <w:tcMar>
                    <w:left w:w="28" w:type="dxa"/>
                    <w:right w:w="28" w:type="dxa"/>
                  </w:tcMar>
                  <w:vAlign w:val="center"/>
                </w:tcPr>
                <w:p w14:paraId="1A6BE33A">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37F8DACC">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60EE9CD3">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bCs/>
                      <w:sz w:val="21"/>
                      <w:szCs w:val="21"/>
                      <w:lang w:val="en-US" w:eastAsia="zh-CN"/>
                    </w:rPr>
                    <w:t>与患者通道相连防护门为3mm铅</w:t>
                  </w:r>
                </w:p>
              </w:tc>
              <w:tc>
                <w:tcPr>
                  <w:tcW w:w="828" w:type="pct"/>
                  <w:vAlign w:val="center"/>
                </w:tcPr>
                <w:p w14:paraId="3D0326E4">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ECT注射窗为5mm铅当量</w:t>
                  </w:r>
                </w:p>
              </w:tc>
            </w:tr>
            <w:tr w14:paraId="7139CC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6123688C">
                  <w:pPr>
                    <w:spacing w:line="360" w:lineRule="exact"/>
                    <w:jc w:val="center"/>
                    <w:rPr>
                      <w:rFonts w:hint="default" w:ascii="Times New Roman" w:hAnsi="Times New Roman" w:eastAsia="宋体" w:cs="Times New Roman"/>
                      <w:bCs/>
                      <w:sz w:val="21"/>
                      <w:szCs w:val="21"/>
                      <w:lang w:val="en-US" w:eastAsia="zh-CN" w:bidi="ar"/>
                    </w:rPr>
                  </w:pPr>
                  <w:r>
                    <w:rPr>
                      <w:bCs/>
                      <w:sz w:val="21"/>
                      <w:szCs w:val="21"/>
                    </w:rPr>
                    <w:t>储源室</w:t>
                  </w:r>
                  <w:r>
                    <w:rPr>
                      <w:rFonts w:hint="eastAsia"/>
                      <w:bCs/>
                      <w:sz w:val="21"/>
                      <w:szCs w:val="21"/>
                      <w:lang w:val="en-US" w:eastAsia="zh-CN"/>
                    </w:rPr>
                    <w:t>1#</w:t>
                  </w:r>
                </w:p>
              </w:tc>
              <w:tc>
                <w:tcPr>
                  <w:tcW w:w="867" w:type="pct"/>
                  <w:tcMar>
                    <w:left w:w="28" w:type="dxa"/>
                    <w:right w:w="28" w:type="dxa"/>
                  </w:tcMar>
                  <w:vAlign w:val="center"/>
                </w:tcPr>
                <w:p w14:paraId="266EB760">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007DA2AA">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6ED5FD7E">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2扇防护门均为</w:t>
                  </w:r>
                  <w:r>
                    <w:rPr>
                      <w:rFonts w:hint="eastAsia"/>
                      <w:bCs/>
                      <w:sz w:val="21"/>
                      <w:szCs w:val="21"/>
                      <w:lang w:val="en-US" w:eastAsia="zh-CN"/>
                    </w:rPr>
                    <w:t>3mm铅</w:t>
                  </w:r>
                </w:p>
              </w:tc>
              <w:tc>
                <w:tcPr>
                  <w:tcW w:w="828" w:type="pct"/>
                  <w:vAlign w:val="center"/>
                </w:tcPr>
                <w:p w14:paraId="226AAB49">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6B4FAD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5827AFE0">
                  <w:pPr>
                    <w:spacing w:line="360" w:lineRule="exact"/>
                    <w:jc w:val="center"/>
                    <w:rPr>
                      <w:rFonts w:hint="default" w:ascii="Times New Roman" w:hAnsi="Times New Roman" w:eastAsia="宋体" w:cs="Times New Roman"/>
                      <w:bCs/>
                      <w:sz w:val="21"/>
                      <w:szCs w:val="21"/>
                      <w:lang w:val="en-US" w:eastAsia="zh-CN" w:bidi="ar"/>
                    </w:rPr>
                  </w:pPr>
                  <w:r>
                    <w:rPr>
                      <w:bCs/>
                      <w:sz w:val="21"/>
                      <w:szCs w:val="21"/>
                    </w:rPr>
                    <w:t>放废暂存间</w:t>
                  </w:r>
                </w:p>
              </w:tc>
              <w:tc>
                <w:tcPr>
                  <w:tcW w:w="867" w:type="pct"/>
                  <w:tcMar>
                    <w:left w:w="28" w:type="dxa"/>
                    <w:right w:w="28" w:type="dxa"/>
                  </w:tcMar>
                  <w:vAlign w:val="center"/>
                </w:tcPr>
                <w:p w14:paraId="0592FCF2">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72FE77D9">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2748B8EB">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bCs/>
                      <w:sz w:val="21"/>
                      <w:szCs w:val="21"/>
                      <w:lang w:val="en-US" w:eastAsia="zh-CN"/>
                    </w:rPr>
                    <w:t>3mm铅</w:t>
                  </w:r>
                </w:p>
              </w:tc>
              <w:tc>
                <w:tcPr>
                  <w:tcW w:w="828" w:type="pct"/>
                  <w:vAlign w:val="center"/>
                </w:tcPr>
                <w:p w14:paraId="2BEAD73B">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6B2152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5FECC910">
                  <w:pPr>
                    <w:spacing w:line="360" w:lineRule="exact"/>
                    <w:jc w:val="center"/>
                    <w:rPr>
                      <w:rFonts w:hint="eastAsia" w:ascii="Times New Roman" w:hAnsi="Times New Roman" w:eastAsia="宋体" w:cs="Times New Roman"/>
                      <w:bCs/>
                      <w:sz w:val="21"/>
                      <w:szCs w:val="21"/>
                      <w:lang w:val="en-US" w:eastAsia="zh-CN" w:bidi="ar"/>
                    </w:rPr>
                  </w:pPr>
                  <w:r>
                    <w:rPr>
                      <w:rFonts w:hint="eastAsia"/>
                      <w:bCs/>
                      <w:sz w:val="21"/>
                      <w:szCs w:val="21"/>
                      <w:lang w:val="en-US" w:eastAsia="zh-CN" w:bidi="ar"/>
                    </w:rPr>
                    <w:t>敷贴室（1#、2#）</w:t>
                  </w:r>
                </w:p>
              </w:tc>
              <w:tc>
                <w:tcPr>
                  <w:tcW w:w="867" w:type="pct"/>
                  <w:tcMar>
                    <w:left w:w="28" w:type="dxa"/>
                    <w:right w:w="28" w:type="dxa"/>
                  </w:tcMar>
                  <w:vAlign w:val="center"/>
                </w:tcPr>
                <w:p w14:paraId="19EA6519">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2425D9A7">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5B1BB2A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2扇防护门均为</w:t>
                  </w:r>
                  <w:r>
                    <w:rPr>
                      <w:rFonts w:hint="eastAsia"/>
                      <w:bCs/>
                      <w:sz w:val="21"/>
                      <w:szCs w:val="21"/>
                      <w:lang w:val="en-US" w:eastAsia="zh-CN"/>
                    </w:rPr>
                    <w:t>3mm铅</w:t>
                  </w:r>
                </w:p>
              </w:tc>
              <w:tc>
                <w:tcPr>
                  <w:tcW w:w="828" w:type="pct"/>
                  <w:vAlign w:val="center"/>
                </w:tcPr>
                <w:p w14:paraId="50A1D2D0">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434E28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4D5AD3F5">
                  <w:pPr>
                    <w:spacing w:line="360" w:lineRule="exact"/>
                    <w:jc w:val="center"/>
                    <w:rPr>
                      <w:rFonts w:hint="default" w:ascii="Times New Roman" w:hAnsi="Times New Roman" w:eastAsia="宋体" w:cs="Times New Roman"/>
                      <w:bCs/>
                      <w:sz w:val="21"/>
                      <w:szCs w:val="21"/>
                      <w:lang w:val="en-US" w:eastAsia="zh-CN" w:bidi="ar"/>
                    </w:rPr>
                  </w:pPr>
                  <w:r>
                    <w:rPr>
                      <w:rFonts w:hint="eastAsia"/>
                      <w:bCs/>
                      <w:sz w:val="21"/>
                      <w:szCs w:val="21"/>
                      <w:lang w:val="en-US" w:eastAsia="zh-CN" w:bidi="ar"/>
                    </w:rPr>
                    <w:t>甲功室</w:t>
                  </w:r>
                </w:p>
              </w:tc>
              <w:tc>
                <w:tcPr>
                  <w:tcW w:w="867" w:type="pct"/>
                  <w:tcMar>
                    <w:left w:w="28" w:type="dxa"/>
                    <w:right w:w="28" w:type="dxa"/>
                  </w:tcMar>
                  <w:vAlign w:val="center"/>
                </w:tcPr>
                <w:p w14:paraId="308247BB">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东西北墙为</w:t>
                  </w:r>
                  <w:r>
                    <w:rPr>
                      <w:spacing w:val="-6"/>
                      <w:sz w:val="21"/>
                      <w:szCs w:val="21"/>
                    </w:rPr>
                    <w:t>370mm实心砖</w:t>
                  </w:r>
                  <w:r>
                    <w:rPr>
                      <w:rFonts w:hint="eastAsia"/>
                      <w:spacing w:val="-6"/>
                      <w:sz w:val="21"/>
                      <w:szCs w:val="21"/>
                      <w:lang w:eastAsia="zh-CN"/>
                    </w:rPr>
                    <w:t>，</w:t>
                  </w:r>
                  <w:r>
                    <w:rPr>
                      <w:rFonts w:hint="eastAsia"/>
                      <w:spacing w:val="-6"/>
                      <w:sz w:val="21"/>
                      <w:szCs w:val="21"/>
                      <w:lang w:val="en-US" w:eastAsia="zh-CN"/>
                    </w:rPr>
                    <w:t>南墙为玻璃幕墙</w:t>
                  </w:r>
                </w:p>
              </w:tc>
              <w:tc>
                <w:tcPr>
                  <w:tcW w:w="1165" w:type="pct"/>
                  <w:tcMar>
                    <w:left w:w="28" w:type="dxa"/>
                    <w:right w:w="28" w:type="dxa"/>
                  </w:tcMar>
                  <w:vAlign w:val="center"/>
                </w:tcPr>
                <w:p w14:paraId="11068FBA">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w:t>
                  </w:r>
                  <w:r>
                    <w:rPr>
                      <w:rFonts w:hint="eastAsia"/>
                      <w:spacing w:val="-6"/>
                      <w:sz w:val="21"/>
                      <w:szCs w:val="21"/>
                      <w:lang w:val="en-US" w:eastAsia="zh-CN"/>
                    </w:rPr>
                    <w:t>180</w:t>
                  </w:r>
                  <w:r>
                    <w:rPr>
                      <w:spacing w:val="-6"/>
                      <w:sz w:val="21"/>
                      <w:szCs w:val="21"/>
                    </w:rPr>
                    <w:t>mm混凝土，底板</w:t>
                  </w:r>
                  <w:r>
                    <w:rPr>
                      <w:rFonts w:hint="eastAsia"/>
                      <w:spacing w:val="-6"/>
                      <w:sz w:val="21"/>
                      <w:szCs w:val="21"/>
                      <w:lang w:val="en-US" w:eastAsia="zh-CN"/>
                    </w:rPr>
                    <w:t>120</w:t>
                  </w:r>
                  <w:r>
                    <w:rPr>
                      <w:spacing w:val="-6"/>
                      <w:sz w:val="21"/>
                      <w:szCs w:val="21"/>
                    </w:rPr>
                    <w:t>mm混凝土</w:t>
                  </w:r>
                </w:p>
              </w:tc>
              <w:tc>
                <w:tcPr>
                  <w:tcW w:w="1235" w:type="pct"/>
                  <w:tcMar>
                    <w:left w:w="28" w:type="dxa"/>
                    <w:right w:w="28" w:type="dxa"/>
                  </w:tcMar>
                  <w:vAlign w:val="center"/>
                </w:tcPr>
                <w:p w14:paraId="43C48E4A">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spacing w:val="-6"/>
                      <w:sz w:val="21"/>
                      <w:szCs w:val="21"/>
                      <w:lang w:val="en-US"/>
                    </w:rPr>
                  </w:pPr>
                  <w:r>
                    <w:rPr>
                      <w:rFonts w:hint="eastAsia"/>
                      <w:spacing w:val="-6"/>
                      <w:sz w:val="21"/>
                      <w:szCs w:val="21"/>
                      <w:lang w:val="en-US" w:eastAsia="zh-CN"/>
                    </w:rPr>
                    <w:t>普通木门</w:t>
                  </w:r>
                </w:p>
              </w:tc>
              <w:tc>
                <w:tcPr>
                  <w:tcW w:w="828" w:type="pct"/>
                  <w:vAlign w:val="center"/>
                </w:tcPr>
                <w:p w14:paraId="66937DCE">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54A0C4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46511D16">
                  <w:pPr>
                    <w:spacing w:line="360" w:lineRule="exact"/>
                    <w:jc w:val="center"/>
                    <w:rPr>
                      <w:rFonts w:ascii="Times New Roman" w:hAnsi="Times New Roman" w:eastAsia="宋体" w:cs="Times New Roman"/>
                      <w:bCs/>
                      <w:sz w:val="21"/>
                      <w:szCs w:val="21"/>
                      <w:lang w:val="en-US" w:eastAsia="zh-CN" w:bidi="ar"/>
                    </w:rPr>
                  </w:pPr>
                  <w:r>
                    <w:rPr>
                      <w:bCs/>
                      <w:sz w:val="21"/>
                      <w:szCs w:val="21"/>
                    </w:rPr>
                    <w:t>PET/CT机房</w:t>
                  </w:r>
                </w:p>
              </w:tc>
              <w:tc>
                <w:tcPr>
                  <w:tcW w:w="867" w:type="pct"/>
                  <w:tcMar>
                    <w:left w:w="28" w:type="dxa"/>
                    <w:right w:w="28" w:type="dxa"/>
                  </w:tcMar>
                  <w:vAlign w:val="center"/>
                </w:tcPr>
                <w:p w14:paraId="30D59DD3">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0E14706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300</w:t>
                  </w:r>
                  <w:r>
                    <w:rPr>
                      <w:spacing w:val="-6"/>
                      <w:sz w:val="21"/>
                      <w:szCs w:val="21"/>
                    </w:rPr>
                    <w:t>mm混凝土</w:t>
                  </w:r>
                </w:p>
              </w:tc>
              <w:tc>
                <w:tcPr>
                  <w:tcW w:w="1235" w:type="pct"/>
                  <w:tcMar>
                    <w:left w:w="28" w:type="dxa"/>
                    <w:right w:w="28" w:type="dxa"/>
                  </w:tcMar>
                  <w:vAlign w:val="center"/>
                </w:tcPr>
                <w:p w14:paraId="41292DEF">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2扇防护门均为8mm铅</w:t>
                  </w:r>
                </w:p>
              </w:tc>
              <w:tc>
                <w:tcPr>
                  <w:tcW w:w="828" w:type="pct"/>
                  <w:vAlign w:val="center"/>
                </w:tcPr>
                <w:p w14:paraId="63D3EFBB">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8mm铅当量</w:t>
                  </w:r>
                </w:p>
              </w:tc>
            </w:tr>
            <w:tr w14:paraId="28580C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7C00C7FB">
                  <w:pPr>
                    <w:spacing w:line="360" w:lineRule="exact"/>
                    <w:jc w:val="center"/>
                    <w:rPr>
                      <w:rFonts w:ascii="Times New Roman" w:hAnsi="Times New Roman" w:eastAsia="宋体" w:cs="Times New Roman"/>
                      <w:bCs/>
                      <w:sz w:val="21"/>
                      <w:szCs w:val="21"/>
                      <w:lang w:val="en-US" w:eastAsia="zh-CN" w:bidi="ar"/>
                    </w:rPr>
                  </w:pPr>
                  <w:r>
                    <w:rPr>
                      <w:rFonts w:hint="eastAsia"/>
                      <w:bCs/>
                      <w:sz w:val="21"/>
                      <w:szCs w:val="21"/>
                      <w:lang w:val="en-US" w:eastAsia="zh-CN"/>
                    </w:rPr>
                    <w:t>S</w:t>
                  </w:r>
                  <w:r>
                    <w:rPr>
                      <w:bCs/>
                      <w:sz w:val="21"/>
                      <w:szCs w:val="21"/>
                    </w:rPr>
                    <w:t>PE</w:t>
                  </w:r>
                  <w:r>
                    <w:rPr>
                      <w:rFonts w:hint="eastAsia"/>
                      <w:bCs/>
                      <w:sz w:val="21"/>
                      <w:szCs w:val="21"/>
                      <w:lang w:val="en-US" w:eastAsia="zh-CN"/>
                    </w:rPr>
                    <w:t>C</w:t>
                  </w:r>
                  <w:r>
                    <w:rPr>
                      <w:bCs/>
                      <w:sz w:val="21"/>
                      <w:szCs w:val="21"/>
                    </w:rPr>
                    <w:t>T/</w:t>
                  </w:r>
                  <w:r>
                    <w:rPr>
                      <w:rFonts w:hint="eastAsia"/>
                      <w:bCs/>
                      <w:sz w:val="21"/>
                      <w:szCs w:val="21"/>
                      <w:lang w:val="en-US" w:eastAsia="zh-CN"/>
                    </w:rPr>
                    <w:t>CT</w:t>
                  </w:r>
                  <w:r>
                    <w:rPr>
                      <w:bCs/>
                      <w:sz w:val="21"/>
                      <w:szCs w:val="21"/>
                    </w:rPr>
                    <w:t>机房</w:t>
                  </w:r>
                </w:p>
              </w:tc>
              <w:tc>
                <w:tcPr>
                  <w:tcW w:w="867" w:type="pct"/>
                  <w:tcMar>
                    <w:left w:w="28" w:type="dxa"/>
                    <w:right w:w="28" w:type="dxa"/>
                  </w:tcMar>
                  <w:vAlign w:val="center"/>
                </w:tcPr>
                <w:p w14:paraId="4504EA56">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689EAC5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250</w:t>
                  </w:r>
                  <w:r>
                    <w:rPr>
                      <w:spacing w:val="-6"/>
                      <w:sz w:val="21"/>
                      <w:szCs w:val="21"/>
                    </w:rPr>
                    <w:t>mm混凝土</w:t>
                  </w:r>
                </w:p>
              </w:tc>
              <w:tc>
                <w:tcPr>
                  <w:tcW w:w="1235" w:type="pct"/>
                  <w:tcMar>
                    <w:left w:w="28" w:type="dxa"/>
                    <w:right w:w="28" w:type="dxa"/>
                  </w:tcMar>
                  <w:vAlign w:val="center"/>
                </w:tcPr>
                <w:p w14:paraId="2A46BAA2">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2扇防护门均为3mm铅</w:t>
                  </w:r>
                </w:p>
              </w:tc>
              <w:tc>
                <w:tcPr>
                  <w:tcW w:w="828" w:type="pct"/>
                  <w:vAlign w:val="center"/>
                </w:tcPr>
                <w:p w14:paraId="7672ACB1">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3mm铅当量</w:t>
                  </w:r>
                </w:p>
              </w:tc>
            </w:tr>
            <w:tr w14:paraId="1A9D2E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4E14B094">
                  <w:pPr>
                    <w:spacing w:line="360" w:lineRule="exact"/>
                    <w:jc w:val="center"/>
                    <w:rPr>
                      <w:rFonts w:hint="default" w:ascii="Times New Roman" w:hAnsi="Times New Roman" w:eastAsia="宋体" w:cs="Times New Roman"/>
                      <w:bCs/>
                      <w:sz w:val="21"/>
                      <w:szCs w:val="21"/>
                      <w:lang w:val="en-US" w:eastAsia="zh-CN" w:bidi="ar-SA"/>
                    </w:rPr>
                  </w:pPr>
                  <w:r>
                    <w:rPr>
                      <w:rFonts w:hint="eastAsia"/>
                      <w:bCs/>
                      <w:sz w:val="21"/>
                      <w:szCs w:val="21"/>
                      <w:lang w:val="en-US" w:eastAsia="zh-CN"/>
                    </w:rPr>
                    <w:t>PET</w:t>
                  </w:r>
                  <w:r>
                    <w:rPr>
                      <w:bCs/>
                      <w:sz w:val="21"/>
                      <w:szCs w:val="21"/>
                    </w:rPr>
                    <w:t>注射后等候室</w:t>
                  </w:r>
                </w:p>
              </w:tc>
              <w:tc>
                <w:tcPr>
                  <w:tcW w:w="867" w:type="pct"/>
                  <w:tcMar>
                    <w:left w:w="28" w:type="dxa"/>
                    <w:right w:w="28" w:type="dxa"/>
                  </w:tcMar>
                  <w:vAlign w:val="center"/>
                </w:tcPr>
                <w:p w14:paraId="0AC6EE78">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0CB716C3">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highlight w:val="none"/>
                    </w:rPr>
                  </w:pPr>
                  <w:r>
                    <w:rPr>
                      <w:spacing w:val="-6"/>
                      <w:sz w:val="21"/>
                      <w:szCs w:val="21"/>
                      <w:highlight w:val="none"/>
                    </w:rPr>
                    <w:t>顶板</w:t>
                  </w:r>
                  <w:r>
                    <w:rPr>
                      <w:rFonts w:hint="eastAsia"/>
                      <w:spacing w:val="-6"/>
                      <w:sz w:val="21"/>
                      <w:szCs w:val="21"/>
                      <w:highlight w:val="none"/>
                      <w:lang w:val="en-US" w:eastAsia="zh-CN"/>
                    </w:rPr>
                    <w:t>25</w:t>
                  </w:r>
                  <w:r>
                    <w:rPr>
                      <w:spacing w:val="-6"/>
                      <w:sz w:val="21"/>
                      <w:szCs w:val="21"/>
                      <w:highlight w:val="none"/>
                    </w:rPr>
                    <w:t>0mm混凝土</w:t>
                  </w:r>
                  <w:r>
                    <w:rPr>
                      <w:rFonts w:hint="eastAsia"/>
                      <w:spacing w:val="-6"/>
                      <w:sz w:val="21"/>
                      <w:szCs w:val="21"/>
                      <w:highlight w:val="none"/>
                      <w:lang w:val="en-US" w:eastAsia="zh-CN"/>
                    </w:rPr>
                    <w:t>+50mm硫酸钡</w:t>
                  </w:r>
                  <w:r>
                    <w:rPr>
                      <w:spacing w:val="-6"/>
                      <w:sz w:val="21"/>
                      <w:szCs w:val="21"/>
                      <w:highlight w:val="none"/>
                    </w:rPr>
                    <w:t>，底板</w:t>
                  </w:r>
                  <w:r>
                    <w:rPr>
                      <w:rFonts w:hint="eastAsia"/>
                      <w:spacing w:val="-6"/>
                      <w:sz w:val="21"/>
                      <w:szCs w:val="21"/>
                      <w:highlight w:val="none"/>
                      <w:lang w:val="en-US" w:eastAsia="zh-CN"/>
                    </w:rPr>
                    <w:t>200</w:t>
                  </w:r>
                  <w:r>
                    <w:rPr>
                      <w:spacing w:val="-6"/>
                      <w:sz w:val="21"/>
                      <w:szCs w:val="21"/>
                      <w:highlight w:val="none"/>
                    </w:rPr>
                    <w:t>mm混凝土</w:t>
                  </w:r>
                  <w:r>
                    <w:rPr>
                      <w:rFonts w:hint="eastAsia"/>
                      <w:spacing w:val="-6"/>
                      <w:sz w:val="21"/>
                      <w:szCs w:val="21"/>
                      <w:highlight w:val="none"/>
                      <w:lang w:val="en-US" w:eastAsia="zh-CN"/>
                    </w:rPr>
                    <w:t>+50mm硫酸钡</w:t>
                  </w:r>
                </w:p>
              </w:tc>
              <w:tc>
                <w:tcPr>
                  <w:tcW w:w="1235" w:type="pct"/>
                  <w:tcMar>
                    <w:left w:w="28" w:type="dxa"/>
                    <w:right w:w="28" w:type="dxa"/>
                  </w:tcMar>
                  <w:vAlign w:val="center"/>
                </w:tcPr>
                <w:p w14:paraId="66F0EDE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8mm铅</w:t>
                  </w:r>
                </w:p>
              </w:tc>
              <w:tc>
                <w:tcPr>
                  <w:tcW w:w="828" w:type="pct"/>
                  <w:vAlign w:val="center"/>
                </w:tcPr>
                <w:p w14:paraId="43E3F0E4">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7B9896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62129389">
                  <w:pPr>
                    <w:spacing w:line="360" w:lineRule="exact"/>
                    <w:jc w:val="center"/>
                    <w:rPr>
                      <w:rFonts w:hint="default" w:ascii="Times New Roman" w:hAnsi="Times New Roman" w:eastAsia="宋体" w:cs="Times New Roman"/>
                      <w:bCs/>
                      <w:sz w:val="21"/>
                      <w:szCs w:val="21"/>
                      <w:lang w:val="en-US" w:eastAsia="zh-CN" w:bidi="ar-SA"/>
                    </w:rPr>
                  </w:pPr>
                  <w:r>
                    <w:rPr>
                      <w:rFonts w:hint="eastAsia"/>
                      <w:bCs/>
                      <w:sz w:val="21"/>
                      <w:szCs w:val="21"/>
                      <w:lang w:val="en-US" w:eastAsia="zh-CN"/>
                    </w:rPr>
                    <w:t>ECT</w:t>
                  </w:r>
                  <w:r>
                    <w:rPr>
                      <w:bCs/>
                      <w:sz w:val="21"/>
                      <w:szCs w:val="21"/>
                    </w:rPr>
                    <w:t>注射后等候室</w:t>
                  </w:r>
                </w:p>
              </w:tc>
              <w:tc>
                <w:tcPr>
                  <w:tcW w:w="867" w:type="pct"/>
                  <w:tcMar>
                    <w:left w:w="28" w:type="dxa"/>
                    <w:right w:w="28" w:type="dxa"/>
                  </w:tcMar>
                  <w:vAlign w:val="center"/>
                </w:tcPr>
                <w:p w14:paraId="7DB2E980">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53B4C192">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5872D16F">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3mm铅</w:t>
                  </w:r>
                </w:p>
              </w:tc>
              <w:tc>
                <w:tcPr>
                  <w:tcW w:w="828" w:type="pct"/>
                  <w:vAlign w:val="center"/>
                </w:tcPr>
                <w:p w14:paraId="47D96F88">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5BC02A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5589BACE">
                  <w:pPr>
                    <w:spacing w:line="360" w:lineRule="exact"/>
                    <w:jc w:val="center"/>
                    <w:rPr>
                      <w:rFonts w:hint="eastAsia" w:ascii="Times New Roman" w:hAnsi="Times New Roman" w:eastAsia="宋体" w:cs="Times New Roman"/>
                      <w:bCs/>
                      <w:sz w:val="21"/>
                      <w:szCs w:val="21"/>
                      <w:lang w:val="en-US" w:eastAsia="zh-CN" w:bidi="ar"/>
                    </w:rPr>
                  </w:pPr>
                  <w:r>
                    <w:rPr>
                      <w:rFonts w:hint="eastAsia"/>
                      <w:bCs/>
                      <w:sz w:val="21"/>
                      <w:szCs w:val="21"/>
                      <w:lang w:val="en-US" w:eastAsia="zh-CN"/>
                    </w:rPr>
                    <w:t>抢救室</w:t>
                  </w:r>
                </w:p>
              </w:tc>
              <w:tc>
                <w:tcPr>
                  <w:tcW w:w="867" w:type="pct"/>
                  <w:tcMar>
                    <w:left w:w="28" w:type="dxa"/>
                    <w:right w:w="28" w:type="dxa"/>
                  </w:tcMar>
                  <w:vAlign w:val="center"/>
                </w:tcPr>
                <w:p w14:paraId="1FD05218">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15EA33B8">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tcMar>
                    <w:left w:w="28" w:type="dxa"/>
                    <w:right w:w="28" w:type="dxa"/>
                  </w:tcMar>
                  <w:vAlign w:val="center"/>
                </w:tcPr>
                <w:p w14:paraId="54CEDAE1">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8mm铅</w:t>
                  </w:r>
                </w:p>
              </w:tc>
              <w:tc>
                <w:tcPr>
                  <w:tcW w:w="828" w:type="pct"/>
                  <w:vAlign w:val="center"/>
                </w:tcPr>
                <w:p w14:paraId="1EAFDD0E">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4D6ED7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44BE326E">
                  <w:pPr>
                    <w:spacing w:line="360" w:lineRule="exact"/>
                    <w:jc w:val="center"/>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PET</w:t>
                  </w:r>
                  <w:r>
                    <w:rPr>
                      <w:bCs/>
                      <w:sz w:val="21"/>
                      <w:szCs w:val="21"/>
                    </w:rPr>
                    <w:t>留观室</w:t>
                  </w:r>
                </w:p>
              </w:tc>
              <w:tc>
                <w:tcPr>
                  <w:tcW w:w="867" w:type="pct"/>
                  <w:tcMar>
                    <w:left w:w="28" w:type="dxa"/>
                    <w:right w:w="28" w:type="dxa"/>
                  </w:tcMar>
                  <w:vAlign w:val="center"/>
                </w:tcPr>
                <w:p w14:paraId="4FA18FFC">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041D9137">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shd w:val="clear" w:color="auto" w:fill="auto"/>
                  <w:tcMar>
                    <w:left w:w="28" w:type="dxa"/>
                    <w:right w:w="28" w:type="dxa"/>
                  </w:tcMar>
                  <w:vAlign w:val="center"/>
                </w:tcPr>
                <w:p w14:paraId="7D589636">
                  <w:pPr>
                    <w:keepNext w:val="0"/>
                    <w:keepLines w:val="0"/>
                    <w:pageBreakBefore w:val="0"/>
                    <w:widowControl/>
                    <w:kinsoku/>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lang w:val="en-US" w:eastAsia="zh-CN" w:bidi="ar-SA"/>
                    </w:rPr>
                  </w:pPr>
                  <w:r>
                    <w:rPr>
                      <w:rFonts w:hint="eastAsia"/>
                      <w:spacing w:val="-6"/>
                      <w:sz w:val="21"/>
                      <w:szCs w:val="21"/>
                      <w:lang w:val="en-US" w:eastAsia="zh-CN"/>
                    </w:rPr>
                    <w:t>8mm铅</w:t>
                  </w:r>
                </w:p>
              </w:tc>
              <w:tc>
                <w:tcPr>
                  <w:tcW w:w="828" w:type="pct"/>
                  <w:vAlign w:val="center"/>
                </w:tcPr>
                <w:p w14:paraId="4A878E67">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44CD19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457234A1">
                  <w:pPr>
                    <w:spacing w:line="360" w:lineRule="exact"/>
                    <w:jc w:val="center"/>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ECT</w:t>
                  </w:r>
                  <w:r>
                    <w:rPr>
                      <w:bCs/>
                      <w:sz w:val="21"/>
                      <w:szCs w:val="21"/>
                    </w:rPr>
                    <w:t>留观室</w:t>
                  </w:r>
                </w:p>
              </w:tc>
              <w:tc>
                <w:tcPr>
                  <w:tcW w:w="867" w:type="pct"/>
                  <w:tcMar>
                    <w:left w:w="28" w:type="dxa"/>
                    <w:right w:w="28" w:type="dxa"/>
                  </w:tcMar>
                  <w:vAlign w:val="center"/>
                </w:tcPr>
                <w:p w14:paraId="4959D39D">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31DEFA77">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顶板2</w:t>
                  </w:r>
                  <w:r>
                    <w:rPr>
                      <w:rFonts w:hint="eastAsia"/>
                      <w:spacing w:val="-6"/>
                      <w:sz w:val="21"/>
                      <w:szCs w:val="21"/>
                      <w:lang w:val="en-US" w:eastAsia="zh-CN"/>
                    </w:rPr>
                    <w:t>5</w:t>
                  </w:r>
                  <w:r>
                    <w:rPr>
                      <w:spacing w:val="-6"/>
                      <w:sz w:val="21"/>
                      <w:szCs w:val="21"/>
                    </w:rPr>
                    <w:t>0mm混凝土，底板</w:t>
                  </w:r>
                  <w:r>
                    <w:rPr>
                      <w:rFonts w:hint="eastAsia"/>
                      <w:spacing w:val="-6"/>
                      <w:sz w:val="21"/>
                      <w:szCs w:val="21"/>
                      <w:lang w:val="en-US" w:eastAsia="zh-CN"/>
                    </w:rPr>
                    <w:t>200</w:t>
                  </w:r>
                  <w:r>
                    <w:rPr>
                      <w:spacing w:val="-6"/>
                      <w:sz w:val="21"/>
                      <w:szCs w:val="21"/>
                    </w:rPr>
                    <w:t>mm混凝土</w:t>
                  </w:r>
                </w:p>
              </w:tc>
              <w:tc>
                <w:tcPr>
                  <w:tcW w:w="1235" w:type="pct"/>
                  <w:shd w:val="clear" w:color="auto" w:fill="auto"/>
                  <w:tcMar>
                    <w:left w:w="28" w:type="dxa"/>
                    <w:right w:w="28" w:type="dxa"/>
                  </w:tcMar>
                  <w:vAlign w:val="center"/>
                </w:tcPr>
                <w:p w14:paraId="523B663F">
                  <w:pPr>
                    <w:keepNext w:val="0"/>
                    <w:keepLines w:val="0"/>
                    <w:pageBreakBefore w:val="0"/>
                    <w:widowControl/>
                    <w:kinsoku/>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lang w:val="en-US" w:eastAsia="zh-CN" w:bidi="ar-SA"/>
                    </w:rPr>
                  </w:pPr>
                  <w:r>
                    <w:rPr>
                      <w:rFonts w:hint="eastAsia"/>
                      <w:spacing w:val="-6"/>
                      <w:sz w:val="21"/>
                      <w:szCs w:val="21"/>
                      <w:lang w:val="en-US" w:eastAsia="zh-CN"/>
                    </w:rPr>
                    <w:t>3mm铅</w:t>
                  </w:r>
                </w:p>
              </w:tc>
              <w:tc>
                <w:tcPr>
                  <w:tcW w:w="828" w:type="pct"/>
                  <w:vAlign w:val="center"/>
                </w:tcPr>
                <w:p w14:paraId="4BCE4F82">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5FB518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4A29BE4B">
                  <w:pPr>
                    <w:spacing w:line="360" w:lineRule="exact"/>
                    <w:jc w:val="center"/>
                    <w:rPr>
                      <w:rFonts w:ascii="Times New Roman" w:hAnsi="Times New Roman" w:eastAsia="宋体" w:cs="Times New Roman"/>
                      <w:bCs/>
                      <w:sz w:val="21"/>
                      <w:szCs w:val="21"/>
                      <w:lang w:val="en-US" w:eastAsia="zh-CN" w:bidi="ar"/>
                    </w:rPr>
                  </w:pPr>
                  <w:r>
                    <w:rPr>
                      <w:rFonts w:hint="eastAsia"/>
                      <w:bCs/>
                      <w:sz w:val="21"/>
                      <w:szCs w:val="21"/>
                      <w:lang w:bidi="ar"/>
                    </w:rPr>
                    <w:t>Sr-89注射室</w:t>
                  </w:r>
                </w:p>
              </w:tc>
              <w:tc>
                <w:tcPr>
                  <w:tcW w:w="867" w:type="pct"/>
                  <w:tcMar>
                    <w:left w:w="28" w:type="dxa"/>
                    <w:right w:w="28" w:type="dxa"/>
                  </w:tcMar>
                  <w:vAlign w:val="center"/>
                </w:tcPr>
                <w:p w14:paraId="3E761A2A">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53D68BB5">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w:t>
                  </w:r>
                  <w:r>
                    <w:rPr>
                      <w:rFonts w:hint="eastAsia"/>
                      <w:spacing w:val="-6"/>
                      <w:sz w:val="21"/>
                      <w:szCs w:val="21"/>
                      <w:lang w:val="en-US" w:eastAsia="zh-CN"/>
                    </w:rPr>
                    <w:t>18</w:t>
                  </w:r>
                  <w:r>
                    <w:rPr>
                      <w:spacing w:val="-6"/>
                      <w:sz w:val="21"/>
                      <w:szCs w:val="21"/>
                    </w:rPr>
                    <w:t>0mm混凝土，底板</w:t>
                  </w:r>
                  <w:r>
                    <w:rPr>
                      <w:rFonts w:hint="eastAsia"/>
                      <w:spacing w:val="-6"/>
                      <w:sz w:val="21"/>
                      <w:szCs w:val="21"/>
                      <w:lang w:val="en-US" w:eastAsia="zh-CN"/>
                    </w:rPr>
                    <w:t>120</w:t>
                  </w:r>
                  <w:r>
                    <w:rPr>
                      <w:spacing w:val="-6"/>
                      <w:sz w:val="21"/>
                      <w:szCs w:val="21"/>
                    </w:rPr>
                    <w:t>mm混凝土</w:t>
                  </w:r>
                </w:p>
              </w:tc>
              <w:tc>
                <w:tcPr>
                  <w:tcW w:w="1235" w:type="pct"/>
                  <w:tcMar>
                    <w:left w:w="28" w:type="dxa"/>
                    <w:right w:w="28" w:type="dxa"/>
                  </w:tcMar>
                  <w:vAlign w:val="center"/>
                </w:tcPr>
                <w:p w14:paraId="68BA7F6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3mm铅</w:t>
                  </w:r>
                </w:p>
              </w:tc>
              <w:tc>
                <w:tcPr>
                  <w:tcW w:w="828" w:type="pct"/>
                  <w:vAlign w:val="center"/>
                </w:tcPr>
                <w:p w14:paraId="55B6C51F">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Sr注射窗为3mm铅当量</w:t>
                  </w:r>
                </w:p>
              </w:tc>
            </w:tr>
            <w:tr w14:paraId="407206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2142795F">
                  <w:pPr>
                    <w:spacing w:line="360" w:lineRule="exact"/>
                    <w:jc w:val="center"/>
                    <w:rPr>
                      <w:rFonts w:ascii="Times New Roman" w:hAnsi="Times New Roman" w:eastAsia="宋体" w:cs="Times New Roman"/>
                      <w:bCs/>
                      <w:sz w:val="21"/>
                      <w:szCs w:val="21"/>
                      <w:lang w:val="en-US" w:eastAsia="zh-CN" w:bidi="ar"/>
                    </w:rPr>
                  </w:pPr>
                  <w:r>
                    <w:rPr>
                      <w:rFonts w:hint="eastAsia"/>
                      <w:bCs/>
                      <w:sz w:val="21"/>
                      <w:szCs w:val="21"/>
                      <w:lang w:bidi="ar"/>
                    </w:rPr>
                    <w:t>I-131服药室</w:t>
                  </w:r>
                </w:p>
              </w:tc>
              <w:tc>
                <w:tcPr>
                  <w:tcW w:w="867" w:type="pct"/>
                  <w:tcMar>
                    <w:left w:w="28" w:type="dxa"/>
                    <w:right w:w="28" w:type="dxa"/>
                  </w:tcMar>
                  <w:vAlign w:val="center"/>
                </w:tcPr>
                <w:p w14:paraId="0E370236">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6F5C9D24">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w:t>
                  </w:r>
                  <w:r>
                    <w:rPr>
                      <w:rFonts w:hint="eastAsia"/>
                      <w:spacing w:val="-6"/>
                      <w:sz w:val="21"/>
                      <w:szCs w:val="21"/>
                      <w:lang w:val="en-US" w:eastAsia="zh-CN"/>
                    </w:rPr>
                    <w:t>18</w:t>
                  </w:r>
                  <w:r>
                    <w:rPr>
                      <w:spacing w:val="-6"/>
                      <w:sz w:val="21"/>
                      <w:szCs w:val="21"/>
                    </w:rPr>
                    <w:t>0mm混凝土，底板</w:t>
                  </w:r>
                  <w:r>
                    <w:rPr>
                      <w:rFonts w:hint="eastAsia"/>
                      <w:spacing w:val="-6"/>
                      <w:sz w:val="21"/>
                      <w:szCs w:val="21"/>
                      <w:lang w:val="en-US" w:eastAsia="zh-CN"/>
                    </w:rPr>
                    <w:t>120</w:t>
                  </w:r>
                  <w:r>
                    <w:rPr>
                      <w:spacing w:val="-6"/>
                      <w:sz w:val="21"/>
                      <w:szCs w:val="21"/>
                    </w:rPr>
                    <w:t>mm混凝土</w:t>
                  </w:r>
                </w:p>
              </w:tc>
              <w:tc>
                <w:tcPr>
                  <w:tcW w:w="1235" w:type="pct"/>
                  <w:tcMar>
                    <w:left w:w="28" w:type="dxa"/>
                    <w:right w:w="28" w:type="dxa"/>
                  </w:tcMar>
                  <w:vAlign w:val="center"/>
                </w:tcPr>
                <w:p w14:paraId="4F0571E0">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8mm铅</w:t>
                  </w:r>
                </w:p>
              </w:tc>
              <w:tc>
                <w:tcPr>
                  <w:tcW w:w="828" w:type="pct"/>
                  <w:vAlign w:val="center"/>
                </w:tcPr>
                <w:p w14:paraId="1EEE8BB3">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I传递窗20mm铅当量</w:t>
                  </w:r>
                </w:p>
              </w:tc>
            </w:tr>
            <w:tr w14:paraId="49EB2A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41970165">
                  <w:pPr>
                    <w:spacing w:line="360" w:lineRule="exact"/>
                    <w:jc w:val="center"/>
                    <w:rPr>
                      <w:rFonts w:ascii="Times New Roman" w:hAnsi="Times New Roman" w:eastAsia="宋体" w:cs="Times New Roman"/>
                      <w:bCs/>
                      <w:sz w:val="21"/>
                      <w:szCs w:val="21"/>
                      <w:lang w:val="en-US" w:eastAsia="zh-CN" w:bidi="ar"/>
                    </w:rPr>
                  </w:pPr>
                  <w:r>
                    <w:rPr>
                      <w:rFonts w:hint="eastAsia"/>
                      <w:bCs/>
                      <w:sz w:val="21"/>
                      <w:szCs w:val="21"/>
                      <w:lang w:bidi="ar"/>
                    </w:rPr>
                    <w:t>分装室2#</w:t>
                  </w:r>
                </w:p>
              </w:tc>
              <w:tc>
                <w:tcPr>
                  <w:tcW w:w="867" w:type="pct"/>
                  <w:tcMar>
                    <w:left w:w="28" w:type="dxa"/>
                    <w:right w:w="28" w:type="dxa"/>
                  </w:tcMar>
                  <w:vAlign w:val="center"/>
                </w:tcPr>
                <w:p w14:paraId="591D508A">
                  <w:pPr>
                    <w:keepNext w:val="0"/>
                    <w:keepLines w:val="0"/>
                    <w:pageBreakBefore w:val="0"/>
                    <w:tabs>
                      <w:tab w:val="left" w:pos="2265"/>
                    </w:tabs>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54A7979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w:t>
                  </w:r>
                  <w:r>
                    <w:rPr>
                      <w:rFonts w:hint="eastAsia"/>
                      <w:spacing w:val="-6"/>
                      <w:sz w:val="21"/>
                      <w:szCs w:val="21"/>
                      <w:lang w:val="en-US" w:eastAsia="zh-CN"/>
                    </w:rPr>
                    <w:t>18</w:t>
                  </w:r>
                  <w:r>
                    <w:rPr>
                      <w:spacing w:val="-6"/>
                      <w:sz w:val="21"/>
                      <w:szCs w:val="21"/>
                    </w:rPr>
                    <w:t>0mm混凝土，底板</w:t>
                  </w:r>
                  <w:r>
                    <w:rPr>
                      <w:rFonts w:hint="eastAsia"/>
                      <w:spacing w:val="-6"/>
                      <w:sz w:val="21"/>
                      <w:szCs w:val="21"/>
                      <w:lang w:val="en-US" w:eastAsia="zh-CN"/>
                    </w:rPr>
                    <w:t>120</w:t>
                  </w:r>
                  <w:r>
                    <w:rPr>
                      <w:spacing w:val="-6"/>
                      <w:sz w:val="21"/>
                      <w:szCs w:val="21"/>
                    </w:rPr>
                    <w:t>mm混凝土</w:t>
                  </w:r>
                </w:p>
              </w:tc>
              <w:tc>
                <w:tcPr>
                  <w:tcW w:w="1235" w:type="pct"/>
                  <w:tcMar>
                    <w:left w:w="28" w:type="dxa"/>
                    <w:right w:w="28" w:type="dxa"/>
                  </w:tcMar>
                  <w:vAlign w:val="center"/>
                </w:tcPr>
                <w:p w14:paraId="3C6F9DC7">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与储源室</w:t>
                  </w:r>
                  <w:r>
                    <w:rPr>
                      <w:rFonts w:hint="eastAsia"/>
                      <w:spacing w:val="-6"/>
                      <w:sz w:val="21"/>
                      <w:szCs w:val="21"/>
                      <w:lang w:val="en-US" w:eastAsia="zh-CN"/>
                    </w:rPr>
                    <w:t>2#、</w:t>
                  </w:r>
                  <w:r>
                    <w:rPr>
                      <w:spacing w:val="-6"/>
                      <w:sz w:val="21"/>
                      <w:szCs w:val="21"/>
                    </w:rPr>
                    <w:t>卫生通过间</w:t>
                  </w:r>
                  <w:r>
                    <w:rPr>
                      <w:rFonts w:hint="eastAsia"/>
                      <w:spacing w:val="-6"/>
                      <w:sz w:val="21"/>
                      <w:szCs w:val="21"/>
                      <w:lang w:val="en-US" w:eastAsia="zh-CN"/>
                    </w:rPr>
                    <w:t>2#</w:t>
                  </w:r>
                  <w:r>
                    <w:rPr>
                      <w:spacing w:val="-6"/>
                      <w:sz w:val="21"/>
                      <w:szCs w:val="21"/>
                    </w:rPr>
                    <w:t>相连防护门为</w:t>
                  </w:r>
                  <w:r>
                    <w:rPr>
                      <w:rFonts w:hint="eastAsia"/>
                      <w:spacing w:val="-6"/>
                      <w:sz w:val="21"/>
                      <w:szCs w:val="21"/>
                      <w:lang w:val="en-US" w:eastAsia="zh-CN"/>
                    </w:rPr>
                    <w:t>8</w:t>
                  </w:r>
                  <w:r>
                    <w:rPr>
                      <w:spacing w:val="-6"/>
                      <w:sz w:val="21"/>
                      <w:szCs w:val="21"/>
                    </w:rPr>
                    <w:t>mm铅</w:t>
                  </w:r>
                </w:p>
              </w:tc>
              <w:tc>
                <w:tcPr>
                  <w:tcW w:w="828" w:type="pct"/>
                  <w:vAlign w:val="center"/>
                </w:tcPr>
                <w:p w14:paraId="2104A2ED">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Sr注射窗为3mm铅当量</w:t>
                  </w:r>
                </w:p>
              </w:tc>
            </w:tr>
            <w:tr w14:paraId="4349DE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6A5D33FD">
                  <w:pPr>
                    <w:spacing w:line="360" w:lineRule="exact"/>
                    <w:jc w:val="center"/>
                    <w:rPr>
                      <w:rFonts w:ascii="Times New Roman" w:hAnsi="Times New Roman" w:eastAsia="宋体" w:cs="Times New Roman"/>
                      <w:bCs/>
                      <w:sz w:val="21"/>
                      <w:szCs w:val="21"/>
                      <w:lang w:val="en-US" w:eastAsia="zh-CN" w:bidi="ar"/>
                    </w:rPr>
                  </w:pPr>
                  <w:r>
                    <w:rPr>
                      <w:rFonts w:hint="eastAsia"/>
                      <w:bCs/>
                      <w:sz w:val="21"/>
                      <w:szCs w:val="21"/>
                      <w:lang w:bidi="ar"/>
                    </w:rPr>
                    <w:t>日间留观室</w:t>
                  </w:r>
                </w:p>
              </w:tc>
              <w:tc>
                <w:tcPr>
                  <w:tcW w:w="867" w:type="pct"/>
                  <w:tcMar>
                    <w:left w:w="28" w:type="dxa"/>
                    <w:right w:w="28" w:type="dxa"/>
                  </w:tcMar>
                  <w:vAlign w:val="center"/>
                </w:tcPr>
                <w:p w14:paraId="69C71B37">
                  <w:pPr>
                    <w:keepNext w:val="0"/>
                    <w:keepLines w:val="0"/>
                    <w:pageBreakBefore w:val="0"/>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166BF30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highlight w:val="none"/>
                    </w:rPr>
                  </w:pPr>
                  <w:r>
                    <w:rPr>
                      <w:spacing w:val="-6"/>
                      <w:sz w:val="21"/>
                      <w:szCs w:val="21"/>
                      <w:highlight w:val="none"/>
                    </w:rPr>
                    <w:t>顶板</w:t>
                  </w:r>
                  <w:r>
                    <w:rPr>
                      <w:rFonts w:hint="eastAsia"/>
                      <w:spacing w:val="-6"/>
                      <w:sz w:val="21"/>
                      <w:szCs w:val="21"/>
                      <w:highlight w:val="none"/>
                      <w:lang w:val="en-US" w:eastAsia="zh-CN"/>
                    </w:rPr>
                    <w:t>18</w:t>
                  </w:r>
                  <w:r>
                    <w:rPr>
                      <w:spacing w:val="-6"/>
                      <w:sz w:val="21"/>
                      <w:szCs w:val="21"/>
                      <w:highlight w:val="none"/>
                    </w:rPr>
                    <w:t>0mm混凝土</w:t>
                  </w:r>
                  <w:r>
                    <w:rPr>
                      <w:rFonts w:hint="eastAsia"/>
                      <w:spacing w:val="-6"/>
                      <w:sz w:val="21"/>
                      <w:szCs w:val="21"/>
                      <w:highlight w:val="none"/>
                      <w:lang w:val="en-US" w:eastAsia="zh-CN"/>
                    </w:rPr>
                    <w:t>+50mm硫酸钡</w:t>
                  </w:r>
                  <w:r>
                    <w:rPr>
                      <w:spacing w:val="-6"/>
                      <w:sz w:val="21"/>
                      <w:szCs w:val="21"/>
                      <w:highlight w:val="none"/>
                    </w:rPr>
                    <w:t>，底板</w:t>
                  </w:r>
                  <w:r>
                    <w:rPr>
                      <w:rFonts w:hint="eastAsia"/>
                      <w:spacing w:val="-6"/>
                      <w:sz w:val="21"/>
                      <w:szCs w:val="21"/>
                      <w:highlight w:val="none"/>
                      <w:lang w:val="en-US" w:eastAsia="zh-CN"/>
                    </w:rPr>
                    <w:t>120</w:t>
                  </w:r>
                  <w:r>
                    <w:rPr>
                      <w:spacing w:val="-6"/>
                      <w:sz w:val="21"/>
                      <w:szCs w:val="21"/>
                      <w:highlight w:val="none"/>
                    </w:rPr>
                    <w:t>mm混凝土</w:t>
                  </w:r>
                  <w:r>
                    <w:rPr>
                      <w:rFonts w:hint="eastAsia"/>
                      <w:spacing w:val="-6"/>
                      <w:sz w:val="21"/>
                      <w:szCs w:val="21"/>
                      <w:highlight w:val="none"/>
                      <w:lang w:val="en-US" w:eastAsia="zh-CN"/>
                    </w:rPr>
                    <w:t>+50mm硫酸钡</w:t>
                  </w:r>
                </w:p>
              </w:tc>
              <w:tc>
                <w:tcPr>
                  <w:tcW w:w="1235" w:type="pct"/>
                  <w:tcMar>
                    <w:left w:w="28" w:type="dxa"/>
                    <w:right w:w="28" w:type="dxa"/>
                  </w:tcMar>
                  <w:vAlign w:val="center"/>
                </w:tcPr>
                <w:p w14:paraId="465762E1">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rFonts w:hint="eastAsia"/>
                      <w:spacing w:val="-6"/>
                      <w:sz w:val="21"/>
                      <w:szCs w:val="21"/>
                      <w:lang w:val="en-US" w:eastAsia="zh-CN"/>
                    </w:rPr>
                    <w:t>与</w:t>
                  </w:r>
                  <w:r>
                    <w:rPr>
                      <w:rFonts w:hint="eastAsia"/>
                      <w:bCs/>
                      <w:sz w:val="21"/>
                      <w:szCs w:val="21"/>
                      <w:lang w:bidi="ar"/>
                    </w:rPr>
                    <w:t>Sr-89注射室</w:t>
                  </w:r>
                  <w:r>
                    <w:rPr>
                      <w:rFonts w:hint="eastAsia"/>
                      <w:bCs/>
                      <w:sz w:val="21"/>
                      <w:szCs w:val="21"/>
                      <w:lang w:eastAsia="zh-CN" w:bidi="ar"/>
                    </w:rPr>
                    <w:t>、</w:t>
                  </w:r>
                  <w:r>
                    <w:rPr>
                      <w:rFonts w:hint="eastAsia"/>
                      <w:bCs/>
                      <w:sz w:val="21"/>
                      <w:szCs w:val="21"/>
                      <w:lang w:bidi="ar"/>
                    </w:rPr>
                    <w:t>I-131服药室</w:t>
                  </w:r>
                  <w:r>
                    <w:rPr>
                      <w:rFonts w:hint="eastAsia"/>
                      <w:bCs/>
                      <w:sz w:val="21"/>
                      <w:szCs w:val="21"/>
                      <w:lang w:eastAsia="zh-CN" w:bidi="ar"/>
                    </w:rPr>
                    <w:t>、</w:t>
                  </w:r>
                  <w:r>
                    <w:rPr>
                      <w:rFonts w:hint="eastAsia"/>
                      <w:bCs/>
                      <w:sz w:val="21"/>
                      <w:szCs w:val="21"/>
                      <w:lang w:val="en-US" w:eastAsia="zh-CN" w:bidi="ar"/>
                    </w:rPr>
                    <w:t>患者通道相连防护门为</w:t>
                  </w:r>
                  <w:r>
                    <w:rPr>
                      <w:rFonts w:hint="eastAsia"/>
                      <w:spacing w:val="-6"/>
                      <w:sz w:val="21"/>
                      <w:szCs w:val="21"/>
                      <w:lang w:val="en-US" w:eastAsia="zh-CN"/>
                    </w:rPr>
                    <w:t>8mm铅</w:t>
                  </w:r>
                </w:p>
              </w:tc>
              <w:tc>
                <w:tcPr>
                  <w:tcW w:w="828" w:type="pct"/>
                  <w:vAlign w:val="center"/>
                </w:tcPr>
                <w:p w14:paraId="21793DF0">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1B5FF8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 w:type="pct"/>
                  <w:shd w:val="clear" w:color="auto" w:fill="auto"/>
                  <w:vAlign w:val="center"/>
                </w:tcPr>
                <w:p w14:paraId="2A9B772C">
                  <w:pPr>
                    <w:spacing w:line="360" w:lineRule="exact"/>
                    <w:jc w:val="center"/>
                    <w:rPr>
                      <w:rFonts w:ascii="Times New Roman" w:hAnsi="Times New Roman" w:eastAsia="宋体" w:cs="Times New Roman"/>
                      <w:bCs/>
                      <w:sz w:val="21"/>
                      <w:szCs w:val="21"/>
                      <w:lang w:val="en-US" w:eastAsia="zh-CN" w:bidi="ar"/>
                    </w:rPr>
                  </w:pPr>
                  <w:r>
                    <w:rPr>
                      <w:rFonts w:hint="eastAsia"/>
                      <w:bCs/>
                      <w:sz w:val="21"/>
                      <w:szCs w:val="21"/>
                      <w:lang w:bidi="ar"/>
                    </w:rPr>
                    <w:t>储源室2#</w:t>
                  </w:r>
                </w:p>
              </w:tc>
              <w:tc>
                <w:tcPr>
                  <w:tcW w:w="867" w:type="pct"/>
                  <w:tcMar>
                    <w:left w:w="28" w:type="dxa"/>
                    <w:right w:w="28" w:type="dxa"/>
                  </w:tcMar>
                  <w:vAlign w:val="center"/>
                </w:tcPr>
                <w:p w14:paraId="29378BEE">
                  <w:pPr>
                    <w:keepNext w:val="0"/>
                    <w:keepLines w:val="0"/>
                    <w:pageBreakBefore w:val="0"/>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370mm实心砖</w:t>
                  </w:r>
                </w:p>
              </w:tc>
              <w:tc>
                <w:tcPr>
                  <w:tcW w:w="1165" w:type="pct"/>
                  <w:tcMar>
                    <w:left w:w="28" w:type="dxa"/>
                    <w:right w:w="28" w:type="dxa"/>
                  </w:tcMar>
                  <w:vAlign w:val="center"/>
                </w:tcPr>
                <w:p w14:paraId="53000519">
                  <w:pPr>
                    <w:keepNext w:val="0"/>
                    <w:keepLines w:val="0"/>
                    <w:pageBreakBefore w:val="0"/>
                    <w:widowControl/>
                    <w:kinsoku/>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顶板</w:t>
                  </w:r>
                  <w:r>
                    <w:rPr>
                      <w:rFonts w:hint="eastAsia"/>
                      <w:spacing w:val="-6"/>
                      <w:sz w:val="21"/>
                      <w:szCs w:val="21"/>
                      <w:lang w:val="en-US" w:eastAsia="zh-CN"/>
                    </w:rPr>
                    <w:t>18</w:t>
                  </w:r>
                  <w:r>
                    <w:rPr>
                      <w:spacing w:val="-6"/>
                      <w:sz w:val="21"/>
                      <w:szCs w:val="21"/>
                    </w:rPr>
                    <w:t>0mm混凝土，底板</w:t>
                  </w:r>
                  <w:r>
                    <w:rPr>
                      <w:rFonts w:hint="eastAsia"/>
                      <w:spacing w:val="-6"/>
                      <w:sz w:val="21"/>
                      <w:szCs w:val="21"/>
                      <w:lang w:val="en-US" w:eastAsia="zh-CN"/>
                    </w:rPr>
                    <w:t>120</w:t>
                  </w:r>
                  <w:r>
                    <w:rPr>
                      <w:spacing w:val="-6"/>
                      <w:sz w:val="21"/>
                      <w:szCs w:val="21"/>
                    </w:rPr>
                    <w:t>mm混凝土</w:t>
                  </w:r>
                </w:p>
              </w:tc>
              <w:tc>
                <w:tcPr>
                  <w:tcW w:w="1235" w:type="pct"/>
                  <w:tcMar>
                    <w:left w:w="28" w:type="dxa"/>
                    <w:right w:w="28" w:type="dxa"/>
                  </w:tcMar>
                  <w:vAlign w:val="center"/>
                </w:tcPr>
                <w:p w14:paraId="42D06F8A">
                  <w:pPr>
                    <w:keepNext w:val="0"/>
                    <w:keepLines w:val="0"/>
                    <w:pageBreakBefore w:val="0"/>
                    <w:widowControl/>
                    <w:kinsoku/>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rPr>
                  </w:pPr>
                  <w:r>
                    <w:rPr>
                      <w:spacing w:val="-6"/>
                      <w:sz w:val="21"/>
                      <w:szCs w:val="21"/>
                    </w:rPr>
                    <w:t>与储源室</w:t>
                  </w:r>
                  <w:r>
                    <w:rPr>
                      <w:rFonts w:hint="eastAsia"/>
                      <w:spacing w:val="-6"/>
                      <w:sz w:val="21"/>
                      <w:szCs w:val="21"/>
                      <w:lang w:val="en-US" w:eastAsia="zh-CN"/>
                    </w:rPr>
                    <w:t>2#</w:t>
                  </w:r>
                  <w:r>
                    <w:rPr>
                      <w:spacing w:val="-6"/>
                      <w:sz w:val="21"/>
                      <w:szCs w:val="21"/>
                    </w:rPr>
                    <w:t>相连防护门为</w:t>
                  </w:r>
                  <w:r>
                    <w:rPr>
                      <w:rFonts w:hint="eastAsia"/>
                      <w:spacing w:val="-6"/>
                      <w:sz w:val="21"/>
                      <w:szCs w:val="21"/>
                      <w:lang w:val="en-US" w:eastAsia="zh-CN"/>
                    </w:rPr>
                    <w:t>8</w:t>
                  </w:r>
                  <w:r>
                    <w:rPr>
                      <w:spacing w:val="-6"/>
                      <w:sz w:val="21"/>
                      <w:szCs w:val="21"/>
                    </w:rPr>
                    <w:t>mm铅</w:t>
                  </w:r>
                  <w:r>
                    <w:rPr>
                      <w:rFonts w:hint="eastAsia"/>
                      <w:spacing w:val="-6"/>
                      <w:sz w:val="21"/>
                      <w:szCs w:val="21"/>
                      <w:lang w:eastAsia="zh-CN"/>
                    </w:rPr>
                    <w:t>，</w:t>
                  </w:r>
                  <w:r>
                    <w:rPr>
                      <w:rFonts w:hint="eastAsia"/>
                      <w:spacing w:val="-6"/>
                      <w:sz w:val="21"/>
                      <w:szCs w:val="21"/>
                      <w:lang w:val="en-US" w:eastAsia="zh-CN"/>
                    </w:rPr>
                    <w:t>与室外相连防护门为</w:t>
                  </w:r>
                  <w:r>
                    <w:rPr>
                      <w:rFonts w:hint="eastAsia"/>
                      <w:bCs/>
                      <w:sz w:val="21"/>
                      <w:szCs w:val="21"/>
                      <w:lang w:val="en-US" w:eastAsia="zh-CN"/>
                    </w:rPr>
                    <w:t>3mm铅</w:t>
                  </w:r>
                </w:p>
              </w:tc>
              <w:tc>
                <w:tcPr>
                  <w:tcW w:w="828" w:type="pct"/>
                  <w:vAlign w:val="center"/>
                </w:tcPr>
                <w:p w14:paraId="5153EAB5">
                  <w:pPr>
                    <w:keepNext w:val="0"/>
                    <w:keepLines w:val="0"/>
                    <w:pageBreakBefore w:val="0"/>
                    <w:widowControl/>
                    <w:kinsoku/>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bookmarkEnd w:id="39"/>
          </w:tbl>
          <w:p w14:paraId="4863FEB8">
            <w:pPr>
              <w:spacing w:line="240" w:lineRule="auto"/>
              <w:rPr>
                <w:rFonts w:eastAsia="黑体"/>
                <w:bCs/>
                <w:sz w:val="21"/>
                <w:szCs w:val="21"/>
              </w:rPr>
            </w:pPr>
            <w:r>
              <w:rPr>
                <w:rFonts w:eastAsia="黑体"/>
                <w:bCs/>
                <w:sz w:val="21"/>
                <w:szCs w:val="21"/>
              </w:rPr>
              <w:t>*注：本项目使用的混凝土密度不低于2.35g/cm</w:t>
            </w:r>
            <w:r>
              <w:rPr>
                <w:rFonts w:eastAsia="黑体"/>
                <w:bCs/>
                <w:sz w:val="21"/>
                <w:szCs w:val="21"/>
                <w:vertAlign w:val="superscript"/>
              </w:rPr>
              <w:t>3</w:t>
            </w:r>
            <w:r>
              <w:rPr>
                <w:rFonts w:eastAsia="黑体"/>
                <w:bCs/>
                <w:sz w:val="21"/>
                <w:szCs w:val="21"/>
              </w:rPr>
              <w:t>，铅板的密度不低于11.3g/cm</w:t>
            </w:r>
            <w:r>
              <w:rPr>
                <w:rFonts w:eastAsia="黑体"/>
                <w:bCs/>
                <w:sz w:val="21"/>
                <w:szCs w:val="21"/>
                <w:vertAlign w:val="superscript"/>
              </w:rPr>
              <w:t>3</w:t>
            </w:r>
            <w:r>
              <w:rPr>
                <w:rFonts w:eastAsia="黑体"/>
                <w:bCs/>
                <w:sz w:val="21"/>
                <w:szCs w:val="21"/>
              </w:rPr>
              <w:t>，实心砖的密度不低于1.65g/cm</w:t>
            </w:r>
            <w:r>
              <w:rPr>
                <w:rFonts w:eastAsia="黑体"/>
                <w:bCs/>
                <w:sz w:val="21"/>
                <w:szCs w:val="21"/>
                <w:vertAlign w:val="superscript"/>
              </w:rPr>
              <w:t>3</w:t>
            </w:r>
            <w:r>
              <w:rPr>
                <w:rFonts w:eastAsia="黑体"/>
                <w:bCs/>
                <w:sz w:val="21"/>
                <w:szCs w:val="21"/>
              </w:rPr>
              <w:t>，</w:t>
            </w:r>
            <w:r>
              <w:rPr>
                <w:rFonts w:eastAsia="黑体"/>
                <w:sz w:val="21"/>
                <w:szCs w:val="21"/>
              </w:rPr>
              <w:t>硫酸钡</w:t>
            </w:r>
            <w:r>
              <w:rPr>
                <w:rFonts w:hint="eastAsia" w:eastAsia="黑体"/>
                <w:sz w:val="21"/>
                <w:szCs w:val="21"/>
                <w:lang w:val="en-US" w:eastAsia="zh-CN"/>
              </w:rPr>
              <w:t>水泥</w:t>
            </w:r>
            <w:r>
              <w:rPr>
                <w:rFonts w:eastAsia="黑体"/>
                <w:sz w:val="21"/>
                <w:szCs w:val="21"/>
              </w:rPr>
              <w:t>密度</w:t>
            </w:r>
            <w:r>
              <w:rPr>
                <w:rFonts w:eastAsia="黑体"/>
                <w:bCs/>
                <w:sz w:val="21"/>
                <w:szCs w:val="21"/>
              </w:rPr>
              <w:t>不低于</w:t>
            </w:r>
            <w:r>
              <w:rPr>
                <w:rFonts w:eastAsia="黑体"/>
                <w:sz w:val="21"/>
                <w:szCs w:val="21"/>
              </w:rPr>
              <w:t>3.2g/cm</w:t>
            </w:r>
            <w:r>
              <w:rPr>
                <w:rFonts w:eastAsia="黑体"/>
                <w:bCs/>
                <w:sz w:val="21"/>
                <w:szCs w:val="21"/>
                <w:vertAlign w:val="superscript"/>
              </w:rPr>
              <w:t>3</w:t>
            </w:r>
            <w:r>
              <w:rPr>
                <w:rFonts w:eastAsia="黑体"/>
                <w:bCs/>
                <w:sz w:val="21"/>
                <w:szCs w:val="21"/>
              </w:rPr>
              <w:t>。</w:t>
            </w:r>
          </w:p>
          <w:p w14:paraId="3F2FBFDF">
            <w:pPr>
              <w:ind w:firstLine="480"/>
            </w:pPr>
            <w:r>
              <w:t>根据后续章节计算，仅涉及非密封放射性物质的工作场所屏蔽设计满足《核医学辐射防护与安全要求》（HJ1188-2021）中规定的“核医学工作场所各控制区内房间防护门、观察窗和墙壁外表面30cm处的周围剂量当量率应小于2.5μSv/h，如屏蔽墙外的房间为人员偶尔居留的设备间等区域，其周围剂量当量率应小于10μSv/h”的控制剂量率要求。</w:t>
            </w:r>
          </w:p>
          <w:p w14:paraId="25E09E7D">
            <w:pPr>
              <w:ind w:firstLine="482"/>
              <w:rPr>
                <w:b/>
              </w:rPr>
            </w:pPr>
            <w:r>
              <w:rPr>
                <w:b/>
              </w:rPr>
              <w:t>（2）射线装置场所建筑屏蔽设计方案</w:t>
            </w:r>
          </w:p>
          <w:p w14:paraId="29620FCD">
            <w:pPr>
              <w:ind w:firstLine="482"/>
              <w:rPr>
                <w:rFonts w:hint="default" w:eastAsia="宋体"/>
                <w:b/>
                <w:lang w:val="en-US" w:eastAsia="zh-CN"/>
              </w:rPr>
            </w:pPr>
            <w:r>
              <w:rPr>
                <w:rFonts w:hint="eastAsia"/>
                <w:b/>
                <w:lang w:val="en-US" w:eastAsia="zh-CN"/>
              </w:rPr>
              <w:t>1）</w:t>
            </w:r>
            <w:r>
              <w:rPr>
                <w:b/>
              </w:rPr>
              <w:t>射线装置机房</w:t>
            </w:r>
            <w:r>
              <w:rPr>
                <w:rFonts w:hint="eastAsia"/>
                <w:b/>
                <w:lang w:val="en-US" w:eastAsia="zh-CN"/>
              </w:rPr>
              <w:t>屏蔽设计</w:t>
            </w:r>
          </w:p>
          <w:p w14:paraId="3204E2D9">
            <w:pPr>
              <w:ind w:firstLine="480"/>
              <w:rPr>
                <w:bCs/>
                <w:szCs w:val="21"/>
              </w:rPr>
            </w:pPr>
            <w:r>
              <w:rPr>
                <w:bCs/>
                <w:szCs w:val="21"/>
              </w:rPr>
              <w:t>本项目</w:t>
            </w:r>
            <w:r>
              <w:rPr>
                <w:rFonts w:hint="eastAsia"/>
                <w:bCs/>
                <w:szCs w:val="21"/>
                <w:lang w:val="en-US" w:eastAsia="zh-CN"/>
              </w:rPr>
              <w:t>核医学科</w:t>
            </w:r>
            <w:r>
              <w:rPr>
                <w:bCs/>
                <w:szCs w:val="21"/>
              </w:rPr>
              <w:t>开展影像诊断的场所涉及使用PET/CT、SPECT/CT，均属于Ⅲ类射线装置</w:t>
            </w:r>
            <w:r>
              <w:rPr>
                <w:rFonts w:hint="eastAsia"/>
                <w:bCs/>
                <w:szCs w:val="21"/>
                <w:lang w:eastAsia="zh-CN"/>
              </w:rPr>
              <w:t>；</w:t>
            </w:r>
            <w:r>
              <w:rPr>
                <w:rFonts w:hint="eastAsia"/>
                <w:bCs/>
                <w:szCs w:val="21"/>
                <w:lang w:val="en-US" w:eastAsia="zh-CN"/>
              </w:rPr>
              <w:t>本项目手术部和内镜中心开展影像检查和介入操作涉及使用的DSA+CT复合设备、DSA和ERCP，均属于</w:t>
            </w:r>
            <w:r>
              <w:rPr>
                <w:rFonts w:hint="default" w:ascii="Times New Roman" w:hAnsi="Times New Roman" w:cs="Times New Roman"/>
                <w:bCs/>
                <w:szCs w:val="21"/>
                <w:lang w:val="en-US" w:eastAsia="zh-CN"/>
              </w:rPr>
              <w:t>Ⅱ</w:t>
            </w:r>
            <w:r>
              <w:rPr>
                <w:rFonts w:hint="eastAsia"/>
                <w:bCs/>
                <w:szCs w:val="21"/>
                <w:lang w:val="en-US" w:eastAsia="zh-CN"/>
              </w:rPr>
              <w:t>类射线装置。</w:t>
            </w:r>
            <w:r>
              <w:rPr>
                <w:bCs/>
                <w:szCs w:val="21"/>
              </w:rPr>
              <w:t>射线装置工作场所辐射防护设计情况见表10-1</w:t>
            </w:r>
            <w:r>
              <w:rPr>
                <w:rFonts w:hint="eastAsia"/>
                <w:bCs/>
                <w:szCs w:val="21"/>
                <w:lang w:val="en-US" w:eastAsia="zh-CN"/>
              </w:rPr>
              <w:t>0</w:t>
            </w:r>
            <w:r>
              <w:rPr>
                <w:bCs/>
                <w:szCs w:val="21"/>
              </w:rPr>
              <w:t>。</w:t>
            </w:r>
          </w:p>
          <w:p w14:paraId="007F5B3A">
            <w:pPr>
              <w:spacing w:before="163" w:line="240" w:lineRule="auto"/>
              <w:jc w:val="center"/>
              <w:rPr>
                <w:rFonts w:hint="eastAsia" w:cs="Times New Roman"/>
                <w:b/>
                <w:bCs w:val="0"/>
                <w:sz w:val="21"/>
                <w:szCs w:val="21"/>
                <w:lang w:val="en-US" w:eastAsia="zh-CN"/>
              </w:rPr>
            </w:pPr>
            <w:r>
              <w:rPr>
                <w:rFonts w:hint="eastAsia" w:cs="Times New Roman"/>
                <w:b/>
                <w:bCs w:val="0"/>
                <w:sz w:val="21"/>
                <w:szCs w:val="21"/>
                <w:lang w:val="en-US" w:eastAsia="zh-CN"/>
              </w:rPr>
              <w:t>表10-10  射线装置机房屏蔽体折算厚度计算表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1185"/>
              <w:gridCol w:w="3090"/>
              <w:gridCol w:w="1425"/>
              <w:gridCol w:w="1096"/>
              <w:gridCol w:w="703"/>
            </w:tblGrid>
            <w:tr w14:paraId="1FF54C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Align w:val="center"/>
                </w:tcPr>
                <w:p w14:paraId="30DB82FC">
                  <w:pPr>
                    <w:spacing w:line="360" w:lineRule="exact"/>
                    <w:jc w:val="center"/>
                    <w:rPr>
                      <w:b/>
                      <w:bCs/>
                      <w:spacing w:val="-11"/>
                      <w:sz w:val="21"/>
                      <w:szCs w:val="21"/>
                    </w:rPr>
                  </w:pPr>
                  <w:r>
                    <w:rPr>
                      <w:b/>
                      <w:bCs/>
                      <w:spacing w:val="-11"/>
                      <w:sz w:val="21"/>
                      <w:szCs w:val="21"/>
                    </w:rPr>
                    <w:t>机房</w:t>
                  </w:r>
                </w:p>
              </w:tc>
              <w:tc>
                <w:tcPr>
                  <w:tcW w:w="673" w:type="pct"/>
                  <w:vAlign w:val="center"/>
                </w:tcPr>
                <w:p w14:paraId="703CB8E3">
                  <w:pPr>
                    <w:spacing w:line="360" w:lineRule="exact"/>
                    <w:jc w:val="center"/>
                    <w:rPr>
                      <w:b/>
                      <w:bCs/>
                      <w:spacing w:val="-11"/>
                      <w:sz w:val="21"/>
                      <w:szCs w:val="21"/>
                    </w:rPr>
                  </w:pPr>
                  <w:r>
                    <w:rPr>
                      <w:b/>
                      <w:bCs/>
                      <w:spacing w:val="-11"/>
                      <w:sz w:val="21"/>
                      <w:szCs w:val="21"/>
                    </w:rPr>
                    <w:t>屏蔽体</w:t>
                  </w:r>
                </w:p>
              </w:tc>
              <w:tc>
                <w:tcPr>
                  <w:tcW w:w="1756" w:type="pct"/>
                  <w:vAlign w:val="center"/>
                </w:tcPr>
                <w:p w14:paraId="648DE2C6">
                  <w:pPr>
                    <w:spacing w:line="360" w:lineRule="exact"/>
                    <w:jc w:val="center"/>
                    <w:rPr>
                      <w:b/>
                      <w:bCs/>
                      <w:spacing w:val="-11"/>
                      <w:sz w:val="21"/>
                      <w:szCs w:val="21"/>
                    </w:rPr>
                  </w:pPr>
                  <w:r>
                    <w:rPr>
                      <w:b/>
                      <w:bCs/>
                      <w:spacing w:val="-11"/>
                      <w:sz w:val="21"/>
                      <w:szCs w:val="21"/>
                    </w:rPr>
                    <w:t>材质及厚度</w:t>
                  </w:r>
                </w:p>
              </w:tc>
              <w:tc>
                <w:tcPr>
                  <w:tcW w:w="810" w:type="pct"/>
                  <w:vAlign w:val="center"/>
                </w:tcPr>
                <w:p w14:paraId="17519AD3">
                  <w:pPr>
                    <w:spacing w:line="360" w:lineRule="exact"/>
                    <w:jc w:val="center"/>
                    <w:rPr>
                      <w:rFonts w:hint="eastAsia" w:eastAsia="宋体"/>
                      <w:b/>
                      <w:bCs/>
                      <w:spacing w:val="-11"/>
                      <w:sz w:val="21"/>
                      <w:szCs w:val="21"/>
                      <w:lang w:eastAsia="zh-CN"/>
                    </w:rPr>
                  </w:pPr>
                  <w:r>
                    <w:rPr>
                      <w:b/>
                      <w:bCs/>
                      <w:spacing w:val="-11"/>
                      <w:sz w:val="21"/>
                      <w:szCs w:val="21"/>
                    </w:rPr>
                    <w:t>对应铅当量厚度</w:t>
                  </w:r>
                  <w:r>
                    <w:rPr>
                      <w:rFonts w:hint="eastAsia"/>
                      <w:b/>
                      <w:bCs/>
                      <w:spacing w:val="-11"/>
                      <w:sz w:val="21"/>
                      <w:szCs w:val="21"/>
                      <w:lang w:eastAsia="zh-CN"/>
                    </w:rPr>
                    <w:t>（</w:t>
                  </w:r>
                  <w:r>
                    <w:rPr>
                      <w:rFonts w:hint="eastAsia"/>
                      <w:b/>
                      <w:bCs/>
                      <w:spacing w:val="-11"/>
                      <w:sz w:val="21"/>
                      <w:szCs w:val="21"/>
                      <w:lang w:val="en-US" w:eastAsia="zh-CN"/>
                    </w:rPr>
                    <w:t>mmPb</w:t>
                  </w:r>
                  <w:r>
                    <w:rPr>
                      <w:rFonts w:hint="eastAsia"/>
                      <w:b/>
                      <w:bCs/>
                      <w:spacing w:val="-11"/>
                      <w:sz w:val="21"/>
                      <w:szCs w:val="21"/>
                      <w:lang w:eastAsia="zh-CN"/>
                    </w:rPr>
                    <w:t>）</w:t>
                  </w:r>
                </w:p>
              </w:tc>
              <w:tc>
                <w:tcPr>
                  <w:tcW w:w="623" w:type="pct"/>
                  <w:vAlign w:val="center"/>
                </w:tcPr>
                <w:p w14:paraId="1B251408">
                  <w:pPr>
                    <w:spacing w:line="360" w:lineRule="exact"/>
                    <w:jc w:val="center"/>
                    <w:rPr>
                      <w:b/>
                      <w:bCs/>
                      <w:spacing w:val="-11"/>
                      <w:sz w:val="21"/>
                      <w:szCs w:val="21"/>
                    </w:rPr>
                  </w:pPr>
                  <w:r>
                    <w:rPr>
                      <w:b/>
                      <w:bCs/>
                      <w:spacing w:val="-11"/>
                      <w:sz w:val="21"/>
                      <w:szCs w:val="21"/>
                    </w:rPr>
                    <w:t>GBZ130-2020要求</w:t>
                  </w:r>
                </w:p>
              </w:tc>
              <w:tc>
                <w:tcPr>
                  <w:tcW w:w="399" w:type="pct"/>
                  <w:vAlign w:val="center"/>
                </w:tcPr>
                <w:p w14:paraId="787E4A4C">
                  <w:pPr>
                    <w:spacing w:line="360" w:lineRule="exact"/>
                    <w:jc w:val="center"/>
                    <w:rPr>
                      <w:b/>
                      <w:bCs/>
                      <w:spacing w:val="-11"/>
                      <w:sz w:val="21"/>
                      <w:szCs w:val="21"/>
                    </w:rPr>
                  </w:pPr>
                  <w:r>
                    <w:rPr>
                      <w:b/>
                      <w:bCs/>
                      <w:spacing w:val="-11"/>
                      <w:sz w:val="21"/>
                      <w:szCs w:val="21"/>
                    </w:rPr>
                    <w:t>备注</w:t>
                  </w:r>
                </w:p>
              </w:tc>
            </w:tr>
            <w:tr w14:paraId="4DCE81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restart"/>
                  <w:vAlign w:val="center"/>
                </w:tcPr>
                <w:p w14:paraId="2078633E">
                  <w:pPr>
                    <w:widowControl/>
                    <w:spacing w:line="360" w:lineRule="exact"/>
                    <w:jc w:val="center"/>
                    <w:rPr>
                      <w:spacing w:val="-11"/>
                      <w:sz w:val="21"/>
                      <w:szCs w:val="21"/>
                    </w:rPr>
                  </w:pPr>
                  <w:r>
                    <w:rPr>
                      <w:spacing w:val="-11"/>
                      <w:sz w:val="21"/>
                      <w:szCs w:val="21"/>
                    </w:rPr>
                    <w:t>PET/CT机房</w:t>
                  </w:r>
                </w:p>
              </w:tc>
              <w:tc>
                <w:tcPr>
                  <w:tcW w:w="673" w:type="pct"/>
                  <w:vAlign w:val="center"/>
                </w:tcPr>
                <w:p w14:paraId="458415E5">
                  <w:pPr>
                    <w:spacing w:line="360" w:lineRule="exact"/>
                    <w:jc w:val="center"/>
                    <w:rPr>
                      <w:spacing w:val="-11"/>
                      <w:sz w:val="21"/>
                      <w:szCs w:val="21"/>
                    </w:rPr>
                  </w:pPr>
                  <w:r>
                    <w:rPr>
                      <w:spacing w:val="-11"/>
                      <w:sz w:val="21"/>
                      <w:szCs w:val="21"/>
                    </w:rPr>
                    <w:t>四面墙体</w:t>
                  </w:r>
                </w:p>
              </w:tc>
              <w:tc>
                <w:tcPr>
                  <w:tcW w:w="1756" w:type="pct"/>
                  <w:vAlign w:val="center"/>
                </w:tcPr>
                <w:p w14:paraId="7748B9E5">
                  <w:pPr>
                    <w:spacing w:line="360" w:lineRule="exact"/>
                    <w:jc w:val="center"/>
                    <w:rPr>
                      <w:spacing w:val="-11"/>
                      <w:sz w:val="21"/>
                      <w:szCs w:val="21"/>
                      <w:highlight w:val="none"/>
                    </w:rPr>
                  </w:pPr>
                  <w:r>
                    <w:rPr>
                      <w:spacing w:val="-11"/>
                      <w:sz w:val="21"/>
                      <w:szCs w:val="21"/>
                      <w:highlight w:val="none"/>
                    </w:rPr>
                    <w:t>370mm实心砖</w:t>
                  </w:r>
                </w:p>
              </w:tc>
              <w:tc>
                <w:tcPr>
                  <w:tcW w:w="810" w:type="pct"/>
                  <w:vAlign w:val="center"/>
                </w:tcPr>
                <w:p w14:paraId="3C107FE0">
                  <w:pPr>
                    <w:spacing w:line="360" w:lineRule="exact"/>
                    <w:jc w:val="center"/>
                    <w:rPr>
                      <w:spacing w:val="-11"/>
                      <w:sz w:val="21"/>
                      <w:szCs w:val="21"/>
                      <w:highlight w:val="none"/>
                    </w:rPr>
                  </w:pPr>
                  <w:r>
                    <w:rPr>
                      <w:rFonts w:hint="eastAsia"/>
                      <w:spacing w:val="-11"/>
                      <w:sz w:val="21"/>
                      <w:szCs w:val="21"/>
                      <w:highlight w:val="none"/>
                      <w:lang w:val="en-US" w:eastAsia="zh-CN"/>
                    </w:rPr>
                    <w:t>3.16</w:t>
                  </w:r>
                </w:p>
              </w:tc>
              <w:tc>
                <w:tcPr>
                  <w:tcW w:w="623" w:type="pct"/>
                  <w:vMerge w:val="restart"/>
                  <w:vAlign w:val="center"/>
                </w:tcPr>
                <w:p w14:paraId="60068D9D">
                  <w:pPr>
                    <w:spacing w:line="360" w:lineRule="exact"/>
                    <w:jc w:val="center"/>
                    <w:rPr>
                      <w:spacing w:val="-11"/>
                      <w:sz w:val="21"/>
                      <w:szCs w:val="21"/>
                    </w:rPr>
                  </w:pPr>
                  <w:r>
                    <w:rPr>
                      <w:spacing w:val="-11"/>
                      <w:sz w:val="21"/>
                      <w:szCs w:val="21"/>
                    </w:rPr>
                    <w:t>2.5mmPb</w:t>
                  </w:r>
                </w:p>
              </w:tc>
              <w:tc>
                <w:tcPr>
                  <w:tcW w:w="399" w:type="pct"/>
                  <w:vAlign w:val="center"/>
                </w:tcPr>
                <w:p w14:paraId="7673A6AF">
                  <w:pPr>
                    <w:spacing w:line="360" w:lineRule="exact"/>
                    <w:jc w:val="center"/>
                    <w:rPr>
                      <w:spacing w:val="-11"/>
                      <w:sz w:val="21"/>
                      <w:szCs w:val="21"/>
                    </w:rPr>
                  </w:pPr>
                  <w:r>
                    <w:rPr>
                      <w:spacing w:val="-11"/>
                      <w:sz w:val="21"/>
                      <w:szCs w:val="21"/>
                    </w:rPr>
                    <w:t>满足</w:t>
                  </w:r>
                </w:p>
              </w:tc>
            </w:tr>
            <w:tr w14:paraId="59E21A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continue"/>
                  <w:vAlign w:val="center"/>
                </w:tcPr>
                <w:p w14:paraId="065B7922">
                  <w:pPr>
                    <w:spacing w:line="360" w:lineRule="exact"/>
                    <w:jc w:val="center"/>
                    <w:rPr>
                      <w:spacing w:val="-11"/>
                      <w:sz w:val="21"/>
                      <w:szCs w:val="21"/>
                    </w:rPr>
                  </w:pPr>
                </w:p>
              </w:tc>
              <w:tc>
                <w:tcPr>
                  <w:tcW w:w="673" w:type="pct"/>
                  <w:vAlign w:val="center"/>
                </w:tcPr>
                <w:p w14:paraId="7E42AF84">
                  <w:pPr>
                    <w:spacing w:line="360" w:lineRule="exact"/>
                    <w:jc w:val="center"/>
                    <w:rPr>
                      <w:spacing w:val="-11"/>
                      <w:sz w:val="21"/>
                      <w:szCs w:val="21"/>
                    </w:rPr>
                  </w:pPr>
                  <w:r>
                    <w:rPr>
                      <w:spacing w:val="-11"/>
                      <w:sz w:val="21"/>
                      <w:szCs w:val="21"/>
                    </w:rPr>
                    <w:t>顶板</w:t>
                  </w:r>
                </w:p>
              </w:tc>
              <w:tc>
                <w:tcPr>
                  <w:tcW w:w="1756" w:type="pct"/>
                  <w:vAlign w:val="center"/>
                </w:tcPr>
                <w:p w14:paraId="5F54548F">
                  <w:pPr>
                    <w:spacing w:line="360" w:lineRule="exact"/>
                    <w:jc w:val="center"/>
                    <w:rPr>
                      <w:rFonts w:hint="default" w:eastAsia="宋体"/>
                      <w:spacing w:val="-11"/>
                      <w:sz w:val="21"/>
                      <w:szCs w:val="21"/>
                      <w:highlight w:val="none"/>
                      <w:lang w:val="en-US" w:eastAsia="zh-CN"/>
                    </w:rPr>
                  </w:pPr>
                  <w:r>
                    <w:rPr>
                      <w:rFonts w:hint="eastAsia"/>
                      <w:spacing w:val="-6"/>
                      <w:sz w:val="21"/>
                      <w:szCs w:val="21"/>
                      <w:highlight w:val="none"/>
                      <w:lang w:val="en-US" w:eastAsia="zh-CN"/>
                    </w:rPr>
                    <w:t>2</w:t>
                  </w:r>
                  <w:r>
                    <w:rPr>
                      <w:spacing w:val="-6"/>
                      <w:sz w:val="21"/>
                      <w:szCs w:val="21"/>
                      <w:highlight w:val="none"/>
                    </w:rPr>
                    <w:t>50mm混凝土</w:t>
                  </w:r>
                </w:p>
              </w:tc>
              <w:tc>
                <w:tcPr>
                  <w:tcW w:w="810" w:type="pct"/>
                  <w:vAlign w:val="center"/>
                </w:tcPr>
                <w:p w14:paraId="413CEAA9">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3.0</w:t>
                  </w:r>
                </w:p>
              </w:tc>
              <w:tc>
                <w:tcPr>
                  <w:tcW w:w="623" w:type="pct"/>
                  <w:vMerge w:val="continue"/>
                  <w:vAlign w:val="center"/>
                </w:tcPr>
                <w:p w14:paraId="590320C5">
                  <w:pPr>
                    <w:spacing w:line="360" w:lineRule="exact"/>
                    <w:jc w:val="center"/>
                    <w:rPr>
                      <w:spacing w:val="-11"/>
                      <w:sz w:val="21"/>
                      <w:szCs w:val="21"/>
                    </w:rPr>
                  </w:pPr>
                </w:p>
              </w:tc>
              <w:tc>
                <w:tcPr>
                  <w:tcW w:w="399" w:type="pct"/>
                  <w:vAlign w:val="center"/>
                </w:tcPr>
                <w:p w14:paraId="680D1B6D">
                  <w:pPr>
                    <w:spacing w:line="360" w:lineRule="exact"/>
                    <w:jc w:val="center"/>
                    <w:rPr>
                      <w:spacing w:val="-11"/>
                      <w:sz w:val="21"/>
                      <w:szCs w:val="21"/>
                    </w:rPr>
                  </w:pPr>
                  <w:r>
                    <w:rPr>
                      <w:spacing w:val="-11"/>
                      <w:sz w:val="21"/>
                      <w:szCs w:val="21"/>
                    </w:rPr>
                    <w:t>满足</w:t>
                  </w:r>
                </w:p>
              </w:tc>
            </w:tr>
            <w:tr w14:paraId="619CC9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continue"/>
                  <w:vAlign w:val="center"/>
                </w:tcPr>
                <w:p w14:paraId="520F90A3">
                  <w:pPr>
                    <w:spacing w:line="360" w:lineRule="exact"/>
                    <w:jc w:val="center"/>
                    <w:rPr>
                      <w:spacing w:val="-11"/>
                      <w:sz w:val="21"/>
                      <w:szCs w:val="21"/>
                    </w:rPr>
                  </w:pPr>
                </w:p>
              </w:tc>
              <w:tc>
                <w:tcPr>
                  <w:tcW w:w="673" w:type="pct"/>
                  <w:vAlign w:val="center"/>
                </w:tcPr>
                <w:p w14:paraId="3A2CA477">
                  <w:pPr>
                    <w:spacing w:line="360" w:lineRule="exact"/>
                    <w:jc w:val="center"/>
                    <w:rPr>
                      <w:spacing w:val="-11"/>
                      <w:sz w:val="21"/>
                      <w:szCs w:val="21"/>
                    </w:rPr>
                  </w:pPr>
                  <w:r>
                    <w:rPr>
                      <w:spacing w:val="-11"/>
                      <w:sz w:val="21"/>
                      <w:szCs w:val="21"/>
                    </w:rPr>
                    <w:t>底板</w:t>
                  </w:r>
                </w:p>
              </w:tc>
              <w:tc>
                <w:tcPr>
                  <w:tcW w:w="1756" w:type="pct"/>
                  <w:vAlign w:val="center"/>
                </w:tcPr>
                <w:p w14:paraId="030A874C">
                  <w:pPr>
                    <w:spacing w:line="360" w:lineRule="exact"/>
                    <w:jc w:val="center"/>
                    <w:rPr>
                      <w:spacing w:val="-11"/>
                      <w:sz w:val="21"/>
                      <w:szCs w:val="21"/>
                      <w:highlight w:val="none"/>
                    </w:rPr>
                  </w:pPr>
                  <w:r>
                    <w:rPr>
                      <w:rFonts w:hint="eastAsia"/>
                      <w:spacing w:val="-6"/>
                      <w:sz w:val="21"/>
                      <w:szCs w:val="21"/>
                      <w:highlight w:val="none"/>
                      <w:lang w:val="en-US" w:eastAsia="zh-CN"/>
                    </w:rPr>
                    <w:t>30</w:t>
                  </w:r>
                  <w:r>
                    <w:rPr>
                      <w:spacing w:val="-6"/>
                      <w:sz w:val="21"/>
                      <w:szCs w:val="21"/>
                      <w:highlight w:val="none"/>
                    </w:rPr>
                    <w:t>0mm混凝土</w:t>
                  </w:r>
                </w:p>
              </w:tc>
              <w:tc>
                <w:tcPr>
                  <w:tcW w:w="810" w:type="pct"/>
                  <w:vAlign w:val="center"/>
                </w:tcPr>
                <w:p w14:paraId="6AB8DA2E">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3.79</w:t>
                  </w:r>
                </w:p>
              </w:tc>
              <w:tc>
                <w:tcPr>
                  <w:tcW w:w="623" w:type="pct"/>
                  <w:vMerge w:val="continue"/>
                  <w:vAlign w:val="center"/>
                </w:tcPr>
                <w:p w14:paraId="5096F439">
                  <w:pPr>
                    <w:spacing w:line="360" w:lineRule="exact"/>
                    <w:jc w:val="center"/>
                    <w:rPr>
                      <w:spacing w:val="-11"/>
                      <w:sz w:val="21"/>
                      <w:szCs w:val="21"/>
                    </w:rPr>
                  </w:pPr>
                </w:p>
              </w:tc>
              <w:tc>
                <w:tcPr>
                  <w:tcW w:w="399" w:type="pct"/>
                  <w:vAlign w:val="center"/>
                </w:tcPr>
                <w:p w14:paraId="4A23FC8F">
                  <w:pPr>
                    <w:spacing w:line="360" w:lineRule="exact"/>
                    <w:jc w:val="center"/>
                    <w:rPr>
                      <w:spacing w:val="-11"/>
                      <w:sz w:val="21"/>
                      <w:szCs w:val="21"/>
                    </w:rPr>
                  </w:pPr>
                  <w:r>
                    <w:rPr>
                      <w:spacing w:val="-11"/>
                      <w:sz w:val="21"/>
                      <w:szCs w:val="21"/>
                    </w:rPr>
                    <w:t>满足</w:t>
                  </w:r>
                </w:p>
              </w:tc>
            </w:tr>
            <w:tr w14:paraId="1A195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continue"/>
                  <w:vAlign w:val="center"/>
                </w:tcPr>
                <w:p w14:paraId="56E0704A">
                  <w:pPr>
                    <w:spacing w:line="360" w:lineRule="exact"/>
                    <w:jc w:val="center"/>
                    <w:rPr>
                      <w:spacing w:val="-11"/>
                      <w:sz w:val="21"/>
                      <w:szCs w:val="21"/>
                    </w:rPr>
                  </w:pPr>
                </w:p>
              </w:tc>
              <w:tc>
                <w:tcPr>
                  <w:tcW w:w="673" w:type="pct"/>
                  <w:vAlign w:val="center"/>
                </w:tcPr>
                <w:p w14:paraId="7B40A5E3">
                  <w:pPr>
                    <w:spacing w:line="360" w:lineRule="exact"/>
                    <w:jc w:val="center"/>
                    <w:rPr>
                      <w:spacing w:val="-11"/>
                      <w:sz w:val="21"/>
                      <w:szCs w:val="21"/>
                    </w:rPr>
                  </w:pPr>
                  <w:r>
                    <w:rPr>
                      <w:spacing w:val="-11"/>
                      <w:sz w:val="21"/>
                      <w:szCs w:val="21"/>
                    </w:rPr>
                    <w:t>防护门</w:t>
                  </w:r>
                </w:p>
              </w:tc>
              <w:tc>
                <w:tcPr>
                  <w:tcW w:w="1756" w:type="pct"/>
                  <w:vAlign w:val="center"/>
                </w:tcPr>
                <w:p w14:paraId="7A2901F4">
                  <w:pPr>
                    <w:widowControl/>
                    <w:spacing w:line="360" w:lineRule="exact"/>
                    <w:jc w:val="center"/>
                    <w:rPr>
                      <w:spacing w:val="-11"/>
                      <w:sz w:val="21"/>
                      <w:szCs w:val="21"/>
                      <w:highlight w:val="none"/>
                    </w:rPr>
                  </w:pPr>
                  <w:r>
                    <w:rPr>
                      <w:rFonts w:hint="eastAsia"/>
                      <w:spacing w:val="-11"/>
                      <w:sz w:val="21"/>
                      <w:szCs w:val="21"/>
                      <w:highlight w:val="none"/>
                      <w:lang w:val="en-US" w:eastAsia="zh-CN"/>
                    </w:rPr>
                    <w:t>2扇，均为</w:t>
                  </w:r>
                  <w:r>
                    <w:rPr>
                      <w:spacing w:val="-11"/>
                      <w:sz w:val="21"/>
                      <w:szCs w:val="21"/>
                      <w:highlight w:val="none"/>
                    </w:rPr>
                    <w:t>8mm铅</w:t>
                  </w:r>
                </w:p>
              </w:tc>
              <w:tc>
                <w:tcPr>
                  <w:tcW w:w="810" w:type="pct"/>
                  <w:vAlign w:val="center"/>
                </w:tcPr>
                <w:p w14:paraId="123CDDA9">
                  <w:pPr>
                    <w:spacing w:line="360" w:lineRule="exact"/>
                    <w:jc w:val="center"/>
                    <w:rPr>
                      <w:spacing w:val="-11"/>
                      <w:sz w:val="21"/>
                      <w:szCs w:val="21"/>
                      <w:highlight w:val="none"/>
                    </w:rPr>
                  </w:pPr>
                  <w:r>
                    <w:rPr>
                      <w:spacing w:val="-11"/>
                      <w:sz w:val="21"/>
                      <w:szCs w:val="21"/>
                      <w:highlight w:val="none"/>
                    </w:rPr>
                    <w:t>8</w:t>
                  </w:r>
                  <w:r>
                    <w:rPr>
                      <w:rFonts w:hint="eastAsia"/>
                      <w:spacing w:val="-11"/>
                      <w:sz w:val="21"/>
                      <w:szCs w:val="21"/>
                      <w:highlight w:val="none"/>
                      <w:lang w:val="en-US" w:eastAsia="zh-CN"/>
                    </w:rPr>
                    <w:t>.0</w:t>
                  </w:r>
                </w:p>
              </w:tc>
              <w:tc>
                <w:tcPr>
                  <w:tcW w:w="623" w:type="pct"/>
                  <w:vMerge w:val="continue"/>
                  <w:vAlign w:val="center"/>
                </w:tcPr>
                <w:p w14:paraId="44106526">
                  <w:pPr>
                    <w:spacing w:line="360" w:lineRule="exact"/>
                    <w:jc w:val="center"/>
                    <w:rPr>
                      <w:spacing w:val="-11"/>
                      <w:sz w:val="21"/>
                      <w:szCs w:val="21"/>
                    </w:rPr>
                  </w:pPr>
                </w:p>
              </w:tc>
              <w:tc>
                <w:tcPr>
                  <w:tcW w:w="399" w:type="pct"/>
                  <w:vAlign w:val="center"/>
                </w:tcPr>
                <w:p w14:paraId="44054AF5">
                  <w:pPr>
                    <w:spacing w:line="360" w:lineRule="exact"/>
                    <w:jc w:val="center"/>
                    <w:rPr>
                      <w:spacing w:val="-11"/>
                      <w:sz w:val="21"/>
                      <w:szCs w:val="21"/>
                    </w:rPr>
                  </w:pPr>
                  <w:r>
                    <w:rPr>
                      <w:spacing w:val="-11"/>
                      <w:sz w:val="21"/>
                      <w:szCs w:val="21"/>
                    </w:rPr>
                    <w:t>满足</w:t>
                  </w:r>
                </w:p>
              </w:tc>
            </w:tr>
            <w:tr w14:paraId="0BE389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continue"/>
                  <w:vAlign w:val="center"/>
                </w:tcPr>
                <w:p w14:paraId="22C526C9">
                  <w:pPr>
                    <w:spacing w:line="360" w:lineRule="exact"/>
                    <w:jc w:val="center"/>
                    <w:rPr>
                      <w:spacing w:val="-11"/>
                      <w:sz w:val="21"/>
                      <w:szCs w:val="21"/>
                    </w:rPr>
                  </w:pPr>
                </w:p>
              </w:tc>
              <w:tc>
                <w:tcPr>
                  <w:tcW w:w="673" w:type="pct"/>
                  <w:vAlign w:val="center"/>
                </w:tcPr>
                <w:p w14:paraId="006DB781">
                  <w:pPr>
                    <w:spacing w:line="360" w:lineRule="exact"/>
                    <w:jc w:val="center"/>
                    <w:rPr>
                      <w:spacing w:val="-11"/>
                      <w:sz w:val="21"/>
                      <w:szCs w:val="21"/>
                    </w:rPr>
                  </w:pPr>
                  <w:r>
                    <w:rPr>
                      <w:spacing w:val="-11"/>
                      <w:sz w:val="21"/>
                      <w:szCs w:val="21"/>
                    </w:rPr>
                    <w:t>观察窗</w:t>
                  </w:r>
                </w:p>
              </w:tc>
              <w:tc>
                <w:tcPr>
                  <w:tcW w:w="1756" w:type="pct"/>
                  <w:vAlign w:val="center"/>
                </w:tcPr>
                <w:p w14:paraId="0C25721C">
                  <w:pPr>
                    <w:widowControl/>
                    <w:spacing w:line="360" w:lineRule="exact"/>
                    <w:jc w:val="center"/>
                    <w:rPr>
                      <w:spacing w:val="-11"/>
                      <w:sz w:val="21"/>
                      <w:szCs w:val="21"/>
                      <w:highlight w:val="none"/>
                    </w:rPr>
                  </w:pPr>
                  <w:r>
                    <w:rPr>
                      <w:rFonts w:hint="eastAsia"/>
                      <w:spacing w:val="-11"/>
                      <w:sz w:val="21"/>
                      <w:szCs w:val="21"/>
                      <w:highlight w:val="none"/>
                      <w:lang w:val="en-US" w:eastAsia="zh-CN"/>
                    </w:rPr>
                    <w:t>8</w:t>
                  </w:r>
                  <w:r>
                    <w:rPr>
                      <w:spacing w:val="-11"/>
                      <w:sz w:val="21"/>
                      <w:szCs w:val="21"/>
                      <w:highlight w:val="none"/>
                    </w:rPr>
                    <w:t>mm铅当量</w:t>
                  </w:r>
                </w:p>
              </w:tc>
              <w:tc>
                <w:tcPr>
                  <w:tcW w:w="810" w:type="pct"/>
                  <w:vAlign w:val="center"/>
                </w:tcPr>
                <w:p w14:paraId="13975007">
                  <w:pPr>
                    <w:spacing w:line="360" w:lineRule="exact"/>
                    <w:jc w:val="center"/>
                    <w:rPr>
                      <w:spacing w:val="-11"/>
                      <w:sz w:val="21"/>
                      <w:szCs w:val="21"/>
                      <w:highlight w:val="none"/>
                    </w:rPr>
                  </w:pPr>
                  <w:r>
                    <w:rPr>
                      <w:rFonts w:hint="eastAsia"/>
                      <w:spacing w:val="-11"/>
                      <w:sz w:val="21"/>
                      <w:szCs w:val="21"/>
                      <w:highlight w:val="none"/>
                      <w:lang w:val="en-US" w:eastAsia="zh-CN"/>
                    </w:rPr>
                    <w:t>8.0</w:t>
                  </w:r>
                </w:p>
              </w:tc>
              <w:tc>
                <w:tcPr>
                  <w:tcW w:w="623" w:type="pct"/>
                  <w:vMerge w:val="continue"/>
                  <w:vAlign w:val="center"/>
                </w:tcPr>
                <w:p w14:paraId="2EE5CFD5">
                  <w:pPr>
                    <w:spacing w:line="360" w:lineRule="exact"/>
                    <w:jc w:val="center"/>
                    <w:rPr>
                      <w:spacing w:val="-11"/>
                      <w:sz w:val="21"/>
                      <w:szCs w:val="21"/>
                    </w:rPr>
                  </w:pPr>
                </w:p>
              </w:tc>
              <w:tc>
                <w:tcPr>
                  <w:tcW w:w="399" w:type="pct"/>
                  <w:vAlign w:val="center"/>
                </w:tcPr>
                <w:p w14:paraId="4162F1D0">
                  <w:pPr>
                    <w:spacing w:line="360" w:lineRule="exact"/>
                    <w:jc w:val="center"/>
                    <w:rPr>
                      <w:spacing w:val="-11"/>
                      <w:sz w:val="21"/>
                      <w:szCs w:val="21"/>
                    </w:rPr>
                  </w:pPr>
                  <w:r>
                    <w:rPr>
                      <w:spacing w:val="-11"/>
                      <w:sz w:val="21"/>
                      <w:szCs w:val="21"/>
                    </w:rPr>
                    <w:t>满足</w:t>
                  </w:r>
                </w:p>
              </w:tc>
            </w:tr>
            <w:tr w14:paraId="4697F4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restart"/>
                  <w:vAlign w:val="center"/>
                </w:tcPr>
                <w:p w14:paraId="78AB39DA">
                  <w:pPr>
                    <w:spacing w:line="360" w:lineRule="exact"/>
                    <w:jc w:val="center"/>
                    <w:rPr>
                      <w:spacing w:val="-11"/>
                      <w:sz w:val="21"/>
                      <w:szCs w:val="21"/>
                    </w:rPr>
                  </w:pPr>
                  <w:r>
                    <w:rPr>
                      <w:spacing w:val="-11"/>
                      <w:sz w:val="21"/>
                      <w:szCs w:val="21"/>
                    </w:rPr>
                    <w:t>SPECT/CT机房</w:t>
                  </w:r>
                </w:p>
              </w:tc>
              <w:tc>
                <w:tcPr>
                  <w:tcW w:w="673" w:type="pct"/>
                  <w:vAlign w:val="center"/>
                </w:tcPr>
                <w:p w14:paraId="5BD76830">
                  <w:pPr>
                    <w:spacing w:line="360" w:lineRule="exact"/>
                    <w:jc w:val="center"/>
                    <w:rPr>
                      <w:spacing w:val="-11"/>
                      <w:sz w:val="21"/>
                      <w:szCs w:val="21"/>
                    </w:rPr>
                  </w:pPr>
                  <w:r>
                    <w:rPr>
                      <w:spacing w:val="-11"/>
                      <w:sz w:val="21"/>
                      <w:szCs w:val="21"/>
                    </w:rPr>
                    <w:t>四面墙体</w:t>
                  </w:r>
                </w:p>
              </w:tc>
              <w:tc>
                <w:tcPr>
                  <w:tcW w:w="1756" w:type="pct"/>
                  <w:vAlign w:val="center"/>
                </w:tcPr>
                <w:p w14:paraId="71C4ED59">
                  <w:pPr>
                    <w:spacing w:line="360" w:lineRule="exact"/>
                    <w:jc w:val="center"/>
                    <w:rPr>
                      <w:spacing w:val="-11"/>
                      <w:sz w:val="21"/>
                      <w:szCs w:val="21"/>
                      <w:highlight w:val="none"/>
                    </w:rPr>
                  </w:pPr>
                  <w:r>
                    <w:rPr>
                      <w:spacing w:val="-11"/>
                      <w:sz w:val="21"/>
                      <w:szCs w:val="21"/>
                      <w:highlight w:val="none"/>
                    </w:rPr>
                    <w:t>370mm实心砖</w:t>
                  </w:r>
                </w:p>
              </w:tc>
              <w:tc>
                <w:tcPr>
                  <w:tcW w:w="810" w:type="pct"/>
                  <w:vAlign w:val="center"/>
                </w:tcPr>
                <w:p w14:paraId="2AD26F76">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3.16</w:t>
                  </w:r>
                </w:p>
              </w:tc>
              <w:tc>
                <w:tcPr>
                  <w:tcW w:w="623" w:type="pct"/>
                  <w:vMerge w:val="restart"/>
                  <w:vAlign w:val="center"/>
                </w:tcPr>
                <w:p w14:paraId="660ACCB8">
                  <w:pPr>
                    <w:spacing w:line="360" w:lineRule="exact"/>
                    <w:jc w:val="center"/>
                    <w:rPr>
                      <w:spacing w:val="-11"/>
                      <w:sz w:val="21"/>
                      <w:szCs w:val="21"/>
                    </w:rPr>
                  </w:pPr>
                  <w:r>
                    <w:rPr>
                      <w:spacing w:val="-11"/>
                      <w:sz w:val="21"/>
                      <w:szCs w:val="21"/>
                    </w:rPr>
                    <w:t>2.5mmPb</w:t>
                  </w:r>
                </w:p>
              </w:tc>
              <w:tc>
                <w:tcPr>
                  <w:tcW w:w="399" w:type="pct"/>
                  <w:vAlign w:val="center"/>
                </w:tcPr>
                <w:p w14:paraId="475C9A4A">
                  <w:pPr>
                    <w:spacing w:line="360" w:lineRule="exact"/>
                    <w:jc w:val="center"/>
                    <w:rPr>
                      <w:spacing w:val="-11"/>
                      <w:sz w:val="21"/>
                      <w:szCs w:val="21"/>
                    </w:rPr>
                  </w:pPr>
                  <w:r>
                    <w:rPr>
                      <w:spacing w:val="-11"/>
                      <w:sz w:val="21"/>
                      <w:szCs w:val="21"/>
                    </w:rPr>
                    <w:t>满足</w:t>
                  </w:r>
                </w:p>
              </w:tc>
            </w:tr>
            <w:tr w14:paraId="75AE54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continue"/>
                  <w:vAlign w:val="center"/>
                </w:tcPr>
                <w:p w14:paraId="4E994595">
                  <w:pPr>
                    <w:spacing w:line="360" w:lineRule="exact"/>
                    <w:jc w:val="center"/>
                    <w:rPr>
                      <w:spacing w:val="-11"/>
                      <w:sz w:val="21"/>
                      <w:szCs w:val="21"/>
                    </w:rPr>
                  </w:pPr>
                </w:p>
              </w:tc>
              <w:tc>
                <w:tcPr>
                  <w:tcW w:w="673" w:type="pct"/>
                  <w:vAlign w:val="center"/>
                </w:tcPr>
                <w:p w14:paraId="690F3EAB">
                  <w:pPr>
                    <w:spacing w:line="360" w:lineRule="exact"/>
                    <w:jc w:val="center"/>
                    <w:rPr>
                      <w:spacing w:val="-11"/>
                      <w:sz w:val="21"/>
                      <w:szCs w:val="21"/>
                    </w:rPr>
                  </w:pPr>
                  <w:r>
                    <w:rPr>
                      <w:spacing w:val="-11"/>
                      <w:sz w:val="21"/>
                      <w:szCs w:val="21"/>
                    </w:rPr>
                    <w:t>顶板</w:t>
                  </w:r>
                </w:p>
              </w:tc>
              <w:tc>
                <w:tcPr>
                  <w:tcW w:w="1756" w:type="pct"/>
                  <w:vAlign w:val="center"/>
                </w:tcPr>
                <w:p w14:paraId="08E40249">
                  <w:pPr>
                    <w:spacing w:line="360" w:lineRule="exact"/>
                    <w:jc w:val="center"/>
                    <w:rPr>
                      <w:spacing w:val="-11"/>
                      <w:sz w:val="21"/>
                      <w:szCs w:val="21"/>
                      <w:highlight w:val="none"/>
                    </w:rPr>
                  </w:pPr>
                  <w:r>
                    <w:rPr>
                      <w:rFonts w:hint="eastAsia"/>
                      <w:spacing w:val="-6"/>
                      <w:sz w:val="21"/>
                      <w:szCs w:val="21"/>
                      <w:highlight w:val="none"/>
                      <w:lang w:val="en-US" w:eastAsia="zh-CN"/>
                    </w:rPr>
                    <w:t>2</w:t>
                  </w:r>
                  <w:r>
                    <w:rPr>
                      <w:spacing w:val="-6"/>
                      <w:sz w:val="21"/>
                      <w:szCs w:val="21"/>
                      <w:highlight w:val="none"/>
                    </w:rPr>
                    <w:t>50mm混凝土</w:t>
                  </w:r>
                </w:p>
              </w:tc>
              <w:tc>
                <w:tcPr>
                  <w:tcW w:w="810" w:type="pct"/>
                  <w:vAlign w:val="center"/>
                </w:tcPr>
                <w:p w14:paraId="2E386E08">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3.0</w:t>
                  </w:r>
                </w:p>
              </w:tc>
              <w:tc>
                <w:tcPr>
                  <w:tcW w:w="623" w:type="pct"/>
                  <w:vMerge w:val="continue"/>
                  <w:vAlign w:val="center"/>
                </w:tcPr>
                <w:p w14:paraId="45E1F5A2">
                  <w:pPr>
                    <w:spacing w:line="360" w:lineRule="exact"/>
                    <w:jc w:val="center"/>
                    <w:rPr>
                      <w:spacing w:val="-11"/>
                      <w:sz w:val="21"/>
                      <w:szCs w:val="21"/>
                    </w:rPr>
                  </w:pPr>
                </w:p>
              </w:tc>
              <w:tc>
                <w:tcPr>
                  <w:tcW w:w="399" w:type="pct"/>
                  <w:vAlign w:val="center"/>
                </w:tcPr>
                <w:p w14:paraId="089921B2">
                  <w:pPr>
                    <w:spacing w:line="360" w:lineRule="exact"/>
                    <w:jc w:val="center"/>
                    <w:rPr>
                      <w:spacing w:val="-11"/>
                      <w:sz w:val="21"/>
                      <w:szCs w:val="21"/>
                    </w:rPr>
                  </w:pPr>
                  <w:r>
                    <w:rPr>
                      <w:spacing w:val="-11"/>
                      <w:sz w:val="21"/>
                      <w:szCs w:val="21"/>
                    </w:rPr>
                    <w:t>满足</w:t>
                  </w:r>
                </w:p>
              </w:tc>
            </w:tr>
            <w:tr w14:paraId="78B58F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continue"/>
                  <w:vAlign w:val="center"/>
                </w:tcPr>
                <w:p w14:paraId="3BFEADD9">
                  <w:pPr>
                    <w:spacing w:line="360" w:lineRule="exact"/>
                    <w:jc w:val="center"/>
                    <w:rPr>
                      <w:spacing w:val="-11"/>
                      <w:sz w:val="21"/>
                      <w:szCs w:val="21"/>
                    </w:rPr>
                  </w:pPr>
                </w:p>
              </w:tc>
              <w:tc>
                <w:tcPr>
                  <w:tcW w:w="673" w:type="pct"/>
                  <w:vAlign w:val="center"/>
                </w:tcPr>
                <w:p w14:paraId="34602C22">
                  <w:pPr>
                    <w:spacing w:line="360" w:lineRule="exact"/>
                    <w:jc w:val="center"/>
                    <w:rPr>
                      <w:spacing w:val="-11"/>
                      <w:sz w:val="21"/>
                      <w:szCs w:val="21"/>
                    </w:rPr>
                  </w:pPr>
                  <w:r>
                    <w:rPr>
                      <w:spacing w:val="-11"/>
                      <w:sz w:val="21"/>
                      <w:szCs w:val="21"/>
                    </w:rPr>
                    <w:t>底板</w:t>
                  </w:r>
                </w:p>
              </w:tc>
              <w:tc>
                <w:tcPr>
                  <w:tcW w:w="1756" w:type="pct"/>
                  <w:vAlign w:val="center"/>
                </w:tcPr>
                <w:p w14:paraId="6889E712">
                  <w:pPr>
                    <w:spacing w:line="360" w:lineRule="exact"/>
                    <w:jc w:val="center"/>
                    <w:rPr>
                      <w:spacing w:val="-11"/>
                      <w:sz w:val="21"/>
                      <w:szCs w:val="21"/>
                      <w:highlight w:val="none"/>
                    </w:rPr>
                  </w:pPr>
                  <w:r>
                    <w:rPr>
                      <w:rFonts w:hint="eastAsia"/>
                      <w:spacing w:val="-6"/>
                      <w:sz w:val="21"/>
                      <w:szCs w:val="21"/>
                      <w:highlight w:val="none"/>
                      <w:lang w:val="en-US" w:eastAsia="zh-CN"/>
                    </w:rPr>
                    <w:t>2</w:t>
                  </w:r>
                  <w:r>
                    <w:rPr>
                      <w:spacing w:val="-6"/>
                      <w:sz w:val="21"/>
                      <w:szCs w:val="21"/>
                      <w:highlight w:val="none"/>
                    </w:rPr>
                    <w:t>50mm混凝土</w:t>
                  </w:r>
                </w:p>
              </w:tc>
              <w:tc>
                <w:tcPr>
                  <w:tcW w:w="810" w:type="pct"/>
                  <w:vAlign w:val="center"/>
                </w:tcPr>
                <w:p w14:paraId="0D728BC3">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3.0</w:t>
                  </w:r>
                </w:p>
              </w:tc>
              <w:tc>
                <w:tcPr>
                  <w:tcW w:w="623" w:type="pct"/>
                  <w:vMerge w:val="continue"/>
                  <w:vAlign w:val="center"/>
                </w:tcPr>
                <w:p w14:paraId="7E6872BB">
                  <w:pPr>
                    <w:spacing w:line="360" w:lineRule="exact"/>
                    <w:jc w:val="center"/>
                    <w:rPr>
                      <w:spacing w:val="-11"/>
                      <w:sz w:val="21"/>
                      <w:szCs w:val="21"/>
                    </w:rPr>
                  </w:pPr>
                </w:p>
              </w:tc>
              <w:tc>
                <w:tcPr>
                  <w:tcW w:w="399" w:type="pct"/>
                  <w:vAlign w:val="center"/>
                </w:tcPr>
                <w:p w14:paraId="0806674C">
                  <w:pPr>
                    <w:spacing w:line="360" w:lineRule="exact"/>
                    <w:jc w:val="center"/>
                    <w:rPr>
                      <w:spacing w:val="-11"/>
                      <w:sz w:val="21"/>
                      <w:szCs w:val="21"/>
                    </w:rPr>
                  </w:pPr>
                  <w:r>
                    <w:rPr>
                      <w:spacing w:val="-11"/>
                      <w:sz w:val="21"/>
                      <w:szCs w:val="21"/>
                    </w:rPr>
                    <w:t>满足</w:t>
                  </w:r>
                </w:p>
              </w:tc>
            </w:tr>
            <w:tr w14:paraId="38B633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6" w:type="pct"/>
                  <w:vMerge w:val="continue"/>
                  <w:vAlign w:val="center"/>
                </w:tcPr>
                <w:p w14:paraId="68578020">
                  <w:pPr>
                    <w:spacing w:line="360" w:lineRule="exact"/>
                    <w:jc w:val="center"/>
                    <w:rPr>
                      <w:spacing w:val="-11"/>
                      <w:sz w:val="21"/>
                      <w:szCs w:val="21"/>
                    </w:rPr>
                  </w:pPr>
                </w:p>
              </w:tc>
              <w:tc>
                <w:tcPr>
                  <w:tcW w:w="673" w:type="pct"/>
                  <w:vAlign w:val="center"/>
                </w:tcPr>
                <w:p w14:paraId="7FDB363F">
                  <w:pPr>
                    <w:spacing w:line="360" w:lineRule="exact"/>
                    <w:jc w:val="center"/>
                    <w:rPr>
                      <w:spacing w:val="-11"/>
                      <w:sz w:val="21"/>
                      <w:szCs w:val="21"/>
                    </w:rPr>
                  </w:pPr>
                  <w:r>
                    <w:rPr>
                      <w:spacing w:val="-11"/>
                      <w:sz w:val="21"/>
                      <w:szCs w:val="21"/>
                    </w:rPr>
                    <w:t>防护门</w:t>
                  </w:r>
                </w:p>
              </w:tc>
              <w:tc>
                <w:tcPr>
                  <w:tcW w:w="1756" w:type="pct"/>
                  <w:vAlign w:val="center"/>
                </w:tcPr>
                <w:p w14:paraId="17BCFAF0">
                  <w:pPr>
                    <w:spacing w:line="360" w:lineRule="exact"/>
                    <w:jc w:val="center"/>
                    <w:rPr>
                      <w:spacing w:val="-11"/>
                      <w:sz w:val="21"/>
                      <w:szCs w:val="21"/>
                      <w:highlight w:val="none"/>
                    </w:rPr>
                  </w:pPr>
                  <w:r>
                    <w:rPr>
                      <w:rFonts w:hint="eastAsia"/>
                      <w:spacing w:val="-11"/>
                      <w:sz w:val="21"/>
                      <w:szCs w:val="21"/>
                      <w:highlight w:val="none"/>
                      <w:lang w:val="en-US" w:eastAsia="zh-CN"/>
                    </w:rPr>
                    <w:t>2扇，均为3</w:t>
                  </w:r>
                  <w:r>
                    <w:rPr>
                      <w:spacing w:val="-11"/>
                      <w:sz w:val="21"/>
                      <w:szCs w:val="21"/>
                      <w:highlight w:val="none"/>
                    </w:rPr>
                    <w:t>mm铅</w:t>
                  </w:r>
                </w:p>
              </w:tc>
              <w:tc>
                <w:tcPr>
                  <w:tcW w:w="810" w:type="pct"/>
                  <w:vAlign w:val="center"/>
                </w:tcPr>
                <w:p w14:paraId="47F379F7">
                  <w:pPr>
                    <w:spacing w:line="360" w:lineRule="exact"/>
                    <w:jc w:val="center"/>
                    <w:rPr>
                      <w:spacing w:val="-11"/>
                      <w:sz w:val="21"/>
                      <w:szCs w:val="21"/>
                      <w:highlight w:val="none"/>
                    </w:rPr>
                  </w:pPr>
                  <w:r>
                    <w:rPr>
                      <w:rFonts w:hint="eastAsia"/>
                      <w:spacing w:val="-11"/>
                      <w:sz w:val="21"/>
                      <w:szCs w:val="21"/>
                      <w:highlight w:val="none"/>
                      <w:lang w:val="en-US" w:eastAsia="zh-CN"/>
                    </w:rPr>
                    <w:t>3.0</w:t>
                  </w:r>
                </w:p>
              </w:tc>
              <w:tc>
                <w:tcPr>
                  <w:tcW w:w="623" w:type="pct"/>
                  <w:vMerge w:val="continue"/>
                  <w:vAlign w:val="center"/>
                </w:tcPr>
                <w:p w14:paraId="629ADC15">
                  <w:pPr>
                    <w:spacing w:line="360" w:lineRule="exact"/>
                    <w:jc w:val="center"/>
                    <w:rPr>
                      <w:spacing w:val="-11"/>
                      <w:sz w:val="21"/>
                      <w:szCs w:val="21"/>
                    </w:rPr>
                  </w:pPr>
                </w:p>
              </w:tc>
              <w:tc>
                <w:tcPr>
                  <w:tcW w:w="399" w:type="pct"/>
                  <w:vAlign w:val="center"/>
                </w:tcPr>
                <w:p w14:paraId="69FA0C49">
                  <w:pPr>
                    <w:spacing w:line="360" w:lineRule="exact"/>
                    <w:jc w:val="center"/>
                    <w:rPr>
                      <w:spacing w:val="-11"/>
                      <w:sz w:val="21"/>
                      <w:szCs w:val="21"/>
                    </w:rPr>
                  </w:pPr>
                  <w:r>
                    <w:rPr>
                      <w:spacing w:val="-11"/>
                      <w:sz w:val="21"/>
                      <w:szCs w:val="21"/>
                    </w:rPr>
                    <w:t>满足</w:t>
                  </w:r>
                </w:p>
              </w:tc>
            </w:tr>
            <w:tr w14:paraId="5CE9F9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40E73234">
                  <w:pPr>
                    <w:spacing w:line="360" w:lineRule="exact"/>
                    <w:jc w:val="center"/>
                    <w:rPr>
                      <w:spacing w:val="-11"/>
                      <w:sz w:val="21"/>
                      <w:szCs w:val="21"/>
                    </w:rPr>
                  </w:pPr>
                </w:p>
              </w:tc>
              <w:tc>
                <w:tcPr>
                  <w:tcW w:w="673" w:type="pct"/>
                  <w:vAlign w:val="center"/>
                </w:tcPr>
                <w:p w14:paraId="007DCDC3">
                  <w:pPr>
                    <w:spacing w:line="360" w:lineRule="exact"/>
                    <w:jc w:val="center"/>
                    <w:rPr>
                      <w:spacing w:val="-11"/>
                      <w:sz w:val="21"/>
                      <w:szCs w:val="21"/>
                    </w:rPr>
                  </w:pPr>
                  <w:r>
                    <w:rPr>
                      <w:spacing w:val="-11"/>
                      <w:sz w:val="21"/>
                      <w:szCs w:val="21"/>
                    </w:rPr>
                    <w:t>观察窗</w:t>
                  </w:r>
                </w:p>
              </w:tc>
              <w:tc>
                <w:tcPr>
                  <w:tcW w:w="1756" w:type="pct"/>
                  <w:vAlign w:val="center"/>
                </w:tcPr>
                <w:p w14:paraId="754B4F49">
                  <w:pPr>
                    <w:spacing w:line="360" w:lineRule="exact"/>
                    <w:jc w:val="center"/>
                    <w:rPr>
                      <w:spacing w:val="-11"/>
                      <w:sz w:val="21"/>
                      <w:szCs w:val="21"/>
                      <w:highlight w:val="none"/>
                    </w:rPr>
                  </w:pPr>
                  <w:r>
                    <w:rPr>
                      <w:rFonts w:hint="eastAsia"/>
                      <w:spacing w:val="-11"/>
                      <w:sz w:val="21"/>
                      <w:szCs w:val="21"/>
                      <w:highlight w:val="none"/>
                      <w:lang w:val="en-US" w:eastAsia="zh-CN"/>
                    </w:rPr>
                    <w:t>3</w:t>
                  </w:r>
                  <w:r>
                    <w:rPr>
                      <w:spacing w:val="-11"/>
                      <w:sz w:val="21"/>
                      <w:szCs w:val="21"/>
                      <w:highlight w:val="none"/>
                    </w:rPr>
                    <w:t>mm铅当量</w:t>
                  </w:r>
                </w:p>
              </w:tc>
              <w:tc>
                <w:tcPr>
                  <w:tcW w:w="810" w:type="pct"/>
                  <w:vAlign w:val="center"/>
                </w:tcPr>
                <w:p w14:paraId="652D8C1E">
                  <w:pPr>
                    <w:spacing w:line="360" w:lineRule="exact"/>
                    <w:jc w:val="center"/>
                    <w:rPr>
                      <w:spacing w:val="-11"/>
                      <w:sz w:val="21"/>
                      <w:szCs w:val="21"/>
                      <w:highlight w:val="none"/>
                    </w:rPr>
                  </w:pPr>
                  <w:r>
                    <w:rPr>
                      <w:rFonts w:hint="eastAsia"/>
                      <w:spacing w:val="-11"/>
                      <w:sz w:val="21"/>
                      <w:szCs w:val="21"/>
                      <w:highlight w:val="none"/>
                      <w:lang w:val="en-US" w:eastAsia="zh-CN"/>
                    </w:rPr>
                    <w:t>3.0</w:t>
                  </w:r>
                </w:p>
              </w:tc>
              <w:tc>
                <w:tcPr>
                  <w:tcW w:w="623" w:type="pct"/>
                  <w:vMerge w:val="continue"/>
                  <w:vAlign w:val="center"/>
                </w:tcPr>
                <w:p w14:paraId="1F655628">
                  <w:pPr>
                    <w:spacing w:line="360" w:lineRule="exact"/>
                    <w:jc w:val="center"/>
                    <w:rPr>
                      <w:spacing w:val="-11"/>
                      <w:sz w:val="21"/>
                      <w:szCs w:val="21"/>
                    </w:rPr>
                  </w:pPr>
                </w:p>
              </w:tc>
              <w:tc>
                <w:tcPr>
                  <w:tcW w:w="399" w:type="pct"/>
                  <w:vAlign w:val="center"/>
                </w:tcPr>
                <w:p w14:paraId="0DA70EA8">
                  <w:pPr>
                    <w:spacing w:line="360" w:lineRule="exact"/>
                    <w:jc w:val="center"/>
                    <w:rPr>
                      <w:spacing w:val="-11"/>
                      <w:sz w:val="21"/>
                      <w:szCs w:val="21"/>
                    </w:rPr>
                  </w:pPr>
                  <w:r>
                    <w:rPr>
                      <w:spacing w:val="-11"/>
                      <w:sz w:val="21"/>
                      <w:szCs w:val="21"/>
                    </w:rPr>
                    <w:t>满足</w:t>
                  </w:r>
                </w:p>
              </w:tc>
            </w:tr>
            <w:tr w14:paraId="2B9853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restart"/>
                  <w:vAlign w:val="center"/>
                </w:tcPr>
                <w:p w14:paraId="61458AC4">
                  <w:pPr>
                    <w:spacing w:line="360" w:lineRule="exact"/>
                    <w:jc w:val="center"/>
                    <w:rPr>
                      <w:rFonts w:hint="default" w:eastAsia="宋体"/>
                      <w:spacing w:val="-11"/>
                      <w:sz w:val="21"/>
                      <w:szCs w:val="21"/>
                      <w:lang w:val="en-US" w:eastAsia="zh-CN"/>
                    </w:rPr>
                  </w:pPr>
                  <w:r>
                    <w:rPr>
                      <w:rFonts w:hint="eastAsia"/>
                      <w:spacing w:val="-11"/>
                      <w:sz w:val="21"/>
                      <w:szCs w:val="21"/>
                      <w:lang w:val="en-US" w:eastAsia="zh-CN"/>
                    </w:rPr>
                    <w:t>DSA+CT复合手术室</w:t>
                  </w:r>
                </w:p>
              </w:tc>
              <w:tc>
                <w:tcPr>
                  <w:tcW w:w="673" w:type="pct"/>
                  <w:shd w:val="clear" w:color="auto" w:fill="auto"/>
                  <w:vAlign w:val="center"/>
                </w:tcPr>
                <w:p w14:paraId="6287099F">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四面墙体</w:t>
                  </w:r>
                </w:p>
              </w:tc>
              <w:tc>
                <w:tcPr>
                  <w:tcW w:w="1756" w:type="pct"/>
                  <w:vAlign w:val="center"/>
                </w:tcPr>
                <w:p w14:paraId="6288240A">
                  <w:pPr>
                    <w:spacing w:line="360" w:lineRule="exact"/>
                    <w:jc w:val="center"/>
                    <w:rPr>
                      <w:rFonts w:hint="default" w:eastAsia="宋体"/>
                      <w:spacing w:val="-11"/>
                      <w:sz w:val="21"/>
                      <w:szCs w:val="21"/>
                      <w:highlight w:val="yellow"/>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810" w:type="pct"/>
                  <w:shd w:val="clear" w:color="auto" w:fill="auto"/>
                  <w:vAlign w:val="center"/>
                </w:tcPr>
                <w:p w14:paraId="43EABB01">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3.50</w:t>
                  </w:r>
                </w:p>
              </w:tc>
              <w:tc>
                <w:tcPr>
                  <w:tcW w:w="623" w:type="pct"/>
                  <w:vMerge w:val="restart"/>
                  <w:vAlign w:val="center"/>
                </w:tcPr>
                <w:p w14:paraId="12465AB9">
                  <w:pPr>
                    <w:spacing w:line="360" w:lineRule="exact"/>
                    <w:jc w:val="center"/>
                    <w:rPr>
                      <w:spacing w:val="-11"/>
                      <w:sz w:val="21"/>
                      <w:szCs w:val="21"/>
                    </w:rPr>
                  </w:pPr>
                  <w:r>
                    <w:rPr>
                      <w:spacing w:val="-11"/>
                      <w:sz w:val="21"/>
                      <w:szCs w:val="21"/>
                    </w:rPr>
                    <w:t>2.5mmPb</w:t>
                  </w:r>
                </w:p>
              </w:tc>
              <w:tc>
                <w:tcPr>
                  <w:tcW w:w="399" w:type="pct"/>
                  <w:vAlign w:val="center"/>
                </w:tcPr>
                <w:p w14:paraId="0ECA4FE8">
                  <w:pPr>
                    <w:spacing w:line="360" w:lineRule="exact"/>
                    <w:jc w:val="center"/>
                    <w:rPr>
                      <w:spacing w:val="-11"/>
                      <w:sz w:val="21"/>
                      <w:szCs w:val="21"/>
                    </w:rPr>
                  </w:pPr>
                  <w:r>
                    <w:rPr>
                      <w:spacing w:val="-11"/>
                      <w:sz w:val="21"/>
                      <w:szCs w:val="21"/>
                    </w:rPr>
                    <w:t>满足</w:t>
                  </w:r>
                </w:p>
              </w:tc>
            </w:tr>
            <w:tr w14:paraId="66BCA7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227E75DF">
                  <w:pPr>
                    <w:spacing w:line="360" w:lineRule="exact"/>
                    <w:jc w:val="center"/>
                    <w:rPr>
                      <w:spacing w:val="-11"/>
                      <w:sz w:val="21"/>
                      <w:szCs w:val="21"/>
                    </w:rPr>
                  </w:pPr>
                </w:p>
              </w:tc>
              <w:tc>
                <w:tcPr>
                  <w:tcW w:w="673" w:type="pct"/>
                  <w:shd w:val="clear" w:color="auto" w:fill="auto"/>
                  <w:vAlign w:val="center"/>
                </w:tcPr>
                <w:p w14:paraId="6A9D6028">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顶板</w:t>
                  </w:r>
                </w:p>
              </w:tc>
              <w:tc>
                <w:tcPr>
                  <w:tcW w:w="1756" w:type="pct"/>
                  <w:vAlign w:val="center"/>
                </w:tcPr>
                <w:p w14:paraId="36358497">
                  <w:pPr>
                    <w:spacing w:line="360" w:lineRule="exact"/>
                    <w:jc w:val="center"/>
                    <w:rPr>
                      <w:spacing w:val="-11"/>
                      <w:sz w:val="21"/>
                      <w:szCs w:val="21"/>
                      <w:highlight w:val="yellow"/>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w:t>
                  </w:r>
                </w:p>
              </w:tc>
              <w:tc>
                <w:tcPr>
                  <w:tcW w:w="810" w:type="pct"/>
                  <w:shd w:val="clear" w:color="auto" w:fill="auto"/>
                  <w:vAlign w:val="center"/>
                </w:tcPr>
                <w:p w14:paraId="2228A2D9">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3.26</w:t>
                  </w:r>
                </w:p>
              </w:tc>
              <w:tc>
                <w:tcPr>
                  <w:tcW w:w="623" w:type="pct"/>
                  <w:vMerge w:val="continue"/>
                  <w:vAlign w:val="center"/>
                </w:tcPr>
                <w:p w14:paraId="68706A6C">
                  <w:pPr>
                    <w:spacing w:line="360" w:lineRule="exact"/>
                    <w:jc w:val="center"/>
                    <w:rPr>
                      <w:spacing w:val="-11"/>
                      <w:sz w:val="21"/>
                      <w:szCs w:val="21"/>
                    </w:rPr>
                  </w:pPr>
                </w:p>
              </w:tc>
              <w:tc>
                <w:tcPr>
                  <w:tcW w:w="399" w:type="pct"/>
                  <w:vAlign w:val="center"/>
                </w:tcPr>
                <w:p w14:paraId="5630F1E8">
                  <w:pPr>
                    <w:spacing w:line="360" w:lineRule="exact"/>
                    <w:jc w:val="center"/>
                    <w:rPr>
                      <w:spacing w:val="-11"/>
                      <w:sz w:val="21"/>
                      <w:szCs w:val="21"/>
                    </w:rPr>
                  </w:pPr>
                  <w:r>
                    <w:rPr>
                      <w:spacing w:val="-11"/>
                      <w:sz w:val="21"/>
                      <w:szCs w:val="21"/>
                    </w:rPr>
                    <w:t>满足</w:t>
                  </w:r>
                </w:p>
              </w:tc>
            </w:tr>
            <w:tr w14:paraId="6CA8CC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0CC811EA">
                  <w:pPr>
                    <w:spacing w:line="360" w:lineRule="exact"/>
                    <w:jc w:val="center"/>
                    <w:rPr>
                      <w:spacing w:val="-11"/>
                      <w:sz w:val="21"/>
                      <w:szCs w:val="21"/>
                    </w:rPr>
                  </w:pPr>
                </w:p>
              </w:tc>
              <w:tc>
                <w:tcPr>
                  <w:tcW w:w="673" w:type="pct"/>
                  <w:shd w:val="clear" w:color="auto" w:fill="auto"/>
                  <w:vAlign w:val="center"/>
                </w:tcPr>
                <w:p w14:paraId="7C609200">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底板</w:t>
                  </w:r>
                </w:p>
              </w:tc>
              <w:tc>
                <w:tcPr>
                  <w:tcW w:w="1756" w:type="pct"/>
                  <w:vAlign w:val="center"/>
                </w:tcPr>
                <w:p w14:paraId="0801335E">
                  <w:pPr>
                    <w:spacing w:line="360" w:lineRule="exact"/>
                    <w:jc w:val="center"/>
                    <w:rPr>
                      <w:spacing w:val="-11"/>
                      <w:sz w:val="21"/>
                      <w:szCs w:val="21"/>
                      <w:highlight w:val="yellow"/>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810" w:type="pct"/>
                  <w:shd w:val="clear" w:color="auto" w:fill="auto"/>
                  <w:vAlign w:val="center"/>
                </w:tcPr>
                <w:p w14:paraId="58B9EA0B">
                  <w:pPr>
                    <w:spacing w:line="360" w:lineRule="exact"/>
                    <w:jc w:val="center"/>
                    <w:rPr>
                      <w:rFonts w:hint="default"/>
                      <w:spacing w:val="-11"/>
                      <w:sz w:val="21"/>
                      <w:szCs w:val="21"/>
                      <w:highlight w:val="none"/>
                      <w:lang w:val="en-US"/>
                    </w:rPr>
                  </w:pPr>
                  <w:r>
                    <w:rPr>
                      <w:rFonts w:hint="eastAsia"/>
                      <w:spacing w:val="-11"/>
                      <w:sz w:val="21"/>
                      <w:szCs w:val="21"/>
                      <w:highlight w:val="none"/>
                      <w:lang w:val="en-US" w:eastAsia="zh-CN"/>
                    </w:rPr>
                    <w:t>2.60</w:t>
                  </w:r>
                </w:p>
              </w:tc>
              <w:tc>
                <w:tcPr>
                  <w:tcW w:w="623" w:type="pct"/>
                  <w:vMerge w:val="continue"/>
                  <w:vAlign w:val="center"/>
                </w:tcPr>
                <w:p w14:paraId="7DBED6AC">
                  <w:pPr>
                    <w:spacing w:line="360" w:lineRule="exact"/>
                    <w:jc w:val="center"/>
                    <w:rPr>
                      <w:spacing w:val="-11"/>
                      <w:sz w:val="21"/>
                      <w:szCs w:val="21"/>
                    </w:rPr>
                  </w:pPr>
                </w:p>
              </w:tc>
              <w:tc>
                <w:tcPr>
                  <w:tcW w:w="399" w:type="pct"/>
                  <w:vAlign w:val="center"/>
                </w:tcPr>
                <w:p w14:paraId="1E860FF5">
                  <w:pPr>
                    <w:spacing w:line="360" w:lineRule="exact"/>
                    <w:jc w:val="center"/>
                    <w:rPr>
                      <w:spacing w:val="-11"/>
                      <w:sz w:val="21"/>
                      <w:szCs w:val="21"/>
                    </w:rPr>
                  </w:pPr>
                  <w:r>
                    <w:rPr>
                      <w:spacing w:val="-11"/>
                      <w:sz w:val="21"/>
                      <w:szCs w:val="21"/>
                    </w:rPr>
                    <w:t>满足</w:t>
                  </w:r>
                </w:p>
              </w:tc>
            </w:tr>
            <w:tr w14:paraId="7C7C41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765F0830">
                  <w:pPr>
                    <w:spacing w:line="360" w:lineRule="exact"/>
                    <w:jc w:val="center"/>
                    <w:rPr>
                      <w:spacing w:val="-11"/>
                      <w:sz w:val="21"/>
                      <w:szCs w:val="21"/>
                    </w:rPr>
                  </w:pPr>
                </w:p>
              </w:tc>
              <w:tc>
                <w:tcPr>
                  <w:tcW w:w="673" w:type="pct"/>
                  <w:shd w:val="clear" w:color="auto" w:fill="auto"/>
                  <w:vAlign w:val="center"/>
                </w:tcPr>
                <w:p w14:paraId="775C4C24">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防护门</w:t>
                  </w:r>
                </w:p>
              </w:tc>
              <w:tc>
                <w:tcPr>
                  <w:tcW w:w="1756" w:type="pct"/>
                  <w:vAlign w:val="center"/>
                </w:tcPr>
                <w:p w14:paraId="47E46E38">
                  <w:pPr>
                    <w:spacing w:line="360" w:lineRule="exact"/>
                    <w:jc w:val="center"/>
                    <w:rPr>
                      <w:spacing w:val="-11"/>
                      <w:sz w:val="21"/>
                      <w:szCs w:val="21"/>
                      <w:highlight w:val="none"/>
                    </w:rPr>
                  </w:pPr>
                  <w:r>
                    <w:rPr>
                      <w:rFonts w:hint="eastAsia"/>
                      <w:spacing w:val="-11"/>
                      <w:sz w:val="21"/>
                      <w:szCs w:val="21"/>
                      <w:highlight w:val="none"/>
                      <w:lang w:val="en-US" w:eastAsia="zh-CN"/>
                    </w:rPr>
                    <w:t>3扇，均为3mm铅当量</w:t>
                  </w:r>
                </w:p>
              </w:tc>
              <w:tc>
                <w:tcPr>
                  <w:tcW w:w="810" w:type="pct"/>
                  <w:vAlign w:val="center"/>
                </w:tcPr>
                <w:p w14:paraId="573A22CB">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3.0</w:t>
                  </w:r>
                </w:p>
              </w:tc>
              <w:tc>
                <w:tcPr>
                  <w:tcW w:w="623" w:type="pct"/>
                  <w:vMerge w:val="continue"/>
                  <w:vAlign w:val="center"/>
                </w:tcPr>
                <w:p w14:paraId="1E5A8AF0">
                  <w:pPr>
                    <w:spacing w:line="360" w:lineRule="exact"/>
                    <w:jc w:val="center"/>
                    <w:rPr>
                      <w:spacing w:val="-11"/>
                      <w:sz w:val="21"/>
                      <w:szCs w:val="21"/>
                    </w:rPr>
                  </w:pPr>
                </w:p>
              </w:tc>
              <w:tc>
                <w:tcPr>
                  <w:tcW w:w="399" w:type="pct"/>
                  <w:vAlign w:val="center"/>
                </w:tcPr>
                <w:p w14:paraId="3945E3AC">
                  <w:pPr>
                    <w:spacing w:line="360" w:lineRule="exact"/>
                    <w:jc w:val="center"/>
                    <w:rPr>
                      <w:spacing w:val="-11"/>
                      <w:sz w:val="21"/>
                      <w:szCs w:val="21"/>
                    </w:rPr>
                  </w:pPr>
                  <w:r>
                    <w:rPr>
                      <w:spacing w:val="-11"/>
                      <w:sz w:val="21"/>
                      <w:szCs w:val="21"/>
                    </w:rPr>
                    <w:t>满足</w:t>
                  </w:r>
                </w:p>
              </w:tc>
            </w:tr>
            <w:tr w14:paraId="7C5308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7F830483">
                  <w:pPr>
                    <w:spacing w:line="360" w:lineRule="exact"/>
                    <w:jc w:val="center"/>
                    <w:rPr>
                      <w:spacing w:val="-11"/>
                      <w:sz w:val="21"/>
                      <w:szCs w:val="21"/>
                    </w:rPr>
                  </w:pPr>
                </w:p>
              </w:tc>
              <w:tc>
                <w:tcPr>
                  <w:tcW w:w="673" w:type="pct"/>
                  <w:shd w:val="clear" w:color="auto" w:fill="auto"/>
                  <w:vAlign w:val="center"/>
                </w:tcPr>
                <w:p w14:paraId="773F0BF0">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观察窗</w:t>
                  </w:r>
                </w:p>
              </w:tc>
              <w:tc>
                <w:tcPr>
                  <w:tcW w:w="1756" w:type="pct"/>
                  <w:vAlign w:val="center"/>
                </w:tcPr>
                <w:p w14:paraId="1667602D">
                  <w:pPr>
                    <w:spacing w:line="360" w:lineRule="exact"/>
                    <w:jc w:val="center"/>
                    <w:rPr>
                      <w:spacing w:val="-11"/>
                      <w:sz w:val="21"/>
                      <w:szCs w:val="21"/>
                      <w:highlight w:val="none"/>
                    </w:rPr>
                  </w:pPr>
                  <w:r>
                    <w:rPr>
                      <w:rFonts w:hint="eastAsia"/>
                      <w:spacing w:val="-11"/>
                      <w:sz w:val="21"/>
                      <w:szCs w:val="21"/>
                      <w:highlight w:val="none"/>
                      <w:lang w:val="en-US" w:eastAsia="zh-CN"/>
                    </w:rPr>
                    <w:t>3mm铅当量</w:t>
                  </w:r>
                </w:p>
              </w:tc>
              <w:tc>
                <w:tcPr>
                  <w:tcW w:w="810" w:type="pct"/>
                  <w:vAlign w:val="center"/>
                </w:tcPr>
                <w:p w14:paraId="1A15C479">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3.0</w:t>
                  </w:r>
                </w:p>
              </w:tc>
              <w:tc>
                <w:tcPr>
                  <w:tcW w:w="623" w:type="pct"/>
                  <w:vMerge w:val="continue"/>
                  <w:vAlign w:val="center"/>
                </w:tcPr>
                <w:p w14:paraId="11240DA1">
                  <w:pPr>
                    <w:spacing w:line="360" w:lineRule="exact"/>
                    <w:jc w:val="center"/>
                    <w:rPr>
                      <w:spacing w:val="-11"/>
                      <w:sz w:val="21"/>
                      <w:szCs w:val="21"/>
                    </w:rPr>
                  </w:pPr>
                </w:p>
              </w:tc>
              <w:tc>
                <w:tcPr>
                  <w:tcW w:w="399" w:type="pct"/>
                  <w:vAlign w:val="center"/>
                </w:tcPr>
                <w:p w14:paraId="360CDFA0">
                  <w:pPr>
                    <w:spacing w:line="360" w:lineRule="exact"/>
                    <w:jc w:val="center"/>
                    <w:rPr>
                      <w:spacing w:val="-11"/>
                      <w:sz w:val="21"/>
                      <w:szCs w:val="21"/>
                    </w:rPr>
                  </w:pPr>
                  <w:r>
                    <w:rPr>
                      <w:spacing w:val="-11"/>
                      <w:sz w:val="21"/>
                      <w:szCs w:val="21"/>
                    </w:rPr>
                    <w:t>满足</w:t>
                  </w:r>
                </w:p>
              </w:tc>
            </w:tr>
            <w:tr w14:paraId="7077ED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restart"/>
                  <w:vAlign w:val="center"/>
                </w:tcPr>
                <w:p w14:paraId="4FB3285E">
                  <w:pPr>
                    <w:spacing w:line="360" w:lineRule="exact"/>
                    <w:jc w:val="center"/>
                    <w:rPr>
                      <w:rFonts w:hint="default" w:eastAsia="宋体"/>
                      <w:spacing w:val="-11"/>
                      <w:sz w:val="21"/>
                      <w:szCs w:val="21"/>
                      <w:lang w:val="en-US" w:eastAsia="zh-CN"/>
                    </w:rPr>
                  </w:pPr>
                  <w:r>
                    <w:rPr>
                      <w:rFonts w:hint="eastAsia"/>
                      <w:spacing w:val="-11"/>
                      <w:sz w:val="21"/>
                      <w:szCs w:val="21"/>
                      <w:lang w:val="en-US" w:eastAsia="zh-CN"/>
                    </w:rPr>
                    <w:t>DSA手术室（OR09、OR10、OR11）</w:t>
                  </w:r>
                </w:p>
              </w:tc>
              <w:tc>
                <w:tcPr>
                  <w:tcW w:w="673" w:type="pct"/>
                  <w:shd w:val="clear" w:color="auto" w:fill="auto"/>
                  <w:vAlign w:val="center"/>
                </w:tcPr>
                <w:p w14:paraId="70267566">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四面墙体</w:t>
                  </w:r>
                </w:p>
              </w:tc>
              <w:tc>
                <w:tcPr>
                  <w:tcW w:w="1756" w:type="pct"/>
                  <w:vAlign w:val="center"/>
                </w:tcPr>
                <w:p w14:paraId="2D1B1C4C">
                  <w:pPr>
                    <w:spacing w:line="360" w:lineRule="exact"/>
                    <w:jc w:val="center"/>
                    <w:rPr>
                      <w:rFonts w:hint="default" w:eastAsia="宋体"/>
                      <w:spacing w:val="-11"/>
                      <w:sz w:val="21"/>
                      <w:szCs w:val="21"/>
                      <w:highlight w:val="none"/>
                      <w:lang w:val="en-US" w:eastAsia="zh-CN"/>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810" w:type="pct"/>
                  <w:vAlign w:val="center"/>
                </w:tcPr>
                <w:p w14:paraId="63E865CE">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2.50</w:t>
                  </w:r>
                </w:p>
              </w:tc>
              <w:tc>
                <w:tcPr>
                  <w:tcW w:w="623" w:type="pct"/>
                  <w:vMerge w:val="restart"/>
                  <w:vAlign w:val="center"/>
                </w:tcPr>
                <w:p w14:paraId="1CAC88CC">
                  <w:pPr>
                    <w:spacing w:line="360" w:lineRule="exact"/>
                    <w:jc w:val="center"/>
                    <w:rPr>
                      <w:rFonts w:hint="default" w:eastAsia="宋体"/>
                      <w:spacing w:val="-11"/>
                      <w:sz w:val="21"/>
                      <w:szCs w:val="21"/>
                      <w:lang w:val="en-US" w:eastAsia="zh-CN"/>
                    </w:rPr>
                  </w:pPr>
                  <w:r>
                    <w:rPr>
                      <w:rFonts w:hint="eastAsia"/>
                      <w:spacing w:val="-11"/>
                      <w:sz w:val="21"/>
                      <w:szCs w:val="21"/>
                      <w:lang w:val="en-US" w:eastAsia="zh-CN"/>
                    </w:rPr>
                    <w:t>2.0mmPb</w:t>
                  </w:r>
                </w:p>
              </w:tc>
              <w:tc>
                <w:tcPr>
                  <w:tcW w:w="399" w:type="pct"/>
                  <w:vAlign w:val="center"/>
                </w:tcPr>
                <w:p w14:paraId="6673EF37">
                  <w:pPr>
                    <w:spacing w:line="360" w:lineRule="exact"/>
                    <w:jc w:val="center"/>
                    <w:rPr>
                      <w:spacing w:val="-11"/>
                      <w:sz w:val="21"/>
                      <w:szCs w:val="21"/>
                    </w:rPr>
                  </w:pPr>
                  <w:r>
                    <w:rPr>
                      <w:spacing w:val="-11"/>
                      <w:sz w:val="21"/>
                      <w:szCs w:val="21"/>
                    </w:rPr>
                    <w:t>满足</w:t>
                  </w:r>
                </w:p>
              </w:tc>
            </w:tr>
            <w:tr w14:paraId="5875B4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114CF8DA">
                  <w:pPr>
                    <w:spacing w:line="360" w:lineRule="exact"/>
                    <w:jc w:val="center"/>
                    <w:rPr>
                      <w:spacing w:val="-11"/>
                      <w:sz w:val="21"/>
                      <w:szCs w:val="21"/>
                    </w:rPr>
                  </w:pPr>
                </w:p>
              </w:tc>
              <w:tc>
                <w:tcPr>
                  <w:tcW w:w="673" w:type="pct"/>
                  <w:shd w:val="clear" w:color="auto" w:fill="auto"/>
                  <w:vAlign w:val="center"/>
                </w:tcPr>
                <w:p w14:paraId="199009CC">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顶板</w:t>
                  </w:r>
                </w:p>
              </w:tc>
              <w:tc>
                <w:tcPr>
                  <w:tcW w:w="1756" w:type="pct"/>
                  <w:vAlign w:val="center"/>
                </w:tcPr>
                <w:p w14:paraId="19DF16D8">
                  <w:pPr>
                    <w:spacing w:line="360" w:lineRule="exact"/>
                    <w:jc w:val="center"/>
                    <w:rPr>
                      <w:rFonts w:hint="default" w:eastAsia="宋体"/>
                      <w:spacing w:val="-11"/>
                      <w:sz w:val="21"/>
                      <w:szCs w:val="21"/>
                      <w:highlight w:val="none"/>
                      <w:lang w:val="en-US" w:eastAsia="zh-CN"/>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w:t>
                  </w:r>
                </w:p>
              </w:tc>
              <w:tc>
                <w:tcPr>
                  <w:tcW w:w="810" w:type="pct"/>
                  <w:vAlign w:val="center"/>
                </w:tcPr>
                <w:p w14:paraId="507F66CA">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3.06</w:t>
                  </w:r>
                </w:p>
              </w:tc>
              <w:tc>
                <w:tcPr>
                  <w:tcW w:w="623" w:type="pct"/>
                  <w:vMerge w:val="continue"/>
                  <w:vAlign w:val="center"/>
                </w:tcPr>
                <w:p w14:paraId="08478C03">
                  <w:pPr>
                    <w:spacing w:line="360" w:lineRule="exact"/>
                    <w:jc w:val="center"/>
                    <w:rPr>
                      <w:spacing w:val="-11"/>
                      <w:sz w:val="21"/>
                      <w:szCs w:val="21"/>
                    </w:rPr>
                  </w:pPr>
                </w:p>
              </w:tc>
              <w:tc>
                <w:tcPr>
                  <w:tcW w:w="399" w:type="pct"/>
                  <w:vAlign w:val="center"/>
                </w:tcPr>
                <w:p w14:paraId="78711EE2">
                  <w:pPr>
                    <w:spacing w:line="360" w:lineRule="exact"/>
                    <w:jc w:val="center"/>
                    <w:rPr>
                      <w:spacing w:val="-11"/>
                      <w:sz w:val="21"/>
                      <w:szCs w:val="21"/>
                    </w:rPr>
                  </w:pPr>
                  <w:r>
                    <w:rPr>
                      <w:spacing w:val="-11"/>
                      <w:sz w:val="21"/>
                      <w:szCs w:val="21"/>
                    </w:rPr>
                    <w:t>满足</w:t>
                  </w:r>
                </w:p>
              </w:tc>
            </w:tr>
            <w:tr w14:paraId="6A0843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694F25A5">
                  <w:pPr>
                    <w:spacing w:line="360" w:lineRule="exact"/>
                    <w:jc w:val="center"/>
                    <w:rPr>
                      <w:spacing w:val="-11"/>
                      <w:sz w:val="21"/>
                      <w:szCs w:val="21"/>
                    </w:rPr>
                  </w:pPr>
                </w:p>
              </w:tc>
              <w:tc>
                <w:tcPr>
                  <w:tcW w:w="673" w:type="pct"/>
                  <w:shd w:val="clear" w:color="auto" w:fill="auto"/>
                  <w:vAlign w:val="center"/>
                </w:tcPr>
                <w:p w14:paraId="43F531D4">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底板</w:t>
                  </w:r>
                </w:p>
              </w:tc>
              <w:tc>
                <w:tcPr>
                  <w:tcW w:w="1756" w:type="pct"/>
                  <w:vAlign w:val="center"/>
                </w:tcPr>
                <w:p w14:paraId="6FA99581">
                  <w:pPr>
                    <w:spacing w:line="360" w:lineRule="exact"/>
                    <w:jc w:val="center"/>
                    <w:rPr>
                      <w:spacing w:val="-11"/>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810" w:type="pct"/>
                  <w:vAlign w:val="center"/>
                </w:tcPr>
                <w:p w14:paraId="749202D3">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2.26</w:t>
                  </w:r>
                </w:p>
              </w:tc>
              <w:tc>
                <w:tcPr>
                  <w:tcW w:w="623" w:type="pct"/>
                  <w:vMerge w:val="continue"/>
                  <w:vAlign w:val="center"/>
                </w:tcPr>
                <w:p w14:paraId="511C5541">
                  <w:pPr>
                    <w:spacing w:line="360" w:lineRule="exact"/>
                    <w:jc w:val="center"/>
                    <w:rPr>
                      <w:spacing w:val="-11"/>
                      <w:sz w:val="21"/>
                      <w:szCs w:val="21"/>
                    </w:rPr>
                  </w:pPr>
                </w:p>
              </w:tc>
              <w:tc>
                <w:tcPr>
                  <w:tcW w:w="399" w:type="pct"/>
                  <w:vAlign w:val="center"/>
                </w:tcPr>
                <w:p w14:paraId="1CF83215">
                  <w:pPr>
                    <w:spacing w:line="360" w:lineRule="exact"/>
                    <w:jc w:val="center"/>
                    <w:rPr>
                      <w:spacing w:val="-11"/>
                      <w:sz w:val="21"/>
                      <w:szCs w:val="21"/>
                    </w:rPr>
                  </w:pPr>
                  <w:r>
                    <w:rPr>
                      <w:spacing w:val="-11"/>
                      <w:sz w:val="21"/>
                      <w:szCs w:val="21"/>
                    </w:rPr>
                    <w:t>满足</w:t>
                  </w:r>
                </w:p>
              </w:tc>
            </w:tr>
            <w:tr w14:paraId="0DA109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34ACF177">
                  <w:pPr>
                    <w:spacing w:line="360" w:lineRule="exact"/>
                    <w:jc w:val="center"/>
                    <w:rPr>
                      <w:spacing w:val="-11"/>
                      <w:sz w:val="21"/>
                      <w:szCs w:val="21"/>
                    </w:rPr>
                  </w:pPr>
                </w:p>
              </w:tc>
              <w:tc>
                <w:tcPr>
                  <w:tcW w:w="673" w:type="pct"/>
                  <w:shd w:val="clear" w:color="auto" w:fill="auto"/>
                  <w:vAlign w:val="center"/>
                </w:tcPr>
                <w:p w14:paraId="68F3A436">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防护门</w:t>
                  </w:r>
                </w:p>
              </w:tc>
              <w:tc>
                <w:tcPr>
                  <w:tcW w:w="1756" w:type="pct"/>
                  <w:vAlign w:val="center"/>
                </w:tcPr>
                <w:p w14:paraId="7FAEAEF4">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2扇，均为3mm铅当量</w:t>
                  </w:r>
                </w:p>
              </w:tc>
              <w:tc>
                <w:tcPr>
                  <w:tcW w:w="810" w:type="pct"/>
                  <w:vAlign w:val="center"/>
                </w:tcPr>
                <w:p w14:paraId="03E38A3D">
                  <w:pPr>
                    <w:spacing w:line="360" w:lineRule="exact"/>
                    <w:jc w:val="center"/>
                    <w:rPr>
                      <w:rFonts w:hint="default"/>
                      <w:highlight w:val="none"/>
                      <w:lang w:val="en-US" w:eastAsia="zh-CN"/>
                    </w:rPr>
                  </w:pPr>
                  <w:r>
                    <w:rPr>
                      <w:rFonts w:hint="eastAsia"/>
                      <w:spacing w:val="-11"/>
                      <w:sz w:val="21"/>
                      <w:szCs w:val="21"/>
                      <w:highlight w:val="none"/>
                      <w:lang w:val="en-US" w:eastAsia="zh-CN"/>
                    </w:rPr>
                    <w:t>3.0</w:t>
                  </w:r>
                </w:p>
              </w:tc>
              <w:tc>
                <w:tcPr>
                  <w:tcW w:w="623" w:type="pct"/>
                  <w:vMerge w:val="continue"/>
                  <w:vAlign w:val="center"/>
                </w:tcPr>
                <w:p w14:paraId="51362016">
                  <w:pPr>
                    <w:spacing w:line="360" w:lineRule="exact"/>
                    <w:jc w:val="center"/>
                    <w:rPr>
                      <w:spacing w:val="-11"/>
                      <w:sz w:val="21"/>
                      <w:szCs w:val="21"/>
                    </w:rPr>
                  </w:pPr>
                </w:p>
              </w:tc>
              <w:tc>
                <w:tcPr>
                  <w:tcW w:w="399" w:type="pct"/>
                  <w:vAlign w:val="center"/>
                </w:tcPr>
                <w:p w14:paraId="61F4C505">
                  <w:pPr>
                    <w:spacing w:line="360" w:lineRule="exact"/>
                    <w:jc w:val="center"/>
                    <w:rPr>
                      <w:spacing w:val="-11"/>
                      <w:sz w:val="21"/>
                      <w:szCs w:val="21"/>
                    </w:rPr>
                  </w:pPr>
                  <w:r>
                    <w:rPr>
                      <w:spacing w:val="-11"/>
                      <w:sz w:val="21"/>
                      <w:szCs w:val="21"/>
                    </w:rPr>
                    <w:t>满足</w:t>
                  </w:r>
                </w:p>
              </w:tc>
            </w:tr>
            <w:tr w14:paraId="6AA4A9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551409F7">
                  <w:pPr>
                    <w:spacing w:line="360" w:lineRule="exact"/>
                    <w:jc w:val="center"/>
                    <w:rPr>
                      <w:spacing w:val="-11"/>
                      <w:sz w:val="21"/>
                      <w:szCs w:val="21"/>
                    </w:rPr>
                  </w:pPr>
                </w:p>
              </w:tc>
              <w:tc>
                <w:tcPr>
                  <w:tcW w:w="673" w:type="pct"/>
                  <w:shd w:val="clear" w:color="auto" w:fill="auto"/>
                  <w:vAlign w:val="center"/>
                </w:tcPr>
                <w:p w14:paraId="0A001609">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观察窗</w:t>
                  </w:r>
                </w:p>
              </w:tc>
              <w:tc>
                <w:tcPr>
                  <w:tcW w:w="1756" w:type="pct"/>
                  <w:vAlign w:val="center"/>
                </w:tcPr>
                <w:p w14:paraId="1F79DBCE">
                  <w:pPr>
                    <w:spacing w:line="360" w:lineRule="exact"/>
                    <w:jc w:val="center"/>
                    <w:rPr>
                      <w:spacing w:val="-11"/>
                      <w:sz w:val="21"/>
                      <w:szCs w:val="21"/>
                      <w:highlight w:val="none"/>
                    </w:rPr>
                  </w:pPr>
                  <w:r>
                    <w:rPr>
                      <w:rFonts w:hint="eastAsia"/>
                      <w:bCs/>
                      <w:spacing w:val="-11"/>
                      <w:sz w:val="21"/>
                      <w:szCs w:val="21"/>
                      <w:highlight w:val="none"/>
                      <w:lang w:val="en-US" w:eastAsia="zh-CN"/>
                    </w:rPr>
                    <w:t>3</w:t>
                  </w:r>
                  <w:r>
                    <w:rPr>
                      <w:bCs/>
                      <w:spacing w:val="-11"/>
                      <w:sz w:val="21"/>
                      <w:szCs w:val="21"/>
                      <w:highlight w:val="none"/>
                    </w:rPr>
                    <w:t>mm铅当量</w:t>
                  </w:r>
                </w:p>
              </w:tc>
              <w:tc>
                <w:tcPr>
                  <w:tcW w:w="810" w:type="pct"/>
                  <w:vAlign w:val="center"/>
                </w:tcPr>
                <w:p w14:paraId="16428A4E">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3.0</w:t>
                  </w:r>
                </w:p>
              </w:tc>
              <w:tc>
                <w:tcPr>
                  <w:tcW w:w="623" w:type="pct"/>
                  <w:vMerge w:val="continue"/>
                  <w:vAlign w:val="center"/>
                </w:tcPr>
                <w:p w14:paraId="71F1B2AB">
                  <w:pPr>
                    <w:spacing w:line="360" w:lineRule="exact"/>
                    <w:jc w:val="center"/>
                    <w:rPr>
                      <w:spacing w:val="-11"/>
                      <w:sz w:val="21"/>
                      <w:szCs w:val="21"/>
                    </w:rPr>
                  </w:pPr>
                </w:p>
              </w:tc>
              <w:tc>
                <w:tcPr>
                  <w:tcW w:w="399" w:type="pct"/>
                  <w:vAlign w:val="center"/>
                </w:tcPr>
                <w:p w14:paraId="17154639">
                  <w:pPr>
                    <w:spacing w:line="360" w:lineRule="exact"/>
                    <w:jc w:val="center"/>
                    <w:rPr>
                      <w:spacing w:val="-11"/>
                      <w:sz w:val="21"/>
                      <w:szCs w:val="21"/>
                    </w:rPr>
                  </w:pPr>
                  <w:r>
                    <w:rPr>
                      <w:spacing w:val="-11"/>
                      <w:sz w:val="21"/>
                      <w:szCs w:val="21"/>
                    </w:rPr>
                    <w:t>满足</w:t>
                  </w:r>
                </w:p>
              </w:tc>
            </w:tr>
            <w:tr w14:paraId="613BF5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restart"/>
                  <w:vAlign w:val="center"/>
                </w:tcPr>
                <w:p w14:paraId="21633E19">
                  <w:pPr>
                    <w:spacing w:line="360" w:lineRule="exact"/>
                    <w:jc w:val="center"/>
                    <w:rPr>
                      <w:rFonts w:hint="default" w:eastAsia="宋体"/>
                      <w:spacing w:val="-11"/>
                      <w:sz w:val="21"/>
                      <w:szCs w:val="21"/>
                      <w:lang w:val="en-US" w:eastAsia="zh-CN"/>
                    </w:rPr>
                  </w:pPr>
                  <w:r>
                    <w:rPr>
                      <w:rFonts w:hint="eastAsia"/>
                      <w:spacing w:val="-11"/>
                      <w:sz w:val="21"/>
                      <w:szCs w:val="21"/>
                      <w:lang w:val="en-US" w:eastAsia="zh-CN"/>
                    </w:rPr>
                    <w:t>ERCP室</w:t>
                  </w:r>
                </w:p>
              </w:tc>
              <w:tc>
                <w:tcPr>
                  <w:tcW w:w="673" w:type="pct"/>
                  <w:shd w:val="clear" w:color="auto" w:fill="auto"/>
                  <w:vAlign w:val="center"/>
                </w:tcPr>
                <w:p w14:paraId="3F13CAA6">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四面墙体</w:t>
                  </w:r>
                </w:p>
              </w:tc>
              <w:tc>
                <w:tcPr>
                  <w:tcW w:w="1756" w:type="pct"/>
                  <w:vAlign w:val="center"/>
                </w:tcPr>
                <w:p w14:paraId="16CCB91D">
                  <w:pPr>
                    <w:spacing w:line="360" w:lineRule="exact"/>
                    <w:jc w:val="center"/>
                    <w:rPr>
                      <w:rFonts w:hint="default" w:eastAsia="宋体"/>
                      <w:spacing w:val="-11"/>
                      <w:sz w:val="21"/>
                      <w:szCs w:val="21"/>
                      <w:highlight w:val="none"/>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810" w:type="pct"/>
                  <w:shd w:val="clear" w:color="auto" w:fill="auto"/>
                  <w:vAlign w:val="center"/>
                </w:tcPr>
                <w:p w14:paraId="784C3E4C">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3.50</w:t>
                  </w:r>
                </w:p>
              </w:tc>
              <w:tc>
                <w:tcPr>
                  <w:tcW w:w="623" w:type="pct"/>
                  <w:vMerge w:val="restart"/>
                  <w:vAlign w:val="center"/>
                </w:tcPr>
                <w:p w14:paraId="1F25AB50">
                  <w:pPr>
                    <w:spacing w:line="360" w:lineRule="exact"/>
                    <w:jc w:val="center"/>
                    <w:rPr>
                      <w:rFonts w:hint="default" w:eastAsia="宋体"/>
                      <w:spacing w:val="-11"/>
                      <w:sz w:val="21"/>
                      <w:szCs w:val="21"/>
                      <w:lang w:val="en-US" w:eastAsia="zh-CN"/>
                    </w:rPr>
                  </w:pPr>
                  <w:r>
                    <w:rPr>
                      <w:rFonts w:hint="eastAsia"/>
                      <w:spacing w:val="-11"/>
                      <w:sz w:val="21"/>
                      <w:szCs w:val="21"/>
                      <w:lang w:val="en-US" w:eastAsia="zh-CN"/>
                    </w:rPr>
                    <w:t>2.0mmPb</w:t>
                  </w:r>
                </w:p>
              </w:tc>
              <w:tc>
                <w:tcPr>
                  <w:tcW w:w="399" w:type="pct"/>
                  <w:vAlign w:val="center"/>
                </w:tcPr>
                <w:p w14:paraId="20DD1A06">
                  <w:pPr>
                    <w:spacing w:line="360" w:lineRule="exact"/>
                    <w:jc w:val="center"/>
                    <w:rPr>
                      <w:spacing w:val="-11"/>
                      <w:sz w:val="21"/>
                      <w:szCs w:val="21"/>
                    </w:rPr>
                  </w:pPr>
                  <w:r>
                    <w:rPr>
                      <w:spacing w:val="-11"/>
                      <w:sz w:val="21"/>
                      <w:szCs w:val="21"/>
                    </w:rPr>
                    <w:t>满足</w:t>
                  </w:r>
                </w:p>
              </w:tc>
            </w:tr>
            <w:tr w14:paraId="08C132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695B68D6">
                  <w:pPr>
                    <w:spacing w:line="360" w:lineRule="exact"/>
                    <w:jc w:val="center"/>
                    <w:rPr>
                      <w:spacing w:val="-11"/>
                      <w:sz w:val="21"/>
                      <w:szCs w:val="21"/>
                    </w:rPr>
                  </w:pPr>
                </w:p>
              </w:tc>
              <w:tc>
                <w:tcPr>
                  <w:tcW w:w="673" w:type="pct"/>
                  <w:shd w:val="clear" w:color="auto" w:fill="auto"/>
                  <w:vAlign w:val="center"/>
                </w:tcPr>
                <w:p w14:paraId="2CBC396A">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顶板</w:t>
                  </w:r>
                </w:p>
              </w:tc>
              <w:tc>
                <w:tcPr>
                  <w:tcW w:w="1756" w:type="pct"/>
                  <w:vAlign w:val="center"/>
                </w:tcPr>
                <w:p w14:paraId="24733CE2">
                  <w:pPr>
                    <w:spacing w:line="360" w:lineRule="exact"/>
                    <w:jc w:val="center"/>
                    <w:rPr>
                      <w:rFonts w:hint="default" w:eastAsia="宋体"/>
                      <w:spacing w:val="-11"/>
                      <w:sz w:val="21"/>
                      <w:szCs w:val="21"/>
                      <w:highlight w:val="none"/>
                      <w:lang w:val="en-US" w:eastAsia="zh-CN"/>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w:t>
                  </w:r>
                </w:p>
              </w:tc>
              <w:tc>
                <w:tcPr>
                  <w:tcW w:w="810" w:type="pct"/>
                  <w:shd w:val="clear" w:color="auto" w:fill="auto"/>
                  <w:vAlign w:val="center"/>
                </w:tcPr>
                <w:p w14:paraId="22E97A53">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3.06</w:t>
                  </w:r>
                </w:p>
              </w:tc>
              <w:tc>
                <w:tcPr>
                  <w:tcW w:w="623" w:type="pct"/>
                  <w:vMerge w:val="continue"/>
                  <w:vAlign w:val="center"/>
                </w:tcPr>
                <w:p w14:paraId="7EEF9771">
                  <w:pPr>
                    <w:spacing w:line="360" w:lineRule="exact"/>
                    <w:jc w:val="center"/>
                    <w:rPr>
                      <w:spacing w:val="-11"/>
                      <w:sz w:val="21"/>
                      <w:szCs w:val="21"/>
                    </w:rPr>
                  </w:pPr>
                </w:p>
              </w:tc>
              <w:tc>
                <w:tcPr>
                  <w:tcW w:w="399" w:type="pct"/>
                  <w:vAlign w:val="center"/>
                </w:tcPr>
                <w:p w14:paraId="5234C2F2">
                  <w:pPr>
                    <w:spacing w:line="360" w:lineRule="exact"/>
                    <w:jc w:val="center"/>
                    <w:rPr>
                      <w:spacing w:val="-11"/>
                      <w:sz w:val="21"/>
                      <w:szCs w:val="21"/>
                    </w:rPr>
                  </w:pPr>
                  <w:r>
                    <w:rPr>
                      <w:spacing w:val="-11"/>
                      <w:sz w:val="21"/>
                      <w:szCs w:val="21"/>
                    </w:rPr>
                    <w:t>满足</w:t>
                  </w:r>
                </w:p>
              </w:tc>
            </w:tr>
            <w:tr w14:paraId="0245CD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1F06CD74">
                  <w:pPr>
                    <w:spacing w:line="360" w:lineRule="exact"/>
                    <w:jc w:val="center"/>
                    <w:rPr>
                      <w:spacing w:val="-11"/>
                      <w:sz w:val="21"/>
                      <w:szCs w:val="21"/>
                    </w:rPr>
                  </w:pPr>
                </w:p>
              </w:tc>
              <w:tc>
                <w:tcPr>
                  <w:tcW w:w="673" w:type="pct"/>
                  <w:shd w:val="clear" w:color="auto" w:fill="auto"/>
                  <w:vAlign w:val="center"/>
                </w:tcPr>
                <w:p w14:paraId="279974D6">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底板</w:t>
                  </w:r>
                </w:p>
              </w:tc>
              <w:tc>
                <w:tcPr>
                  <w:tcW w:w="1756" w:type="pct"/>
                  <w:vAlign w:val="center"/>
                </w:tcPr>
                <w:p w14:paraId="01A586E6">
                  <w:pPr>
                    <w:spacing w:line="360" w:lineRule="exact"/>
                    <w:jc w:val="center"/>
                    <w:rPr>
                      <w:rFonts w:hint="default" w:eastAsia="宋体"/>
                      <w:spacing w:val="-11"/>
                      <w:sz w:val="21"/>
                      <w:szCs w:val="21"/>
                      <w:highlight w:val="none"/>
                      <w:lang w:val="en-US" w:eastAsia="zh-CN"/>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810" w:type="pct"/>
                  <w:shd w:val="clear" w:color="auto" w:fill="auto"/>
                  <w:vAlign w:val="center"/>
                </w:tcPr>
                <w:p w14:paraId="6C314B67">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2.26</w:t>
                  </w:r>
                </w:p>
              </w:tc>
              <w:tc>
                <w:tcPr>
                  <w:tcW w:w="623" w:type="pct"/>
                  <w:vMerge w:val="continue"/>
                  <w:vAlign w:val="center"/>
                </w:tcPr>
                <w:p w14:paraId="5F3477E9">
                  <w:pPr>
                    <w:spacing w:line="360" w:lineRule="exact"/>
                    <w:jc w:val="center"/>
                    <w:rPr>
                      <w:spacing w:val="-11"/>
                      <w:sz w:val="21"/>
                      <w:szCs w:val="21"/>
                    </w:rPr>
                  </w:pPr>
                </w:p>
              </w:tc>
              <w:tc>
                <w:tcPr>
                  <w:tcW w:w="399" w:type="pct"/>
                  <w:vAlign w:val="center"/>
                </w:tcPr>
                <w:p w14:paraId="4D4A1D30">
                  <w:pPr>
                    <w:spacing w:line="360" w:lineRule="exact"/>
                    <w:jc w:val="center"/>
                    <w:rPr>
                      <w:spacing w:val="-11"/>
                      <w:sz w:val="21"/>
                      <w:szCs w:val="21"/>
                    </w:rPr>
                  </w:pPr>
                  <w:r>
                    <w:rPr>
                      <w:spacing w:val="-11"/>
                      <w:sz w:val="21"/>
                      <w:szCs w:val="21"/>
                    </w:rPr>
                    <w:t>满足</w:t>
                  </w:r>
                </w:p>
              </w:tc>
            </w:tr>
            <w:tr w14:paraId="4A3E1F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08CBDE6E">
                  <w:pPr>
                    <w:spacing w:line="360" w:lineRule="exact"/>
                    <w:jc w:val="center"/>
                    <w:rPr>
                      <w:spacing w:val="-11"/>
                      <w:sz w:val="21"/>
                      <w:szCs w:val="21"/>
                    </w:rPr>
                  </w:pPr>
                </w:p>
              </w:tc>
              <w:tc>
                <w:tcPr>
                  <w:tcW w:w="673" w:type="pct"/>
                  <w:shd w:val="clear" w:color="auto" w:fill="auto"/>
                  <w:vAlign w:val="center"/>
                </w:tcPr>
                <w:p w14:paraId="366D3A7C">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防护门</w:t>
                  </w:r>
                </w:p>
              </w:tc>
              <w:tc>
                <w:tcPr>
                  <w:tcW w:w="1756" w:type="pct"/>
                  <w:vAlign w:val="center"/>
                </w:tcPr>
                <w:p w14:paraId="5E843461">
                  <w:pPr>
                    <w:spacing w:line="360" w:lineRule="exact"/>
                    <w:jc w:val="center"/>
                    <w:rPr>
                      <w:spacing w:val="-11"/>
                      <w:sz w:val="21"/>
                      <w:szCs w:val="21"/>
                      <w:highlight w:val="none"/>
                    </w:rPr>
                  </w:pPr>
                  <w:r>
                    <w:rPr>
                      <w:rFonts w:hint="eastAsia"/>
                      <w:spacing w:val="-11"/>
                      <w:sz w:val="21"/>
                      <w:szCs w:val="21"/>
                      <w:highlight w:val="none"/>
                      <w:lang w:val="en-US" w:eastAsia="zh-CN"/>
                    </w:rPr>
                    <w:t>2扇，均为4mm铅当量</w:t>
                  </w:r>
                </w:p>
              </w:tc>
              <w:tc>
                <w:tcPr>
                  <w:tcW w:w="810" w:type="pct"/>
                  <w:vAlign w:val="center"/>
                </w:tcPr>
                <w:p w14:paraId="2B30F543">
                  <w:pPr>
                    <w:spacing w:line="360" w:lineRule="exact"/>
                    <w:jc w:val="center"/>
                    <w:rPr>
                      <w:rFonts w:hint="default"/>
                      <w:spacing w:val="-11"/>
                      <w:sz w:val="21"/>
                      <w:szCs w:val="21"/>
                      <w:highlight w:val="none"/>
                      <w:lang w:val="en-US"/>
                    </w:rPr>
                  </w:pPr>
                  <w:r>
                    <w:rPr>
                      <w:rFonts w:hint="eastAsia"/>
                      <w:spacing w:val="-11"/>
                      <w:sz w:val="21"/>
                      <w:szCs w:val="21"/>
                      <w:highlight w:val="none"/>
                      <w:lang w:val="en-US" w:eastAsia="zh-CN"/>
                    </w:rPr>
                    <w:t>4.0</w:t>
                  </w:r>
                </w:p>
              </w:tc>
              <w:tc>
                <w:tcPr>
                  <w:tcW w:w="623" w:type="pct"/>
                  <w:vMerge w:val="continue"/>
                  <w:vAlign w:val="center"/>
                </w:tcPr>
                <w:p w14:paraId="4E17AE56">
                  <w:pPr>
                    <w:spacing w:line="360" w:lineRule="exact"/>
                    <w:jc w:val="center"/>
                    <w:rPr>
                      <w:spacing w:val="-11"/>
                      <w:sz w:val="21"/>
                      <w:szCs w:val="21"/>
                    </w:rPr>
                  </w:pPr>
                </w:p>
              </w:tc>
              <w:tc>
                <w:tcPr>
                  <w:tcW w:w="399" w:type="pct"/>
                  <w:vAlign w:val="center"/>
                </w:tcPr>
                <w:p w14:paraId="07C08244">
                  <w:pPr>
                    <w:spacing w:line="360" w:lineRule="exact"/>
                    <w:jc w:val="center"/>
                    <w:rPr>
                      <w:spacing w:val="-11"/>
                      <w:sz w:val="21"/>
                      <w:szCs w:val="21"/>
                    </w:rPr>
                  </w:pPr>
                  <w:r>
                    <w:rPr>
                      <w:spacing w:val="-11"/>
                      <w:sz w:val="21"/>
                      <w:szCs w:val="21"/>
                    </w:rPr>
                    <w:t>满足</w:t>
                  </w:r>
                </w:p>
              </w:tc>
            </w:tr>
            <w:tr w14:paraId="41C473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36" w:type="pct"/>
                  <w:vMerge w:val="continue"/>
                  <w:vAlign w:val="center"/>
                </w:tcPr>
                <w:p w14:paraId="5B93C311">
                  <w:pPr>
                    <w:spacing w:line="360" w:lineRule="exact"/>
                    <w:jc w:val="center"/>
                    <w:rPr>
                      <w:spacing w:val="-11"/>
                      <w:sz w:val="21"/>
                      <w:szCs w:val="21"/>
                    </w:rPr>
                  </w:pPr>
                </w:p>
              </w:tc>
              <w:tc>
                <w:tcPr>
                  <w:tcW w:w="673" w:type="pct"/>
                  <w:shd w:val="clear" w:color="auto" w:fill="auto"/>
                  <w:vAlign w:val="center"/>
                </w:tcPr>
                <w:p w14:paraId="25436A4C">
                  <w:pPr>
                    <w:spacing w:line="360" w:lineRule="exact"/>
                    <w:jc w:val="center"/>
                    <w:rPr>
                      <w:rFonts w:ascii="Times New Roman" w:hAnsi="Times New Roman" w:eastAsia="宋体" w:cs="Times New Roman"/>
                      <w:spacing w:val="-11"/>
                      <w:sz w:val="21"/>
                      <w:szCs w:val="21"/>
                      <w:lang w:val="en-US" w:eastAsia="zh-CN" w:bidi="ar-SA"/>
                    </w:rPr>
                  </w:pPr>
                  <w:r>
                    <w:rPr>
                      <w:spacing w:val="-11"/>
                      <w:sz w:val="21"/>
                      <w:szCs w:val="21"/>
                    </w:rPr>
                    <w:t>观察窗</w:t>
                  </w:r>
                </w:p>
              </w:tc>
              <w:tc>
                <w:tcPr>
                  <w:tcW w:w="1756" w:type="pct"/>
                  <w:vAlign w:val="center"/>
                </w:tcPr>
                <w:p w14:paraId="17A9B2DE">
                  <w:pPr>
                    <w:spacing w:line="360" w:lineRule="exact"/>
                    <w:jc w:val="center"/>
                    <w:rPr>
                      <w:spacing w:val="-11"/>
                      <w:sz w:val="21"/>
                      <w:szCs w:val="21"/>
                      <w:highlight w:val="none"/>
                    </w:rPr>
                  </w:pPr>
                  <w:r>
                    <w:rPr>
                      <w:rFonts w:hint="eastAsia"/>
                      <w:bCs/>
                      <w:spacing w:val="-11"/>
                      <w:sz w:val="21"/>
                      <w:szCs w:val="21"/>
                      <w:highlight w:val="none"/>
                      <w:lang w:val="en-US" w:eastAsia="zh-CN"/>
                    </w:rPr>
                    <w:t>4</w:t>
                  </w:r>
                  <w:r>
                    <w:rPr>
                      <w:bCs/>
                      <w:spacing w:val="-11"/>
                      <w:sz w:val="21"/>
                      <w:szCs w:val="21"/>
                      <w:highlight w:val="none"/>
                    </w:rPr>
                    <w:t>mm铅当量</w:t>
                  </w:r>
                </w:p>
              </w:tc>
              <w:tc>
                <w:tcPr>
                  <w:tcW w:w="810" w:type="pct"/>
                  <w:vAlign w:val="center"/>
                </w:tcPr>
                <w:p w14:paraId="4C4DB132">
                  <w:pPr>
                    <w:spacing w:line="360" w:lineRule="exact"/>
                    <w:jc w:val="center"/>
                    <w:rPr>
                      <w:rFonts w:hint="default"/>
                      <w:spacing w:val="-11"/>
                      <w:sz w:val="21"/>
                      <w:szCs w:val="21"/>
                      <w:highlight w:val="none"/>
                      <w:lang w:val="en-US"/>
                    </w:rPr>
                  </w:pPr>
                  <w:r>
                    <w:rPr>
                      <w:rFonts w:hint="eastAsia"/>
                      <w:spacing w:val="-11"/>
                      <w:sz w:val="21"/>
                      <w:szCs w:val="21"/>
                      <w:highlight w:val="none"/>
                      <w:lang w:val="en-US" w:eastAsia="zh-CN"/>
                    </w:rPr>
                    <w:t>4.0</w:t>
                  </w:r>
                </w:p>
              </w:tc>
              <w:tc>
                <w:tcPr>
                  <w:tcW w:w="623" w:type="pct"/>
                  <w:vMerge w:val="continue"/>
                  <w:vAlign w:val="center"/>
                </w:tcPr>
                <w:p w14:paraId="31C275BF">
                  <w:pPr>
                    <w:spacing w:line="360" w:lineRule="exact"/>
                    <w:jc w:val="center"/>
                    <w:rPr>
                      <w:spacing w:val="-11"/>
                      <w:sz w:val="21"/>
                      <w:szCs w:val="21"/>
                    </w:rPr>
                  </w:pPr>
                </w:p>
              </w:tc>
              <w:tc>
                <w:tcPr>
                  <w:tcW w:w="399" w:type="pct"/>
                  <w:vAlign w:val="center"/>
                </w:tcPr>
                <w:p w14:paraId="4021A195">
                  <w:pPr>
                    <w:spacing w:line="360" w:lineRule="exact"/>
                    <w:jc w:val="center"/>
                    <w:rPr>
                      <w:spacing w:val="-11"/>
                      <w:sz w:val="21"/>
                      <w:szCs w:val="21"/>
                    </w:rPr>
                  </w:pPr>
                  <w:r>
                    <w:rPr>
                      <w:spacing w:val="-11"/>
                      <w:sz w:val="21"/>
                      <w:szCs w:val="21"/>
                    </w:rPr>
                    <w:t>满足</w:t>
                  </w:r>
                </w:p>
              </w:tc>
            </w:tr>
          </w:tbl>
          <w:p w14:paraId="5D3525E0">
            <w:pPr>
              <w:spacing w:line="240" w:lineRule="auto"/>
              <w:rPr>
                <w:rFonts w:eastAsia="黑体"/>
                <w:bCs/>
                <w:sz w:val="21"/>
                <w:szCs w:val="21"/>
              </w:rPr>
            </w:pPr>
            <w:r>
              <w:rPr>
                <w:rFonts w:eastAsia="黑体"/>
                <w:bCs/>
                <w:sz w:val="21"/>
                <w:szCs w:val="21"/>
              </w:rPr>
              <w:t>注：根据设计提供资料，混凝土密度不低于2.35g/cm</w:t>
            </w:r>
            <w:r>
              <w:rPr>
                <w:rFonts w:eastAsia="黑体"/>
                <w:bCs/>
                <w:sz w:val="21"/>
                <w:szCs w:val="21"/>
                <w:vertAlign w:val="superscript"/>
              </w:rPr>
              <w:t>3</w:t>
            </w:r>
            <w:r>
              <w:rPr>
                <w:rFonts w:eastAsia="黑体"/>
                <w:bCs/>
                <w:sz w:val="21"/>
                <w:szCs w:val="21"/>
              </w:rPr>
              <w:t>，铅板的密度不低于11.3g/cm</w:t>
            </w:r>
            <w:r>
              <w:rPr>
                <w:rFonts w:eastAsia="黑体"/>
                <w:bCs/>
                <w:sz w:val="21"/>
                <w:szCs w:val="21"/>
                <w:vertAlign w:val="superscript"/>
              </w:rPr>
              <w:t>3</w:t>
            </w:r>
            <w:r>
              <w:rPr>
                <w:rFonts w:eastAsia="黑体"/>
                <w:bCs/>
                <w:sz w:val="21"/>
                <w:szCs w:val="21"/>
              </w:rPr>
              <w:t>，实心砖的密度不低于1.65g/cm</w:t>
            </w:r>
            <w:r>
              <w:rPr>
                <w:rFonts w:eastAsia="黑体"/>
                <w:bCs/>
                <w:sz w:val="21"/>
                <w:szCs w:val="21"/>
                <w:vertAlign w:val="superscript"/>
              </w:rPr>
              <w:t>3</w:t>
            </w:r>
            <w:r>
              <w:rPr>
                <w:rFonts w:eastAsia="黑体"/>
                <w:bCs/>
                <w:sz w:val="21"/>
                <w:szCs w:val="21"/>
              </w:rPr>
              <w:t>，</w:t>
            </w:r>
            <w:r>
              <w:rPr>
                <w:rFonts w:eastAsia="黑体"/>
                <w:sz w:val="21"/>
                <w:szCs w:val="21"/>
              </w:rPr>
              <w:t>硫酸钡</w:t>
            </w:r>
            <w:r>
              <w:rPr>
                <w:rFonts w:hint="eastAsia" w:eastAsia="黑体"/>
                <w:sz w:val="21"/>
                <w:szCs w:val="21"/>
                <w:lang w:val="en-US" w:eastAsia="zh-CN"/>
              </w:rPr>
              <w:t>水泥</w:t>
            </w:r>
            <w:r>
              <w:rPr>
                <w:rFonts w:eastAsia="黑体"/>
                <w:sz w:val="21"/>
                <w:szCs w:val="21"/>
              </w:rPr>
              <w:t>密度</w:t>
            </w:r>
            <w:r>
              <w:rPr>
                <w:rFonts w:eastAsia="黑体"/>
                <w:bCs/>
                <w:sz w:val="21"/>
                <w:szCs w:val="21"/>
              </w:rPr>
              <w:t>不低于</w:t>
            </w:r>
            <w:r>
              <w:rPr>
                <w:rFonts w:eastAsia="黑体"/>
                <w:sz w:val="21"/>
                <w:szCs w:val="21"/>
              </w:rPr>
              <w:t>3.2g/cm</w:t>
            </w:r>
            <w:r>
              <w:rPr>
                <w:rFonts w:eastAsia="黑体"/>
                <w:bCs/>
                <w:sz w:val="21"/>
                <w:szCs w:val="21"/>
                <w:vertAlign w:val="superscript"/>
              </w:rPr>
              <w:t>3</w:t>
            </w:r>
            <w:r>
              <w:rPr>
                <w:rFonts w:eastAsia="黑体"/>
                <w:bCs/>
                <w:sz w:val="21"/>
                <w:szCs w:val="21"/>
              </w:rPr>
              <w:t>。</w:t>
            </w:r>
          </w:p>
          <w:p w14:paraId="28DB19E6">
            <w:pPr>
              <w:ind w:firstLine="480" w:firstLineChars="200"/>
              <w:rPr>
                <w:szCs w:val="22"/>
              </w:rPr>
            </w:pPr>
            <w:r>
              <w:rPr>
                <w:bCs/>
              </w:rPr>
              <w:t>根据</w:t>
            </w:r>
            <w:r>
              <w:t>《放射诊断放射防护要求》（GBZ130-2020）</w:t>
            </w:r>
            <w:r>
              <w:rPr>
                <w:rFonts w:hint="eastAsia"/>
              </w:rPr>
              <w:t>附录C，</w:t>
            </w:r>
            <w:r>
              <w:rPr>
                <w:szCs w:val="22"/>
              </w:rPr>
              <w:t>屏蔽透射因子</w:t>
            </w:r>
            <w:r>
              <w:rPr>
                <w:rFonts w:hint="eastAsia"/>
                <w:szCs w:val="22"/>
              </w:rPr>
              <w:t>B由</w:t>
            </w:r>
            <w:r>
              <w:rPr>
                <w:szCs w:val="22"/>
              </w:rPr>
              <w:t>不同管电压</w:t>
            </w:r>
            <w:r>
              <w:rPr>
                <w:rFonts w:hint="eastAsia"/>
                <w:szCs w:val="22"/>
              </w:rPr>
              <w:t>X</w:t>
            </w:r>
            <w:r>
              <w:rPr>
                <w:szCs w:val="22"/>
              </w:rPr>
              <w:t>射线辐射衰减的α、β、γ 拟合值</w:t>
            </w:r>
            <w:r>
              <w:rPr>
                <w:rFonts w:hint="eastAsia"/>
                <w:szCs w:val="22"/>
              </w:rPr>
              <w:t>进行计算：</w:t>
            </w:r>
          </w:p>
          <w:p w14:paraId="037FC29F">
            <w:pPr>
              <w:tabs>
                <w:tab w:val="center" w:pos="4444"/>
              </w:tabs>
              <w:adjustRightInd w:val="0"/>
              <w:snapToGrid w:val="0"/>
              <w:ind w:firstLine="2640" w:firstLineChars="1100"/>
              <w:jc w:val="right"/>
              <w:rPr>
                <w:rFonts w:hint="eastAsia"/>
              </w:rPr>
            </w:pPr>
            <w:r>
              <w:rPr>
                <w:position w:val="-30"/>
              </w:rPr>
              <w:object>
                <v:shape id="_x0000_i1026" o:spt="75" type="#_x0000_t75" style="height:42.95pt;width:119.9pt;" o:ole="t" filled="f" o:preferrelative="t" stroked="f" coordsize="21600,21600">
                  <v:path/>
                  <v:fill on="f" focussize="0,0"/>
                  <v:stroke on="f"/>
                  <v:imagedata r:id="rId31" o:title=""/>
                  <o:lock v:ext="edit" aspectratio="t"/>
                  <w10:wrap type="none"/>
                  <w10:anchorlock/>
                </v:shape>
                <o:OLEObject Type="Embed" ProgID="Equation.KSEE3" ShapeID="_x0000_i1026" DrawAspect="Content" ObjectID="_1468075726" r:id="rId30">
                  <o:LockedField>false</o:LockedField>
                </o:OLEObject>
              </w:object>
            </w:r>
            <w:r>
              <w:t>………….....……………式</w:t>
            </w:r>
            <w:r>
              <w:rPr>
                <w:rFonts w:hint="eastAsia"/>
              </w:rPr>
              <w:t>10</w:t>
            </w:r>
            <w:r>
              <w:t>-</w:t>
            </w:r>
            <w:r>
              <w:rPr>
                <w:rFonts w:hint="eastAsia"/>
              </w:rPr>
              <w:t>1</w:t>
            </w:r>
          </w:p>
          <w:p w14:paraId="74F765CC">
            <w:pPr>
              <w:ind w:firstLine="480" w:firstLineChars="200"/>
              <w:rPr>
                <w:bCs/>
              </w:rPr>
            </w:pPr>
            <w:r>
              <w:rPr>
                <w:kern w:val="0"/>
              </w:rPr>
              <w:t>式中：</w:t>
            </w:r>
            <w:r>
              <w:rPr>
                <w:rFonts w:hint="eastAsia"/>
                <w:kern w:val="0"/>
              </w:rPr>
              <w:t>B</w:t>
            </w:r>
            <w:r>
              <w:rPr>
                <w:bCs/>
              </w:rPr>
              <w:t>—屏蔽</w:t>
            </w:r>
            <w:r>
              <w:rPr>
                <w:rFonts w:hint="eastAsia"/>
                <w:bCs/>
              </w:rPr>
              <w:t>透射因子；</w:t>
            </w:r>
          </w:p>
          <w:p w14:paraId="293F2DB0">
            <w:pPr>
              <w:ind w:firstLine="1200" w:firstLineChars="500"/>
              <w:rPr>
                <w:kern w:val="0"/>
              </w:rPr>
            </w:pPr>
            <w:r>
              <w:rPr>
                <w:bCs/>
                <w:i/>
                <w:iCs/>
              </w:rPr>
              <w:t>X</w:t>
            </w:r>
            <w:r>
              <w:rPr>
                <w:bCs/>
              </w:rPr>
              <w:t>—屏蔽材料</w:t>
            </w:r>
            <w:r>
              <w:rPr>
                <w:rFonts w:hint="eastAsia"/>
                <w:bCs/>
              </w:rPr>
              <w:t>厚度</w:t>
            </w:r>
            <w:r>
              <w:rPr>
                <w:bCs/>
              </w:rPr>
              <w:t>，mm；</w:t>
            </w:r>
          </w:p>
          <w:p w14:paraId="3BBC6EF4">
            <w:pPr>
              <w:ind w:left="0" w:leftChars="0" w:firstLine="1200" w:firstLineChars="500"/>
              <w:rPr>
                <w:rFonts w:hint="default" w:eastAsia="宋体"/>
                <w:bCs/>
                <w:lang w:val="en-US" w:eastAsia="zh-CN"/>
              </w:rPr>
            </w:pPr>
            <w:r>
              <w:rPr>
                <w:bCs/>
                <w:i/>
                <w:iCs/>
              </w:rPr>
              <w:t>α、β、γ</w:t>
            </w:r>
            <w:r>
              <w:rPr>
                <w:bCs/>
              </w:rPr>
              <w:t>—对不同管电压X射线辐射衰减的有关的拟合参数</w:t>
            </w:r>
            <w:r>
              <w:rPr>
                <w:rFonts w:hint="eastAsia"/>
                <w:bCs/>
              </w:rPr>
              <w:t>，本项目射线装置部分屏蔽体主要受散射辐射和漏射辐射的影响，但从保守角度出发，在折算铅当量厚度时，均按照主射束进行取值；</w:t>
            </w:r>
          </w:p>
          <w:p w14:paraId="021140AE">
            <w:pPr>
              <w:pStyle w:val="20"/>
              <w:ind w:firstLine="480" w:firstLineChars="200"/>
            </w:pPr>
            <w:r>
              <w:rPr>
                <w:rFonts w:hint="eastAsia"/>
              </w:rPr>
              <w:t>铅当量厚度X由下式进行计算：</w:t>
            </w:r>
          </w:p>
          <w:p w14:paraId="7CA5B621">
            <w:pPr>
              <w:tabs>
                <w:tab w:val="center" w:pos="4444"/>
              </w:tabs>
              <w:adjustRightInd w:val="0"/>
              <w:snapToGrid w:val="0"/>
              <w:ind w:firstLine="2640" w:firstLineChars="1100"/>
              <w:jc w:val="right"/>
              <w:rPr>
                <w:rFonts w:hint="eastAsia"/>
              </w:rPr>
            </w:pPr>
            <w:r>
              <w:rPr>
                <w:rFonts w:hint="eastAsia"/>
              </w:rPr>
              <w:object>
                <v:shape id="_x0000_i1027" o:spt="75" type="#_x0000_t75" style="height:59pt;width:106pt;" o:ole="t" filled="f" stroked="f" coordsize="21600,21600">
                  <v:path/>
                  <v:fill on="f" focussize="0,0"/>
                  <v:stroke on="f"/>
                  <v:imagedata r:id="rId33" o:title=""/>
                  <o:lock v:ext="edit" aspectratio="t"/>
                  <w10:wrap type="none"/>
                  <w10:anchorlock/>
                </v:shape>
                <o:OLEObject Type="Embed" ProgID="Unknown" ShapeID="_x0000_i1027" DrawAspect="Content" ObjectID="_1468075727" r:id="rId32">
                  <o:LockedField>false</o:LockedField>
                </o:OLEObject>
              </w:object>
            </w:r>
            <w:r>
              <w:t>………….....……………式</w:t>
            </w:r>
            <w:r>
              <w:rPr>
                <w:rFonts w:hint="eastAsia"/>
              </w:rPr>
              <w:t>10</w:t>
            </w:r>
            <w:r>
              <w:t>-</w:t>
            </w:r>
            <w:r>
              <w:rPr>
                <w:rFonts w:hint="eastAsia"/>
              </w:rPr>
              <w:t>2</w:t>
            </w:r>
          </w:p>
          <w:p w14:paraId="61A9A081">
            <w:pPr>
              <w:pStyle w:val="20"/>
              <w:ind w:firstLine="480" w:firstLineChars="200"/>
            </w:pPr>
            <w:r>
              <w:t>式中：</w:t>
            </w:r>
            <w:r>
              <w:rPr>
                <w:bCs/>
                <w:i/>
                <w:iCs/>
              </w:rPr>
              <w:t>X</w:t>
            </w:r>
            <w:r>
              <w:rPr>
                <w:bCs/>
              </w:rPr>
              <w:t>—</w:t>
            </w:r>
            <w:r>
              <w:t>不同屏蔽物质的铅当量厚度</w:t>
            </w:r>
            <w:r>
              <w:rPr>
                <w:rFonts w:hint="eastAsia"/>
              </w:rPr>
              <w:t>；</w:t>
            </w:r>
          </w:p>
          <w:p w14:paraId="6B9EA71A">
            <w:pPr>
              <w:ind w:firstLine="1200" w:firstLineChars="500"/>
              <w:rPr>
                <w:rFonts w:hint="eastAsia"/>
              </w:rPr>
            </w:pPr>
            <w:r>
              <w:rPr>
                <w:rFonts w:hint="eastAsia"/>
                <w:kern w:val="0"/>
              </w:rPr>
              <w:t>B</w:t>
            </w:r>
            <w:r>
              <w:rPr>
                <w:bCs/>
              </w:rPr>
              <w:t>—屏蔽</w:t>
            </w:r>
            <w:r>
              <w:rPr>
                <w:rFonts w:hint="eastAsia"/>
                <w:bCs/>
              </w:rPr>
              <w:t>透射因子；</w:t>
            </w:r>
          </w:p>
          <w:p w14:paraId="53A9C5DC">
            <w:pPr>
              <w:ind w:firstLine="1155"/>
              <w:rPr>
                <w:bCs/>
                <w:sz w:val="21"/>
                <w:szCs w:val="21"/>
              </w:rPr>
            </w:pPr>
            <w:r>
              <w:rPr>
                <w:bCs/>
                <w:i/>
                <w:iCs/>
              </w:rPr>
              <w:t>α、β、γ</w:t>
            </w:r>
            <w:r>
              <w:rPr>
                <w:bCs/>
              </w:rPr>
              <w:t>—对不同管电压X射线辐射衰减的有关的拟合参数</w:t>
            </w:r>
            <w:r>
              <w:rPr>
                <w:rFonts w:hint="eastAsia"/>
                <w:bCs/>
              </w:rPr>
              <w:t>，同理，按上述方法进行取值，查表C.2和表C.3铅的三个拟合参数取值见表10-</w:t>
            </w:r>
            <w:r>
              <w:rPr>
                <w:rFonts w:hint="eastAsia"/>
                <w:bCs/>
                <w:lang w:val="en-US" w:eastAsia="zh-CN"/>
              </w:rPr>
              <w:t>1</w:t>
            </w:r>
            <w:r>
              <w:rPr>
                <w:rFonts w:hint="eastAsia"/>
                <w:bCs/>
              </w:rPr>
              <w:t>。</w:t>
            </w:r>
          </w:p>
          <w:p w14:paraId="6CA51E2A">
            <w:pPr>
              <w:spacing w:before="163" w:line="240" w:lineRule="auto"/>
              <w:jc w:val="center"/>
              <w:rPr>
                <w:rFonts w:eastAsia="黑体"/>
                <w:bCs/>
                <w:sz w:val="21"/>
                <w:szCs w:val="21"/>
              </w:rPr>
            </w:pPr>
            <w:r>
              <w:rPr>
                <w:rFonts w:eastAsia="黑体"/>
                <w:bCs/>
                <w:sz w:val="21"/>
                <w:szCs w:val="21"/>
              </w:rPr>
              <w:t>表10-1</w:t>
            </w:r>
            <w:r>
              <w:rPr>
                <w:rFonts w:hint="eastAsia" w:eastAsia="黑体"/>
                <w:bCs/>
                <w:sz w:val="21"/>
                <w:szCs w:val="21"/>
                <w:lang w:val="en-US" w:eastAsia="zh-CN"/>
              </w:rPr>
              <w:t>1</w:t>
            </w:r>
            <w:r>
              <w:rPr>
                <w:rFonts w:eastAsia="黑体"/>
                <w:bCs/>
                <w:sz w:val="21"/>
                <w:szCs w:val="21"/>
              </w:rPr>
              <w:t xml:space="preserve">  射线装置机房屏蔽铅当量计算参数表</w:t>
            </w:r>
          </w:p>
          <w:tbl>
            <w:tblPr>
              <w:tblStyle w:val="57"/>
              <w:tblW w:w="50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848"/>
              <w:gridCol w:w="1305"/>
              <w:gridCol w:w="915"/>
              <w:gridCol w:w="795"/>
              <w:gridCol w:w="825"/>
              <w:gridCol w:w="825"/>
              <w:gridCol w:w="735"/>
              <w:gridCol w:w="878"/>
              <w:gridCol w:w="825"/>
            </w:tblGrid>
            <w:tr w14:paraId="4D04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left w:val="nil"/>
                  </w:tcBorders>
                  <w:vAlign w:val="center"/>
                </w:tcPr>
                <w:p w14:paraId="15833429">
                  <w:pPr>
                    <w:spacing w:line="360" w:lineRule="exact"/>
                    <w:jc w:val="center"/>
                    <w:rPr>
                      <w:b/>
                      <w:bCs/>
                      <w:spacing w:val="-6"/>
                      <w:sz w:val="21"/>
                      <w:szCs w:val="21"/>
                    </w:rPr>
                  </w:pPr>
                  <w:r>
                    <w:rPr>
                      <w:b/>
                      <w:bCs/>
                      <w:spacing w:val="-6"/>
                      <w:sz w:val="21"/>
                      <w:szCs w:val="21"/>
                    </w:rPr>
                    <w:t>管电压</w:t>
                  </w:r>
                </w:p>
              </w:tc>
              <w:tc>
                <w:tcPr>
                  <w:tcW w:w="480" w:type="pct"/>
                  <w:vAlign w:val="center"/>
                </w:tcPr>
                <w:p w14:paraId="6574C8F5">
                  <w:pPr>
                    <w:spacing w:line="360" w:lineRule="exact"/>
                    <w:jc w:val="center"/>
                    <w:rPr>
                      <w:b/>
                      <w:bCs/>
                      <w:spacing w:val="-6"/>
                      <w:sz w:val="21"/>
                      <w:szCs w:val="21"/>
                    </w:rPr>
                  </w:pPr>
                  <w:r>
                    <w:rPr>
                      <w:b/>
                      <w:bCs/>
                      <w:spacing w:val="-6"/>
                      <w:sz w:val="21"/>
                      <w:szCs w:val="21"/>
                    </w:rPr>
                    <w:t>材质</w:t>
                  </w:r>
                </w:p>
              </w:tc>
              <w:tc>
                <w:tcPr>
                  <w:tcW w:w="739" w:type="pct"/>
                  <w:vAlign w:val="center"/>
                </w:tcPr>
                <w:p w14:paraId="4C4E4475">
                  <w:pPr>
                    <w:spacing w:line="360" w:lineRule="exact"/>
                    <w:jc w:val="center"/>
                    <w:rPr>
                      <w:b/>
                      <w:bCs/>
                      <w:spacing w:val="-6"/>
                      <w:sz w:val="21"/>
                      <w:szCs w:val="21"/>
                      <w:vertAlign w:val="subscript"/>
                    </w:rPr>
                  </w:pPr>
                  <w:r>
                    <w:rPr>
                      <w:b/>
                      <w:bCs/>
                      <w:i/>
                      <w:spacing w:val="-6"/>
                      <w:sz w:val="21"/>
                      <w:szCs w:val="21"/>
                    </w:rPr>
                    <w:t>X</w:t>
                  </w:r>
                  <w:r>
                    <w:rPr>
                      <w:b/>
                      <w:bCs/>
                      <w:spacing w:val="-6"/>
                      <w:sz w:val="21"/>
                      <w:szCs w:val="21"/>
                      <w:vertAlign w:val="subscript"/>
                    </w:rPr>
                    <w:t>1</w:t>
                  </w:r>
                </w:p>
                <w:p w14:paraId="71A51418">
                  <w:pPr>
                    <w:spacing w:line="360" w:lineRule="exact"/>
                    <w:jc w:val="center"/>
                    <w:rPr>
                      <w:b/>
                      <w:bCs/>
                      <w:spacing w:val="-6"/>
                      <w:sz w:val="21"/>
                      <w:szCs w:val="21"/>
                    </w:rPr>
                  </w:pPr>
                  <w:r>
                    <w:rPr>
                      <w:b/>
                      <w:bCs/>
                      <w:spacing w:val="-6"/>
                      <w:sz w:val="21"/>
                      <w:szCs w:val="21"/>
                    </w:rPr>
                    <w:t>(mm)</w:t>
                  </w:r>
                </w:p>
              </w:tc>
              <w:tc>
                <w:tcPr>
                  <w:tcW w:w="518" w:type="pct"/>
                  <w:vAlign w:val="center"/>
                </w:tcPr>
                <w:p w14:paraId="6500C385">
                  <w:pPr>
                    <w:spacing w:line="360" w:lineRule="exact"/>
                    <w:jc w:val="center"/>
                    <w:rPr>
                      <w:b/>
                      <w:bCs/>
                      <w:spacing w:val="-6"/>
                      <w:sz w:val="21"/>
                      <w:szCs w:val="21"/>
                    </w:rPr>
                  </w:pPr>
                  <w:r>
                    <w:rPr>
                      <w:b/>
                      <w:bCs/>
                      <w:i/>
                      <w:spacing w:val="-6"/>
                      <w:sz w:val="21"/>
                      <w:szCs w:val="21"/>
                    </w:rPr>
                    <w:t>α</w:t>
                  </w:r>
                  <w:r>
                    <w:rPr>
                      <w:b/>
                      <w:bCs/>
                      <w:spacing w:val="-6"/>
                      <w:sz w:val="21"/>
                      <w:szCs w:val="21"/>
                      <w:vertAlign w:val="subscript"/>
                    </w:rPr>
                    <w:t>1</w:t>
                  </w:r>
                </w:p>
              </w:tc>
              <w:tc>
                <w:tcPr>
                  <w:tcW w:w="450" w:type="pct"/>
                  <w:vAlign w:val="center"/>
                </w:tcPr>
                <w:p w14:paraId="6959A73F">
                  <w:pPr>
                    <w:spacing w:line="360" w:lineRule="exact"/>
                    <w:jc w:val="center"/>
                    <w:rPr>
                      <w:b/>
                      <w:bCs/>
                      <w:spacing w:val="-6"/>
                      <w:sz w:val="21"/>
                      <w:szCs w:val="21"/>
                    </w:rPr>
                  </w:pPr>
                  <w:r>
                    <w:rPr>
                      <w:b/>
                      <w:bCs/>
                      <w:i/>
                      <w:spacing w:val="-6"/>
                      <w:sz w:val="21"/>
                      <w:szCs w:val="21"/>
                    </w:rPr>
                    <w:t>β</w:t>
                  </w:r>
                  <w:r>
                    <w:rPr>
                      <w:b/>
                      <w:bCs/>
                      <w:spacing w:val="-6"/>
                      <w:sz w:val="21"/>
                      <w:szCs w:val="21"/>
                      <w:vertAlign w:val="subscript"/>
                    </w:rPr>
                    <w:t>1</w:t>
                  </w:r>
                </w:p>
              </w:tc>
              <w:tc>
                <w:tcPr>
                  <w:tcW w:w="467" w:type="pct"/>
                  <w:vAlign w:val="center"/>
                </w:tcPr>
                <w:p w14:paraId="2F72053D">
                  <w:pPr>
                    <w:spacing w:line="360" w:lineRule="exact"/>
                    <w:jc w:val="center"/>
                    <w:rPr>
                      <w:b/>
                      <w:bCs/>
                      <w:spacing w:val="-6"/>
                      <w:sz w:val="21"/>
                      <w:szCs w:val="21"/>
                    </w:rPr>
                  </w:pPr>
                  <w:r>
                    <w:rPr>
                      <w:b/>
                      <w:bCs/>
                      <w:i/>
                      <w:spacing w:val="-6"/>
                      <w:sz w:val="21"/>
                      <w:szCs w:val="21"/>
                    </w:rPr>
                    <w:t>γ</w:t>
                  </w:r>
                  <w:r>
                    <w:rPr>
                      <w:b/>
                      <w:bCs/>
                      <w:spacing w:val="-6"/>
                      <w:sz w:val="21"/>
                      <w:szCs w:val="21"/>
                      <w:vertAlign w:val="subscript"/>
                    </w:rPr>
                    <w:t>1</w:t>
                  </w:r>
                </w:p>
              </w:tc>
              <w:tc>
                <w:tcPr>
                  <w:tcW w:w="467" w:type="pct"/>
                  <w:vAlign w:val="center"/>
                </w:tcPr>
                <w:p w14:paraId="443FB779">
                  <w:pPr>
                    <w:spacing w:line="360" w:lineRule="exact"/>
                    <w:jc w:val="center"/>
                    <w:rPr>
                      <w:b/>
                      <w:bCs/>
                      <w:spacing w:val="-6"/>
                      <w:sz w:val="21"/>
                      <w:szCs w:val="21"/>
                    </w:rPr>
                  </w:pPr>
                  <w:r>
                    <w:rPr>
                      <w:b/>
                      <w:bCs/>
                      <w:i/>
                      <w:spacing w:val="-6"/>
                      <w:sz w:val="21"/>
                      <w:szCs w:val="21"/>
                    </w:rPr>
                    <w:t>α</w:t>
                  </w:r>
                  <w:r>
                    <w:rPr>
                      <w:b/>
                      <w:bCs/>
                      <w:spacing w:val="-6"/>
                      <w:sz w:val="21"/>
                      <w:szCs w:val="21"/>
                      <w:vertAlign w:val="subscript"/>
                    </w:rPr>
                    <w:t>2</w:t>
                  </w:r>
                </w:p>
              </w:tc>
              <w:tc>
                <w:tcPr>
                  <w:tcW w:w="416" w:type="pct"/>
                  <w:vAlign w:val="center"/>
                </w:tcPr>
                <w:p w14:paraId="5B6E6D47">
                  <w:pPr>
                    <w:spacing w:line="360" w:lineRule="exact"/>
                    <w:jc w:val="center"/>
                    <w:rPr>
                      <w:b/>
                      <w:bCs/>
                      <w:spacing w:val="-6"/>
                      <w:sz w:val="21"/>
                      <w:szCs w:val="21"/>
                    </w:rPr>
                  </w:pPr>
                  <w:r>
                    <w:rPr>
                      <w:b/>
                      <w:bCs/>
                      <w:i/>
                      <w:spacing w:val="-6"/>
                      <w:sz w:val="21"/>
                      <w:szCs w:val="21"/>
                    </w:rPr>
                    <w:t>β</w:t>
                  </w:r>
                  <w:r>
                    <w:rPr>
                      <w:b/>
                      <w:bCs/>
                      <w:spacing w:val="-6"/>
                      <w:sz w:val="21"/>
                      <w:szCs w:val="21"/>
                      <w:vertAlign w:val="subscript"/>
                    </w:rPr>
                    <w:t>2</w:t>
                  </w:r>
                </w:p>
              </w:tc>
              <w:tc>
                <w:tcPr>
                  <w:tcW w:w="497" w:type="pct"/>
                  <w:vAlign w:val="center"/>
                </w:tcPr>
                <w:p w14:paraId="36633235">
                  <w:pPr>
                    <w:spacing w:line="360" w:lineRule="exact"/>
                    <w:jc w:val="center"/>
                    <w:rPr>
                      <w:b/>
                      <w:bCs/>
                      <w:spacing w:val="-6"/>
                      <w:sz w:val="21"/>
                      <w:szCs w:val="21"/>
                    </w:rPr>
                  </w:pPr>
                  <w:r>
                    <w:rPr>
                      <w:b/>
                      <w:bCs/>
                      <w:i/>
                      <w:spacing w:val="-6"/>
                      <w:sz w:val="21"/>
                      <w:szCs w:val="21"/>
                    </w:rPr>
                    <w:t>γ</w:t>
                  </w:r>
                  <w:r>
                    <w:rPr>
                      <w:b/>
                      <w:bCs/>
                      <w:spacing w:val="-6"/>
                      <w:sz w:val="21"/>
                      <w:szCs w:val="21"/>
                      <w:vertAlign w:val="subscript"/>
                    </w:rPr>
                    <w:t>2</w:t>
                  </w:r>
                </w:p>
              </w:tc>
              <w:tc>
                <w:tcPr>
                  <w:tcW w:w="467" w:type="pct"/>
                  <w:tcBorders>
                    <w:right w:val="nil"/>
                  </w:tcBorders>
                  <w:vAlign w:val="center"/>
                </w:tcPr>
                <w:p w14:paraId="1689E6EF">
                  <w:pPr>
                    <w:spacing w:line="360" w:lineRule="exact"/>
                    <w:jc w:val="center"/>
                    <w:rPr>
                      <w:b/>
                      <w:bCs/>
                      <w:i/>
                      <w:spacing w:val="-6"/>
                      <w:sz w:val="21"/>
                      <w:szCs w:val="21"/>
                    </w:rPr>
                  </w:pPr>
                  <w:r>
                    <w:rPr>
                      <w:b/>
                      <w:bCs/>
                      <w:i/>
                      <w:spacing w:val="-6"/>
                      <w:sz w:val="21"/>
                      <w:szCs w:val="21"/>
                    </w:rPr>
                    <w:t>X</w:t>
                  </w:r>
                </w:p>
                <w:p w14:paraId="436D23D5">
                  <w:pPr>
                    <w:spacing w:line="360" w:lineRule="exact"/>
                    <w:jc w:val="center"/>
                    <w:rPr>
                      <w:b/>
                      <w:bCs/>
                      <w:i/>
                      <w:spacing w:val="-6"/>
                      <w:sz w:val="21"/>
                      <w:szCs w:val="21"/>
                    </w:rPr>
                  </w:pPr>
                  <w:r>
                    <w:rPr>
                      <w:b/>
                      <w:bCs/>
                      <w:spacing w:val="-6"/>
                      <w:sz w:val="21"/>
                      <w:szCs w:val="21"/>
                    </w:rPr>
                    <w:t>(mm)</w:t>
                  </w:r>
                </w:p>
              </w:tc>
            </w:tr>
            <w:tr w14:paraId="2DFB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restart"/>
                  <w:tcBorders>
                    <w:left w:val="nil"/>
                  </w:tcBorders>
                  <w:vAlign w:val="center"/>
                </w:tcPr>
                <w:p w14:paraId="3FA76D4F">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70kV</w:t>
                  </w:r>
                </w:p>
              </w:tc>
              <w:tc>
                <w:tcPr>
                  <w:tcW w:w="480" w:type="pct"/>
                  <w:vMerge w:val="restart"/>
                  <w:vAlign w:val="center"/>
                </w:tcPr>
                <w:p w14:paraId="63F907A3">
                  <w:pPr>
                    <w:spacing w:line="360" w:lineRule="exact"/>
                    <w:jc w:val="center"/>
                    <w:rPr>
                      <w:rFonts w:hint="eastAsia" w:eastAsia="宋体"/>
                      <w:bCs/>
                      <w:spacing w:val="-6"/>
                      <w:sz w:val="21"/>
                      <w:szCs w:val="21"/>
                      <w:lang w:val="en-US" w:eastAsia="zh-CN"/>
                    </w:rPr>
                  </w:pPr>
                  <w:r>
                    <w:rPr>
                      <w:rFonts w:hint="eastAsia"/>
                      <w:bCs/>
                      <w:spacing w:val="-6"/>
                      <w:sz w:val="21"/>
                      <w:szCs w:val="21"/>
                      <w:lang w:val="en-US" w:eastAsia="zh-CN"/>
                    </w:rPr>
                    <w:t>混凝土</w:t>
                  </w:r>
                </w:p>
              </w:tc>
              <w:tc>
                <w:tcPr>
                  <w:tcW w:w="739" w:type="pct"/>
                  <w:vAlign w:val="center"/>
                </w:tcPr>
                <w:p w14:paraId="7A5A0088">
                  <w:pPr>
                    <w:spacing w:line="360" w:lineRule="exact"/>
                    <w:jc w:val="center"/>
                    <w:rPr>
                      <w:rFonts w:hint="default"/>
                      <w:bCs/>
                      <w:spacing w:val="-6"/>
                      <w:sz w:val="21"/>
                      <w:szCs w:val="21"/>
                      <w:lang w:val="en-US"/>
                    </w:rPr>
                  </w:pPr>
                  <w:r>
                    <w:rPr>
                      <w:rFonts w:hint="eastAsia"/>
                      <w:bCs/>
                      <w:spacing w:val="-6"/>
                      <w:sz w:val="21"/>
                      <w:szCs w:val="21"/>
                      <w:lang w:val="en-US" w:eastAsia="zh-CN"/>
                    </w:rPr>
                    <w:t>200</w:t>
                  </w:r>
                </w:p>
              </w:tc>
              <w:tc>
                <w:tcPr>
                  <w:tcW w:w="518" w:type="pct"/>
                  <w:shd w:val="clear" w:color="auto" w:fill="auto"/>
                  <w:vAlign w:val="center"/>
                </w:tcPr>
                <w:p w14:paraId="6D366F86">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0.05087</w:t>
                  </w:r>
                </w:p>
              </w:tc>
              <w:tc>
                <w:tcPr>
                  <w:tcW w:w="450" w:type="pct"/>
                  <w:shd w:val="clear" w:color="auto" w:fill="auto"/>
                  <w:vAlign w:val="center"/>
                </w:tcPr>
                <w:p w14:paraId="5CEA57A3">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0.1696</w:t>
                  </w:r>
                </w:p>
              </w:tc>
              <w:tc>
                <w:tcPr>
                  <w:tcW w:w="467" w:type="pct"/>
                  <w:shd w:val="clear" w:color="auto" w:fill="auto"/>
                  <w:vAlign w:val="center"/>
                </w:tcPr>
                <w:p w14:paraId="2196796B">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0.3847</w:t>
                  </w:r>
                </w:p>
              </w:tc>
              <w:tc>
                <w:tcPr>
                  <w:tcW w:w="467" w:type="pct"/>
                  <w:shd w:val="clear" w:color="auto" w:fill="auto"/>
                  <w:vAlign w:val="center"/>
                </w:tcPr>
                <w:p w14:paraId="003DCA03">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5.369</w:t>
                  </w:r>
                </w:p>
              </w:tc>
              <w:tc>
                <w:tcPr>
                  <w:tcW w:w="416" w:type="pct"/>
                  <w:shd w:val="clear" w:color="auto" w:fill="auto"/>
                  <w:vAlign w:val="center"/>
                </w:tcPr>
                <w:p w14:paraId="0F25D6F0">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23.49</w:t>
                  </w:r>
                </w:p>
              </w:tc>
              <w:tc>
                <w:tcPr>
                  <w:tcW w:w="497" w:type="pct"/>
                  <w:shd w:val="clear" w:color="auto" w:fill="auto"/>
                  <w:vAlign w:val="center"/>
                </w:tcPr>
                <w:p w14:paraId="4E316BA4">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0.5881</w:t>
                  </w:r>
                </w:p>
              </w:tc>
              <w:tc>
                <w:tcPr>
                  <w:tcW w:w="467" w:type="pct"/>
                  <w:tcBorders>
                    <w:right w:val="nil"/>
                  </w:tcBorders>
                  <w:vAlign w:val="center"/>
                </w:tcPr>
                <w:p w14:paraId="73249C3E">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2.06</w:t>
                  </w:r>
                </w:p>
              </w:tc>
            </w:tr>
            <w:tr w14:paraId="4BF2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4B6346EA">
                  <w:pPr>
                    <w:spacing w:line="360" w:lineRule="exact"/>
                    <w:jc w:val="center"/>
                    <w:rPr>
                      <w:rFonts w:hint="eastAsia"/>
                      <w:bCs/>
                      <w:spacing w:val="-6"/>
                      <w:sz w:val="21"/>
                      <w:szCs w:val="21"/>
                      <w:lang w:val="en-US" w:eastAsia="zh-CN"/>
                    </w:rPr>
                  </w:pPr>
                </w:p>
              </w:tc>
              <w:tc>
                <w:tcPr>
                  <w:tcW w:w="480" w:type="pct"/>
                  <w:vMerge w:val="continue"/>
                  <w:vAlign w:val="center"/>
                </w:tcPr>
                <w:p w14:paraId="6A37330C">
                  <w:pPr>
                    <w:spacing w:line="360" w:lineRule="exact"/>
                    <w:jc w:val="center"/>
                    <w:rPr>
                      <w:rFonts w:hint="eastAsia"/>
                      <w:bCs/>
                      <w:spacing w:val="-6"/>
                      <w:sz w:val="21"/>
                      <w:szCs w:val="21"/>
                      <w:lang w:val="en-US" w:eastAsia="zh-CN"/>
                    </w:rPr>
                  </w:pPr>
                </w:p>
              </w:tc>
              <w:tc>
                <w:tcPr>
                  <w:tcW w:w="739" w:type="pct"/>
                  <w:vAlign w:val="center"/>
                </w:tcPr>
                <w:p w14:paraId="411E3982">
                  <w:pPr>
                    <w:spacing w:line="360" w:lineRule="exact"/>
                    <w:jc w:val="center"/>
                    <w:rPr>
                      <w:rFonts w:hint="default"/>
                      <w:bCs/>
                      <w:spacing w:val="-6"/>
                      <w:sz w:val="21"/>
                      <w:szCs w:val="21"/>
                      <w:lang w:val="en-US" w:eastAsia="zh-CN"/>
                    </w:rPr>
                  </w:pPr>
                  <w:r>
                    <w:rPr>
                      <w:rFonts w:hint="eastAsia"/>
                      <w:bCs/>
                      <w:spacing w:val="-6"/>
                      <w:sz w:val="21"/>
                      <w:szCs w:val="21"/>
                      <w:lang w:val="en-US" w:eastAsia="zh-CN"/>
                    </w:rPr>
                    <w:t>20.4mm（15mm硫酸钡水泥）</w:t>
                  </w:r>
                </w:p>
              </w:tc>
              <w:tc>
                <w:tcPr>
                  <w:tcW w:w="518" w:type="pct"/>
                  <w:shd w:val="clear" w:color="auto" w:fill="auto"/>
                  <w:vAlign w:val="center"/>
                </w:tcPr>
                <w:p w14:paraId="53C12A03">
                  <w:pPr>
                    <w:snapToGrid w:val="0"/>
                    <w:spacing w:line="240" w:lineRule="auto"/>
                    <w:jc w:val="center"/>
                    <w:rPr>
                      <w:rFonts w:hint="eastAsia"/>
                      <w:sz w:val="21"/>
                      <w:szCs w:val="21"/>
                    </w:rPr>
                  </w:pPr>
                  <w:r>
                    <w:rPr>
                      <w:rFonts w:hint="eastAsia"/>
                      <w:sz w:val="21"/>
                      <w:szCs w:val="21"/>
                    </w:rPr>
                    <w:t>0.05087</w:t>
                  </w:r>
                </w:p>
              </w:tc>
              <w:tc>
                <w:tcPr>
                  <w:tcW w:w="450" w:type="pct"/>
                  <w:shd w:val="clear" w:color="auto" w:fill="auto"/>
                  <w:vAlign w:val="center"/>
                </w:tcPr>
                <w:p w14:paraId="233EBB7F">
                  <w:pPr>
                    <w:snapToGrid w:val="0"/>
                    <w:spacing w:line="240" w:lineRule="auto"/>
                    <w:jc w:val="center"/>
                    <w:rPr>
                      <w:rFonts w:hint="eastAsia"/>
                      <w:sz w:val="21"/>
                      <w:szCs w:val="21"/>
                    </w:rPr>
                  </w:pPr>
                  <w:r>
                    <w:rPr>
                      <w:rFonts w:hint="eastAsia"/>
                      <w:sz w:val="21"/>
                      <w:szCs w:val="21"/>
                    </w:rPr>
                    <w:t>0.1696</w:t>
                  </w:r>
                </w:p>
              </w:tc>
              <w:tc>
                <w:tcPr>
                  <w:tcW w:w="467" w:type="pct"/>
                  <w:shd w:val="clear" w:color="auto" w:fill="auto"/>
                  <w:vAlign w:val="center"/>
                </w:tcPr>
                <w:p w14:paraId="6F4B1D8F">
                  <w:pPr>
                    <w:snapToGrid w:val="0"/>
                    <w:spacing w:line="240" w:lineRule="auto"/>
                    <w:jc w:val="center"/>
                    <w:rPr>
                      <w:rFonts w:hint="eastAsia"/>
                      <w:sz w:val="21"/>
                      <w:szCs w:val="21"/>
                    </w:rPr>
                  </w:pPr>
                  <w:r>
                    <w:rPr>
                      <w:rFonts w:hint="eastAsia"/>
                      <w:sz w:val="21"/>
                      <w:szCs w:val="21"/>
                    </w:rPr>
                    <w:t>0.3847</w:t>
                  </w:r>
                </w:p>
              </w:tc>
              <w:tc>
                <w:tcPr>
                  <w:tcW w:w="467" w:type="pct"/>
                  <w:shd w:val="clear" w:color="auto" w:fill="auto"/>
                  <w:vAlign w:val="center"/>
                </w:tcPr>
                <w:p w14:paraId="7145127E">
                  <w:pPr>
                    <w:snapToGrid w:val="0"/>
                    <w:spacing w:line="240" w:lineRule="auto"/>
                    <w:jc w:val="center"/>
                    <w:rPr>
                      <w:rFonts w:hint="eastAsia"/>
                      <w:sz w:val="21"/>
                      <w:szCs w:val="21"/>
                    </w:rPr>
                  </w:pPr>
                  <w:r>
                    <w:rPr>
                      <w:rFonts w:hint="eastAsia"/>
                      <w:sz w:val="21"/>
                      <w:szCs w:val="21"/>
                    </w:rPr>
                    <w:t>5.369</w:t>
                  </w:r>
                </w:p>
              </w:tc>
              <w:tc>
                <w:tcPr>
                  <w:tcW w:w="416" w:type="pct"/>
                  <w:shd w:val="clear" w:color="auto" w:fill="auto"/>
                  <w:vAlign w:val="center"/>
                </w:tcPr>
                <w:p w14:paraId="10575DC9">
                  <w:pPr>
                    <w:snapToGrid w:val="0"/>
                    <w:spacing w:line="240" w:lineRule="auto"/>
                    <w:jc w:val="center"/>
                    <w:rPr>
                      <w:rFonts w:hint="eastAsia"/>
                      <w:sz w:val="21"/>
                      <w:szCs w:val="21"/>
                    </w:rPr>
                  </w:pPr>
                  <w:r>
                    <w:rPr>
                      <w:rFonts w:hint="eastAsia"/>
                      <w:sz w:val="21"/>
                      <w:szCs w:val="21"/>
                    </w:rPr>
                    <w:t>23.49</w:t>
                  </w:r>
                </w:p>
              </w:tc>
              <w:tc>
                <w:tcPr>
                  <w:tcW w:w="497" w:type="pct"/>
                  <w:shd w:val="clear" w:color="auto" w:fill="auto"/>
                  <w:vAlign w:val="center"/>
                </w:tcPr>
                <w:p w14:paraId="7F4EEE25">
                  <w:pPr>
                    <w:snapToGrid w:val="0"/>
                    <w:spacing w:line="240" w:lineRule="auto"/>
                    <w:jc w:val="center"/>
                    <w:rPr>
                      <w:rFonts w:hint="eastAsia"/>
                      <w:sz w:val="21"/>
                      <w:szCs w:val="21"/>
                    </w:rPr>
                  </w:pPr>
                  <w:r>
                    <w:rPr>
                      <w:rFonts w:hint="eastAsia"/>
                      <w:sz w:val="21"/>
                      <w:szCs w:val="21"/>
                    </w:rPr>
                    <w:t>0.5881</w:t>
                  </w:r>
                </w:p>
              </w:tc>
              <w:tc>
                <w:tcPr>
                  <w:tcW w:w="467" w:type="pct"/>
                  <w:tcBorders>
                    <w:right w:val="nil"/>
                  </w:tcBorders>
                  <w:vAlign w:val="center"/>
                </w:tcPr>
                <w:p w14:paraId="3BAEAE4E">
                  <w:pPr>
                    <w:spacing w:line="360" w:lineRule="exact"/>
                    <w:jc w:val="center"/>
                    <w:rPr>
                      <w:rFonts w:hint="default"/>
                      <w:bCs/>
                      <w:spacing w:val="-6"/>
                      <w:sz w:val="21"/>
                      <w:szCs w:val="21"/>
                      <w:lang w:val="en-US" w:eastAsia="zh-CN"/>
                    </w:rPr>
                  </w:pPr>
                  <w:r>
                    <w:rPr>
                      <w:rFonts w:hint="eastAsia"/>
                      <w:bCs/>
                      <w:spacing w:val="-6"/>
                      <w:sz w:val="21"/>
                      <w:szCs w:val="21"/>
                      <w:lang w:val="en-US" w:eastAsia="zh-CN"/>
                    </w:rPr>
                    <w:t>0.20</w:t>
                  </w:r>
                </w:p>
              </w:tc>
            </w:tr>
            <w:tr w14:paraId="1C15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41A7DBF0">
                  <w:pPr>
                    <w:spacing w:line="360" w:lineRule="exact"/>
                    <w:jc w:val="center"/>
                    <w:rPr>
                      <w:rFonts w:hint="eastAsia"/>
                      <w:bCs/>
                      <w:spacing w:val="-6"/>
                      <w:sz w:val="21"/>
                      <w:szCs w:val="21"/>
                      <w:lang w:val="en-US" w:eastAsia="zh-CN"/>
                    </w:rPr>
                  </w:pPr>
                </w:p>
              </w:tc>
              <w:tc>
                <w:tcPr>
                  <w:tcW w:w="480" w:type="pct"/>
                  <w:vMerge w:val="continue"/>
                  <w:vAlign w:val="center"/>
                </w:tcPr>
                <w:p w14:paraId="62A56279">
                  <w:pPr>
                    <w:spacing w:line="360" w:lineRule="exact"/>
                    <w:jc w:val="center"/>
                    <w:rPr>
                      <w:rFonts w:hint="eastAsia"/>
                      <w:bCs/>
                      <w:spacing w:val="-6"/>
                      <w:sz w:val="21"/>
                      <w:szCs w:val="21"/>
                      <w:lang w:val="en-US" w:eastAsia="zh-CN"/>
                    </w:rPr>
                  </w:pPr>
                </w:p>
              </w:tc>
              <w:tc>
                <w:tcPr>
                  <w:tcW w:w="739" w:type="pct"/>
                  <w:vAlign w:val="center"/>
                </w:tcPr>
                <w:p w14:paraId="6B66DCBF">
                  <w:pPr>
                    <w:spacing w:line="360" w:lineRule="exact"/>
                    <w:jc w:val="center"/>
                    <w:rPr>
                      <w:rFonts w:hint="eastAsia"/>
                      <w:bCs/>
                      <w:spacing w:val="-6"/>
                      <w:sz w:val="21"/>
                      <w:szCs w:val="21"/>
                      <w:lang w:val="en-US" w:eastAsia="zh-CN"/>
                    </w:rPr>
                  </w:pPr>
                  <w:r>
                    <w:rPr>
                      <w:rFonts w:hint="eastAsia"/>
                      <w:bCs/>
                      <w:spacing w:val="-6"/>
                      <w:sz w:val="21"/>
                      <w:szCs w:val="21"/>
                      <w:lang w:val="en-US" w:eastAsia="zh-CN"/>
                    </w:rPr>
                    <w:t>40.8mm（30mm硫酸钡水泥）</w:t>
                  </w:r>
                </w:p>
              </w:tc>
              <w:tc>
                <w:tcPr>
                  <w:tcW w:w="518" w:type="pct"/>
                  <w:shd w:val="clear" w:color="auto" w:fill="auto"/>
                  <w:vAlign w:val="center"/>
                </w:tcPr>
                <w:p w14:paraId="74CB05CD">
                  <w:pPr>
                    <w:snapToGrid w:val="0"/>
                    <w:spacing w:line="240" w:lineRule="auto"/>
                    <w:jc w:val="center"/>
                    <w:rPr>
                      <w:rFonts w:hint="eastAsia"/>
                      <w:sz w:val="21"/>
                      <w:szCs w:val="21"/>
                    </w:rPr>
                  </w:pPr>
                  <w:r>
                    <w:rPr>
                      <w:rFonts w:hint="eastAsia"/>
                      <w:sz w:val="21"/>
                      <w:szCs w:val="21"/>
                    </w:rPr>
                    <w:t>0.05087</w:t>
                  </w:r>
                </w:p>
              </w:tc>
              <w:tc>
                <w:tcPr>
                  <w:tcW w:w="450" w:type="pct"/>
                  <w:shd w:val="clear" w:color="auto" w:fill="auto"/>
                  <w:vAlign w:val="center"/>
                </w:tcPr>
                <w:p w14:paraId="52135B93">
                  <w:pPr>
                    <w:snapToGrid w:val="0"/>
                    <w:spacing w:line="240" w:lineRule="auto"/>
                    <w:jc w:val="center"/>
                    <w:rPr>
                      <w:rFonts w:hint="eastAsia"/>
                      <w:sz w:val="21"/>
                      <w:szCs w:val="21"/>
                    </w:rPr>
                  </w:pPr>
                  <w:r>
                    <w:rPr>
                      <w:rFonts w:hint="eastAsia"/>
                      <w:sz w:val="21"/>
                      <w:szCs w:val="21"/>
                    </w:rPr>
                    <w:t>0.1696</w:t>
                  </w:r>
                </w:p>
              </w:tc>
              <w:tc>
                <w:tcPr>
                  <w:tcW w:w="467" w:type="pct"/>
                  <w:shd w:val="clear" w:color="auto" w:fill="auto"/>
                  <w:vAlign w:val="center"/>
                </w:tcPr>
                <w:p w14:paraId="576B0766">
                  <w:pPr>
                    <w:snapToGrid w:val="0"/>
                    <w:spacing w:line="240" w:lineRule="auto"/>
                    <w:jc w:val="center"/>
                    <w:rPr>
                      <w:rFonts w:hint="eastAsia"/>
                      <w:sz w:val="21"/>
                      <w:szCs w:val="21"/>
                    </w:rPr>
                  </w:pPr>
                  <w:r>
                    <w:rPr>
                      <w:rFonts w:hint="eastAsia"/>
                      <w:sz w:val="21"/>
                      <w:szCs w:val="21"/>
                    </w:rPr>
                    <w:t>0.3847</w:t>
                  </w:r>
                </w:p>
              </w:tc>
              <w:tc>
                <w:tcPr>
                  <w:tcW w:w="467" w:type="pct"/>
                  <w:shd w:val="clear" w:color="auto" w:fill="auto"/>
                  <w:vAlign w:val="center"/>
                </w:tcPr>
                <w:p w14:paraId="1F9E0477">
                  <w:pPr>
                    <w:snapToGrid w:val="0"/>
                    <w:spacing w:line="240" w:lineRule="auto"/>
                    <w:jc w:val="center"/>
                    <w:rPr>
                      <w:rFonts w:hint="eastAsia"/>
                      <w:sz w:val="21"/>
                      <w:szCs w:val="21"/>
                    </w:rPr>
                  </w:pPr>
                  <w:r>
                    <w:rPr>
                      <w:rFonts w:hint="eastAsia"/>
                      <w:sz w:val="21"/>
                      <w:szCs w:val="21"/>
                    </w:rPr>
                    <w:t>5.369</w:t>
                  </w:r>
                </w:p>
              </w:tc>
              <w:tc>
                <w:tcPr>
                  <w:tcW w:w="416" w:type="pct"/>
                  <w:shd w:val="clear" w:color="auto" w:fill="auto"/>
                  <w:vAlign w:val="center"/>
                </w:tcPr>
                <w:p w14:paraId="66823B3A">
                  <w:pPr>
                    <w:snapToGrid w:val="0"/>
                    <w:spacing w:line="240" w:lineRule="auto"/>
                    <w:jc w:val="center"/>
                    <w:rPr>
                      <w:rFonts w:hint="eastAsia"/>
                      <w:sz w:val="21"/>
                      <w:szCs w:val="21"/>
                    </w:rPr>
                  </w:pPr>
                  <w:r>
                    <w:rPr>
                      <w:rFonts w:hint="eastAsia"/>
                      <w:sz w:val="21"/>
                      <w:szCs w:val="21"/>
                    </w:rPr>
                    <w:t>23.49</w:t>
                  </w:r>
                </w:p>
              </w:tc>
              <w:tc>
                <w:tcPr>
                  <w:tcW w:w="497" w:type="pct"/>
                  <w:shd w:val="clear" w:color="auto" w:fill="auto"/>
                  <w:vAlign w:val="center"/>
                </w:tcPr>
                <w:p w14:paraId="3D55B306">
                  <w:pPr>
                    <w:snapToGrid w:val="0"/>
                    <w:spacing w:line="240" w:lineRule="auto"/>
                    <w:jc w:val="center"/>
                    <w:rPr>
                      <w:rFonts w:hint="eastAsia"/>
                      <w:sz w:val="21"/>
                      <w:szCs w:val="21"/>
                    </w:rPr>
                  </w:pPr>
                  <w:r>
                    <w:rPr>
                      <w:rFonts w:hint="eastAsia"/>
                      <w:sz w:val="21"/>
                      <w:szCs w:val="21"/>
                    </w:rPr>
                    <w:t>0.5881</w:t>
                  </w:r>
                </w:p>
              </w:tc>
              <w:tc>
                <w:tcPr>
                  <w:tcW w:w="467" w:type="pct"/>
                  <w:tcBorders>
                    <w:right w:val="nil"/>
                  </w:tcBorders>
                  <w:vAlign w:val="center"/>
                </w:tcPr>
                <w:p w14:paraId="68B3B256">
                  <w:pPr>
                    <w:spacing w:line="360" w:lineRule="exact"/>
                    <w:jc w:val="center"/>
                    <w:rPr>
                      <w:rFonts w:hint="default"/>
                      <w:bCs/>
                      <w:spacing w:val="-6"/>
                      <w:sz w:val="21"/>
                      <w:szCs w:val="21"/>
                      <w:lang w:val="en-US" w:eastAsia="zh-CN"/>
                    </w:rPr>
                  </w:pPr>
                  <w:r>
                    <w:rPr>
                      <w:rFonts w:hint="eastAsia"/>
                      <w:bCs/>
                      <w:spacing w:val="-6"/>
                      <w:sz w:val="21"/>
                      <w:szCs w:val="21"/>
                      <w:lang w:val="en-US" w:eastAsia="zh-CN"/>
                    </w:rPr>
                    <w:t>0.43</w:t>
                  </w:r>
                </w:p>
              </w:tc>
            </w:tr>
            <w:tr w14:paraId="4A94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6CE1F7A4">
                  <w:pPr>
                    <w:spacing w:line="360" w:lineRule="exact"/>
                    <w:jc w:val="center"/>
                    <w:rPr>
                      <w:bCs/>
                      <w:spacing w:val="-6"/>
                      <w:sz w:val="21"/>
                      <w:szCs w:val="21"/>
                    </w:rPr>
                  </w:pPr>
                </w:p>
              </w:tc>
              <w:tc>
                <w:tcPr>
                  <w:tcW w:w="480" w:type="pct"/>
                  <w:vMerge w:val="restart"/>
                  <w:vAlign w:val="center"/>
                </w:tcPr>
                <w:p w14:paraId="2839A4B8">
                  <w:pPr>
                    <w:spacing w:line="360" w:lineRule="exact"/>
                    <w:jc w:val="center"/>
                    <w:rPr>
                      <w:rFonts w:hint="eastAsia" w:eastAsia="宋体"/>
                      <w:bCs/>
                      <w:spacing w:val="-6"/>
                      <w:sz w:val="21"/>
                      <w:szCs w:val="21"/>
                      <w:lang w:val="en-US" w:eastAsia="zh-CN"/>
                    </w:rPr>
                  </w:pPr>
                  <w:r>
                    <w:rPr>
                      <w:rFonts w:hint="eastAsia"/>
                      <w:bCs/>
                      <w:spacing w:val="-6"/>
                      <w:sz w:val="21"/>
                      <w:szCs w:val="21"/>
                      <w:lang w:val="en-US" w:eastAsia="zh-CN"/>
                    </w:rPr>
                    <w:t>砖</w:t>
                  </w:r>
                </w:p>
              </w:tc>
              <w:tc>
                <w:tcPr>
                  <w:tcW w:w="739" w:type="pct"/>
                  <w:vAlign w:val="center"/>
                </w:tcPr>
                <w:p w14:paraId="1CE4B6CD">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240</w:t>
                  </w:r>
                </w:p>
              </w:tc>
              <w:tc>
                <w:tcPr>
                  <w:tcW w:w="518" w:type="pct"/>
                  <w:shd w:val="clear" w:color="auto" w:fill="auto"/>
                  <w:vAlign w:val="center"/>
                </w:tcPr>
                <w:p w14:paraId="217801EC">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0.05060</w:t>
                  </w:r>
                </w:p>
              </w:tc>
              <w:tc>
                <w:tcPr>
                  <w:tcW w:w="450" w:type="pct"/>
                  <w:shd w:val="clear" w:color="auto" w:fill="auto"/>
                  <w:vAlign w:val="center"/>
                </w:tcPr>
                <w:p w14:paraId="4471E9DE">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0.1370</w:t>
                  </w:r>
                </w:p>
              </w:tc>
              <w:tc>
                <w:tcPr>
                  <w:tcW w:w="467" w:type="pct"/>
                  <w:shd w:val="clear" w:color="auto" w:fill="auto"/>
                  <w:vAlign w:val="center"/>
                </w:tcPr>
                <w:p w14:paraId="6A4D3118">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0.7150</w:t>
                  </w:r>
                </w:p>
              </w:tc>
              <w:tc>
                <w:tcPr>
                  <w:tcW w:w="467" w:type="pct"/>
                  <w:shd w:val="clear" w:color="auto" w:fill="auto"/>
                  <w:vAlign w:val="center"/>
                </w:tcPr>
                <w:p w14:paraId="75A4A525">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5.369</w:t>
                  </w:r>
                </w:p>
              </w:tc>
              <w:tc>
                <w:tcPr>
                  <w:tcW w:w="416" w:type="pct"/>
                  <w:shd w:val="clear" w:color="auto" w:fill="auto"/>
                  <w:vAlign w:val="center"/>
                </w:tcPr>
                <w:p w14:paraId="0B4AAD4B">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23.49</w:t>
                  </w:r>
                </w:p>
              </w:tc>
              <w:tc>
                <w:tcPr>
                  <w:tcW w:w="497" w:type="pct"/>
                  <w:shd w:val="clear" w:color="auto" w:fill="auto"/>
                  <w:vAlign w:val="center"/>
                </w:tcPr>
                <w:p w14:paraId="791AEE79">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0.5881</w:t>
                  </w:r>
                </w:p>
              </w:tc>
              <w:tc>
                <w:tcPr>
                  <w:tcW w:w="467" w:type="pct"/>
                  <w:tcBorders>
                    <w:right w:val="nil"/>
                  </w:tcBorders>
                  <w:vAlign w:val="center"/>
                </w:tcPr>
                <w:p w14:paraId="154CDEC0">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2.07</w:t>
                  </w:r>
                </w:p>
              </w:tc>
            </w:tr>
            <w:tr w14:paraId="5BA4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349D0DE7">
                  <w:pPr>
                    <w:spacing w:line="360" w:lineRule="exact"/>
                    <w:jc w:val="center"/>
                    <w:rPr>
                      <w:bCs/>
                      <w:spacing w:val="-6"/>
                      <w:sz w:val="21"/>
                      <w:szCs w:val="21"/>
                    </w:rPr>
                  </w:pPr>
                </w:p>
              </w:tc>
              <w:tc>
                <w:tcPr>
                  <w:tcW w:w="480" w:type="pct"/>
                  <w:vMerge w:val="continue"/>
                  <w:vAlign w:val="center"/>
                </w:tcPr>
                <w:p w14:paraId="17E4BD8F">
                  <w:pPr>
                    <w:spacing w:line="360" w:lineRule="exact"/>
                    <w:jc w:val="center"/>
                    <w:rPr>
                      <w:rFonts w:hint="eastAsia"/>
                      <w:bCs/>
                      <w:spacing w:val="-6"/>
                      <w:sz w:val="21"/>
                      <w:szCs w:val="21"/>
                      <w:lang w:val="en-US" w:eastAsia="zh-CN"/>
                    </w:rPr>
                  </w:pPr>
                </w:p>
              </w:tc>
              <w:tc>
                <w:tcPr>
                  <w:tcW w:w="739" w:type="pct"/>
                  <w:vAlign w:val="center"/>
                </w:tcPr>
                <w:p w14:paraId="0DB83D8E">
                  <w:pPr>
                    <w:spacing w:line="360" w:lineRule="exact"/>
                    <w:jc w:val="center"/>
                    <w:rPr>
                      <w:rFonts w:hint="default"/>
                      <w:bCs/>
                      <w:spacing w:val="-6"/>
                      <w:sz w:val="21"/>
                      <w:szCs w:val="21"/>
                      <w:lang w:val="en-US" w:eastAsia="zh-CN"/>
                    </w:rPr>
                  </w:pPr>
                  <w:r>
                    <w:rPr>
                      <w:rFonts w:hint="eastAsia"/>
                      <w:bCs/>
                      <w:spacing w:val="-6"/>
                      <w:sz w:val="21"/>
                      <w:szCs w:val="21"/>
                      <w:lang w:val="en-US" w:eastAsia="zh-CN"/>
                    </w:rPr>
                    <w:t>370</w:t>
                  </w:r>
                </w:p>
              </w:tc>
              <w:tc>
                <w:tcPr>
                  <w:tcW w:w="518" w:type="pct"/>
                  <w:shd w:val="clear" w:color="auto" w:fill="auto"/>
                  <w:vAlign w:val="center"/>
                </w:tcPr>
                <w:p w14:paraId="1F331F23">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0.05060</w:t>
                  </w:r>
                </w:p>
              </w:tc>
              <w:tc>
                <w:tcPr>
                  <w:tcW w:w="450" w:type="pct"/>
                  <w:shd w:val="clear" w:color="auto" w:fill="auto"/>
                  <w:vAlign w:val="center"/>
                </w:tcPr>
                <w:p w14:paraId="2B94B4DA">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0.1370</w:t>
                  </w:r>
                </w:p>
              </w:tc>
              <w:tc>
                <w:tcPr>
                  <w:tcW w:w="467" w:type="pct"/>
                  <w:shd w:val="clear" w:color="auto" w:fill="auto"/>
                  <w:vAlign w:val="center"/>
                </w:tcPr>
                <w:p w14:paraId="32E66D10">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0.7150</w:t>
                  </w:r>
                </w:p>
              </w:tc>
              <w:tc>
                <w:tcPr>
                  <w:tcW w:w="467" w:type="pct"/>
                  <w:shd w:val="clear" w:color="auto" w:fill="auto"/>
                  <w:vAlign w:val="center"/>
                </w:tcPr>
                <w:p w14:paraId="2AF0BA71">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5.369</w:t>
                  </w:r>
                </w:p>
              </w:tc>
              <w:tc>
                <w:tcPr>
                  <w:tcW w:w="416" w:type="pct"/>
                  <w:shd w:val="clear" w:color="auto" w:fill="auto"/>
                  <w:vAlign w:val="center"/>
                </w:tcPr>
                <w:p w14:paraId="15290C1B">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23.49</w:t>
                  </w:r>
                </w:p>
              </w:tc>
              <w:tc>
                <w:tcPr>
                  <w:tcW w:w="497" w:type="pct"/>
                  <w:shd w:val="clear" w:color="auto" w:fill="auto"/>
                  <w:vAlign w:val="center"/>
                </w:tcPr>
                <w:p w14:paraId="110103A5">
                  <w:pPr>
                    <w:snapToGrid w:val="0"/>
                    <w:spacing w:line="240" w:lineRule="auto"/>
                    <w:jc w:val="center"/>
                    <w:rPr>
                      <w:rFonts w:hint="eastAsia" w:ascii="Times New Roman" w:hAnsi="Times New Roman" w:eastAsia="宋体" w:cs="Times New Roman"/>
                      <w:sz w:val="21"/>
                      <w:szCs w:val="21"/>
                      <w:lang w:val="en-US" w:eastAsia="zh-CN" w:bidi="ar-SA"/>
                    </w:rPr>
                  </w:pPr>
                  <w:r>
                    <w:rPr>
                      <w:rFonts w:hint="eastAsia"/>
                      <w:sz w:val="21"/>
                      <w:szCs w:val="21"/>
                    </w:rPr>
                    <w:t>0.5881</w:t>
                  </w:r>
                </w:p>
              </w:tc>
              <w:tc>
                <w:tcPr>
                  <w:tcW w:w="467" w:type="pct"/>
                  <w:tcBorders>
                    <w:right w:val="nil"/>
                  </w:tcBorders>
                  <w:vAlign w:val="center"/>
                </w:tcPr>
                <w:p w14:paraId="4A758D23">
                  <w:pPr>
                    <w:spacing w:line="360" w:lineRule="exact"/>
                    <w:jc w:val="center"/>
                    <w:rPr>
                      <w:rFonts w:hint="default"/>
                      <w:bCs/>
                      <w:spacing w:val="-6"/>
                      <w:sz w:val="21"/>
                      <w:szCs w:val="21"/>
                      <w:lang w:val="en-US" w:eastAsia="zh-CN"/>
                    </w:rPr>
                  </w:pPr>
                  <w:r>
                    <w:rPr>
                      <w:rFonts w:hint="eastAsia"/>
                      <w:bCs/>
                      <w:spacing w:val="-6"/>
                      <w:sz w:val="21"/>
                      <w:szCs w:val="21"/>
                      <w:lang w:val="en-US" w:eastAsia="zh-CN"/>
                    </w:rPr>
                    <w:t>3.30</w:t>
                  </w:r>
                </w:p>
              </w:tc>
            </w:tr>
            <w:tr w14:paraId="6A7B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restart"/>
                  <w:tcBorders>
                    <w:left w:val="nil"/>
                  </w:tcBorders>
                  <w:vAlign w:val="center"/>
                </w:tcPr>
                <w:p w14:paraId="41CA8EBF">
                  <w:pPr>
                    <w:spacing w:line="360" w:lineRule="exact"/>
                    <w:jc w:val="center"/>
                    <w:rPr>
                      <w:bCs/>
                      <w:spacing w:val="-6"/>
                      <w:sz w:val="21"/>
                      <w:szCs w:val="21"/>
                    </w:rPr>
                  </w:pPr>
                  <w:r>
                    <w:rPr>
                      <w:bCs/>
                      <w:spacing w:val="-6"/>
                      <w:sz w:val="21"/>
                      <w:szCs w:val="21"/>
                    </w:rPr>
                    <w:t>140kV</w:t>
                  </w:r>
                </w:p>
              </w:tc>
              <w:tc>
                <w:tcPr>
                  <w:tcW w:w="480" w:type="pct"/>
                  <w:vMerge w:val="restart"/>
                  <w:vAlign w:val="center"/>
                </w:tcPr>
                <w:p w14:paraId="12D30E8E">
                  <w:pPr>
                    <w:spacing w:line="360" w:lineRule="exact"/>
                    <w:jc w:val="center"/>
                    <w:rPr>
                      <w:bCs/>
                      <w:spacing w:val="-6"/>
                      <w:sz w:val="21"/>
                      <w:szCs w:val="21"/>
                    </w:rPr>
                  </w:pPr>
                  <w:r>
                    <w:rPr>
                      <w:bCs/>
                      <w:spacing w:val="-6"/>
                      <w:sz w:val="21"/>
                      <w:szCs w:val="21"/>
                    </w:rPr>
                    <w:t>混凝土</w:t>
                  </w:r>
                </w:p>
              </w:tc>
              <w:tc>
                <w:tcPr>
                  <w:tcW w:w="739" w:type="pct"/>
                  <w:vAlign w:val="center"/>
                </w:tcPr>
                <w:p w14:paraId="45E216E8">
                  <w:pPr>
                    <w:spacing w:line="360" w:lineRule="exact"/>
                    <w:jc w:val="center"/>
                    <w:rPr>
                      <w:bCs/>
                      <w:spacing w:val="-6"/>
                      <w:sz w:val="21"/>
                      <w:szCs w:val="21"/>
                    </w:rPr>
                  </w:pPr>
                  <w:r>
                    <w:rPr>
                      <w:bCs/>
                      <w:spacing w:val="-6"/>
                      <w:sz w:val="21"/>
                      <w:szCs w:val="21"/>
                    </w:rPr>
                    <w:t>180</w:t>
                  </w:r>
                </w:p>
              </w:tc>
              <w:tc>
                <w:tcPr>
                  <w:tcW w:w="518" w:type="pct"/>
                  <w:vAlign w:val="center"/>
                </w:tcPr>
                <w:p w14:paraId="0D959A66">
                  <w:pPr>
                    <w:spacing w:line="360" w:lineRule="exact"/>
                    <w:jc w:val="center"/>
                    <w:rPr>
                      <w:bCs/>
                      <w:spacing w:val="-6"/>
                      <w:sz w:val="21"/>
                      <w:szCs w:val="21"/>
                    </w:rPr>
                  </w:pPr>
                  <w:r>
                    <w:rPr>
                      <w:bCs/>
                      <w:spacing w:val="-6"/>
                      <w:sz w:val="21"/>
                      <w:szCs w:val="21"/>
                    </w:rPr>
                    <w:t>0.0336</w:t>
                  </w:r>
                </w:p>
              </w:tc>
              <w:tc>
                <w:tcPr>
                  <w:tcW w:w="450" w:type="pct"/>
                  <w:vAlign w:val="center"/>
                </w:tcPr>
                <w:p w14:paraId="3F5105E9">
                  <w:pPr>
                    <w:spacing w:line="360" w:lineRule="exact"/>
                    <w:jc w:val="center"/>
                    <w:rPr>
                      <w:bCs/>
                      <w:spacing w:val="-6"/>
                      <w:sz w:val="21"/>
                      <w:szCs w:val="21"/>
                    </w:rPr>
                  </w:pPr>
                  <w:r>
                    <w:rPr>
                      <w:bCs/>
                      <w:spacing w:val="-6"/>
                      <w:sz w:val="21"/>
                      <w:szCs w:val="21"/>
                    </w:rPr>
                    <w:t>0.0122</w:t>
                  </w:r>
                </w:p>
              </w:tc>
              <w:tc>
                <w:tcPr>
                  <w:tcW w:w="467" w:type="pct"/>
                  <w:vAlign w:val="center"/>
                </w:tcPr>
                <w:p w14:paraId="225C80BB">
                  <w:pPr>
                    <w:spacing w:line="360" w:lineRule="exact"/>
                    <w:jc w:val="center"/>
                    <w:rPr>
                      <w:bCs/>
                      <w:spacing w:val="-6"/>
                      <w:sz w:val="21"/>
                      <w:szCs w:val="21"/>
                    </w:rPr>
                  </w:pPr>
                  <w:r>
                    <w:rPr>
                      <w:bCs/>
                      <w:spacing w:val="-6"/>
                      <w:sz w:val="21"/>
                      <w:szCs w:val="21"/>
                    </w:rPr>
                    <w:t>0.519</w:t>
                  </w:r>
                </w:p>
              </w:tc>
              <w:tc>
                <w:tcPr>
                  <w:tcW w:w="467" w:type="pct"/>
                  <w:vAlign w:val="center"/>
                </w:tcPr>
                <w:p w14:paraId="51C34B8B">
                  <w:pPr>
                    <w:spacing w:line="360" w:lineRule="exact"/>
                    <w:jc w:val="center"/>
                    <w:rPr>
                      <w:bCs/>
                      <w:spacing w:val="-6"/>
                      <w:sz w:val="21"/>
                      <w:szCs w:val="21"/>
                    </w:rPr>
                  </w:pPr>
                  <w:r>
                    <w:rPr>
                      <w:bCs/>
                      <w:spacing w:val="-6"/>
                      <w:sz w:val="21"/>
                      <w:szCs w:val="21"/>
                    </w:rPr>
                    <w:t>2.009</w:t>
                  </w:r>
                </w:p>
              </w:tc>
              <w:tc>
                <w:tcPr>
                  <w:tcW w:w="416" w:type="pct"/>
                  <w:vAlign w:val="center"/>
                </w:tcPr>
                <w:p w14:paraId="4C35E385">
                  <w:pPr>
                    <w:spacing w:line="360" w:lineRule="exact"/>
                    <w:jc w:val="center"/>
                    <w:rPr>
                      <w:bCs/>
                      <w:spacing w:val="-6"/>
                      <w:sz w:val="21"/>
                      <w:szCs w:val="21"/>
                    </w:rPr>
                  </w:pPr>
                  <w:r>
                    <w:rPr>
                      <w:bCs/>
                      <w:spacing w:val="-6"/>
                      <w:sz w:val="21"/>
                      <w:szCs w:val="21"/>
                    </w:rPr>
                    <w:t>3.990</w:t>
                  </w:r>
                </w:p>
              </w:tc>
              <w:tc>
                <w:tcPr>
                  <w:tcW w:w="497" w:type="pct"/>
                  <w:vAlign w:val="center"/>
                </w:tcPr>
                <w:p w14:paraId="4A663EDB">
                  <w:pPr>
                    <w:spacing w:line="360" w:lineRule="exact"/>
                    <w:jc w:val="center"/>
                    <w:rPr>
                      <w:bCs/>
                      <w:spacing w:val="-6"/>
                      <w:sz w:val="21"/>
                      <w:szCs w:val="21"/>
                    </w:rPr>
                  </w:pPr>
                  <w:r>
                    <w:rPr>
                      <w:bCs/>
                      <w:spacing w:val="-6"/>
                      <w:sz w:val="21"/>
                      <w:szCs w:val="21"/>
                    </w:rPr>
                    <w:t>0.342</w:t>
                  </w:r>
                </w:p>
              </w:tc>
              <w:tc>
                <w:tcPr>
                  <w:tcW w:w="467" w:type="pct"/>
                  <w:tcBorders>
                    <w:right w:val="nil"/>
                  </w:tcBorders>
                  <w:vAlign w:val="center"/>
                </w:tcPr>
                <w:p w14:paraId="4F8633B8">
                  <w:pPr>
                    <w:spacing w:line="360" w:lineRule="exact"/>
                    <w:jc w:val="center"/>
                    <w:rPr>
                      <w:bCs/>
                      <w:spacing w:val="-6"/>
                      <w:sz w:val="21"/>
                      <w:szCs w:val="21"/>
                    </w:rPr>
                  </w:pPr>
                  <w:r>
                    <w:rPr>
                      <w:bCs/>
                      <w:spacing w:val="-6"/>
                      <w:sz w:val="21"/>
                      <w:szCs w:val="21"/>
                    </w:rPr>
                    <w:t>1.98</w:t>
                  </w:r>
                </w:p>
              </w:tc>
            </w:tr>
            <w:tr w14:paraId="4EDB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26FA5F9B">
                  <w:pPr>
                    <w:spacing w:line="360" w:lineRule="exact"/>
                    <w:jc w:val="center"/>
                    <w:rPr>
                      <w:bCs/>
                      <w:spacing w:val="-6"/>
                      <w:sz w:val="21"/>
                      <w:szCs w:val="21"/>
                    </w:rPr>
                  </w:pPr>
                </w:p>
              </w:tc>
              <w:tc>
                <w:tcPr>
                  <w:tcW w:w="480" w:type="pct"/>
                  <w:vMerge w:val="continue"/>
                  <w:vAlign w:val="center"/>
                </w:tcPr>
                <w:p w14:paraId="6D844BA8">
                  <w:pPr>
                    <w:spacing w:line="360" w:lineRule="exact"/>
                    <w:jc w:val="center"/>
                    <w:rPr>
                      <w:bCs/>
                      <w:spacing w:val="-6"/>
                      <w:sz w:val="21"/>
                      <w:szCs w:val="21"/>
                    </w:rPr>
                  </w:pPr>
                </w:p>
              </w:tc>
              <w:tc>
                <w:tcPr>
                  <w:tcW w:w="739" w:type="pct"/>
                  <w:vAlign w:val="center"/>
                </w:tcPr>
                <w:p w14:paraId="431E6A77">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200</w:t>
                  </w:r>
                </w:p>
              </w:tc>
              <w:tc>
                <w:tcPr>
                  <w:tcW w:w="518" w:type="pct"/>
                  <w:shd w:val="clear" w:color="auto" w:fill="auto"/>
                  <w:vAlign w:val="center"/>
                </w:tcPr>
                <w:p w14:paraId="1F5B4FDD">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0.0336</w:t>
                  </w:r>
                </w:p>
              </w:tc>
              <w:tc>
                <w:tcPr>
                  <w:tcW w:w="450" w:type="pct"/>
                  <w:shd w:val="clear" w:color="auto" w:fill="auto"/>
                  <w:vAlign w:val="center"/>
                </w:tcPr>
                <w:p w14:paraId="6F27FBBC">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0.0122</w:t>
                  </w:r>
                </w:p>
              </w:tc>
              <w:tc>
                <w:tcPr>
                  <w:tcW w:w="467" w:type="pct"/>
                  <w:shd w:val="clear" w:color="auto" w:fill="auto"/>
                  <w:vAlign w:val="center"/>
                </w:tcPr>
                <w:p w14:paraId="5156153D">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0.519</w:t>
                  </w:r>
                </w:p>
              </w:tc>
              <w:tc>
                <w:tcPr>
                  <w:tcW w:w="467" w:type="pct"/>
                  <w:shd w:val="clear" w:color="auto" w:fill="auto"/>
                  <w:vAlign w:val="center"/>
                </w:tcPr>
                <w:p w14:paraId="5A0FFB9E">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2.009</w:t>
                  </w:r>
                </w:p>
              </w:tc>
              <w:tc>
                <w:tcPr>
                  <w:tcW w:w="416" w:type="pct"/>
                  <w:shd w:val="clear" w:color="auto" w:fill="auto"/>
                  <w:vAlign w:val="center"/>
                </w:tcPr>
                <w:p w14:paraId="625D5ED5">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3.990</w:t>
                  </w:r>
                </w:p>
              </w:tc>
              <w:tc>
                <w:tcPr>
                  <w:tcW w:w="497" w:type="pct"/>
                  <w:shd w:val="clear" w:color="auto" w:fill="auto"/>
                  <w:vAlign w:val="center"/>
                </w:tcPr>
                <w:p w14:paraId="0BD63245">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0.342</w:t>
                  </w:r>
                </w:p>
              </w:tc>
              <w:tc>
                <w:tcPr>
                  <w:tcW w:w="467" w:type="pct"/>
                  <w:tcBorders>
                    <w:right w:val="nil"/>
                  </w:tcBorders>
                  <w:vAlign w:val="center"/>
                </w:tcPr>
                <w:p w14:paraId="00EA9212">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2.26</w:t>
                  </w:r>
                </w:p>
              </w:tc>
            </w:tr>
            <w:tr w14:paraId="1F00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53144835">
                  <w:pPr>
                    <w:spacing w:line="360" w:lineRule="exact"/>
                    <w:jc w:val="center"/>
                    <w:rPr>
                      <w:bCs/>
                      <w:spacing w:val="-6"/>
                      <w:sz w:val="21"/>
                      <w:szCs w:val="21"/>
                    </w:rPr>
                  </w:pPr>
                </w:p>
              </w:tc>
              <w:tc>
                <w:tcPr>
                  <w:tcW w:w="480" w:type="pct"/>
                  <w:vMerge w:val="continue"/>
                  <w:vAlign w:val="center"/>
                </w:tcPr>
                <w:p w14:paraId="1FB398E1">
                  <w:pPr>
                    <w:spacing w:line="360" w:lineRule="exact"/>
                    <w:jc w:val="center"/>
                    <w:rPr>
                      <w:bCs/>
                      <w:spacing w:val="-6"/>
                      <w:sz w:val="21"/>
                      <w:szCs w:val="21"/>
                    </w:rPr>
                  </w:pPr>
                </w:p>
              </w:tc>
              <w:tc>
                <w:tcPr>
                  <w:tcW w:w="739" w:type="pct"/>
                  <w:vAlign w:val="center"/>
                </w:tcPr>
                <w:p w14:paraId="47FCC169">
                  <w:pPr>
                    <w:spacing w:line="360" w:lineRule="exact"/>
                    <w:jc w:val="center"/>
                    <w:rPr>
                      <w:bCs/>
                      <w:spacing w:val="-6"/>
                      <w:sz w:val="21"/>
                      <w:szCs w:val="21"/>
                    </w:rPr>
                  </w:pPr>
                  <w:r>
                    <w:rPr>
                      <w:bCs/>
                      <w:spacing w:val="-6"/>
                      <w:sz w:val="21"/>
                      <w:szCs w:val="21"/>
                    </w:rPr>
                    <w:t>2</w:t>
                  </w:r>
                  <w:r>
                    <w:rPr>
                      <w:rFonts w:hint="eastAsia"/>
                      <w:bCs/>
                      <w:spacing w:val="-6"/>
                      <w:sz w:val="21"/>
                      <w:szCs w:val="21"/>
                      <w:lang w:val="en-US" w:eastAsia="zh-CN"/>
                    </w:rPr>
                    <w:t>5</w:t>
                  </w:r>
                  <w:r>
                    <w:rPr>
                      <w:bCs/>
                      <w:spacing w:val="-6"/>
                      <w:sz w:val="21"/>
                      <w:szCs w:val="21"/>
                    </w:rPr>
                    <w:t>0</w:t>
                  </w:r>
                </w:p>
              </w:tc>
              <w:tc>
                <w:tcPr>
                  <w:tcW w:w="518" w:type="pct"/>
                  <w:vAlign w:val="center"/>
                </w:tcPr>
                <w:p w14:paraId="4694B289">
                  <w:pPr>
                    <w:spacing w:line="360" w:lineRule="exact"/>
                    <w:jc w:val="center"/>
                    <w:rPr>
                      <w:bCs/>
                      <w:spacing w:val="-6"/>
                      <w:sz w:val="21"/>
                      <w:szCs w:val="21"/>
                    </w:rPr>
                  </w:pPr>
                  <w:r>
                    <w:rPr>
                      <w:bCs/>
                      <w:spacing w:val="-6"/>
                      <w:sz w:val="21"/>
                      <w:szCs w:val="21"/>
                    </w:rPr>
                    <w:t>0.0336</w:t>
                  </w:r>
                </w:p>
              </w:tc>
              <w:tc>
                <w:tcPr>
                  <w:tcW w:w="450" w:type="pct"/>
                  <w:vAlign w:val="center"/>
                </w:tcPr>
                <w:p w14:paraId="5191FFFE">
                  <w:pPr>
                    <w:spacing w:line="360" w:lineRule="exact"/>
                    <w:jc w:val="center"/>
                    <w:rPr>
                      <w:bCs/>
                      <w:spacing w:val="-6"/>
                      <w:sz w:val="21"/>
                      <w:szCs w:val="21"/>
                    </w:rPr>
                  </w:pPr>
                  <w:r>
                    <w:rPr>
                      <w:bCs/>
                      <w:spacing w:val="-6"/>
                      <w:sz w:val="21"/>
                      <w:szCs w:val="21"/>
                    </w:rPr>
                    <w:t>0.0122</w:t>
                  </w:r>
                </w:p>
              </w:tc>
              <w:tc>
                <w:tcPr>
                  <w:tcW w:w="467" w:type="pct"/>
                  <w:vAlign w:val="center"/>
                </w:tcPr>
                <w:p w14:paraId="6916A563">
                  <w:pPr>
                    <w:spacing w:line="360" w:lineRule="exact"/>
                    <w:jc w:val="center"/>
                    <w:rPr>
                      <w:bCs/>
                      <w:spacing w:val="-6"/>
                      <w:sz w:val="21"/>
                      <w:szCs w:val="21"/>
                    </w:rPr>
                  </w:pPr>
                  <w:r>
                    <w:rPr>
                      <w:bCs/>
                      <w:spacing w:val="-6"/>
                      <w:sz w:val="21"/>
                      <w:szCs w:val="21"/>
                    </w:rPr>
                    <w:t>0.519</w:t>
                  </w:r>
                </w:p>
              </w:tc>
              <w:tc>
                <w:tcPr>
                  <w:tcW w:w="467" w:type="pct"/>
                  <w:vAlign w:val="center"/>
                </w:tcPr>
                <w:p w14:paraId="24D3B94F">
                  <w:pPr>
                    <w:spacing w:line="360" w:lineRule="exact"/>
                    <w:jc w:val="center"/>
                    <w:rPr>
                      <w:bCs/>
                      <w:spacing w:val="-6"/>
                      <w:sz w:val="21"/>
                      <w:szCs w:val="21"/>
                    </w:rPr>
                  </w:pPr>
                  <w:r>
                    <w:rPr>
                      <w:bCs/>
                      <w:spacing w:val="-6"/>
                      <w:sz w:val="21"/>
                      <w:szCs w:val="21"/>
                    </w:rPr>
                    <w:t>2.009</w:t>
                  </w:r>
                </w:p>
              </w:tc>
              <w:tc>
                <w:tcPr>
                  <w:tcW w:w="416" w:type="pct"/>
                  <w:vAlign w:val="center"/>
                </w:tcPr>
                <w:p w14:paraId="6978C637">
                  <w:pPr>
                    <w:spacing w:line="360" w:lineRule="exact"/>
                    <w:jc w:val="center"/>
                    <w:rPr>
                      <w:bCs/>
                      <w:spacing w:val="-6"/>
                      <w:sz w:val="21"/>
                      <w:szCs w:val="21"/>
                    </w:rPr>
                  </w:pPr>
                  <w:r>
                    <w:rPr>
                      <w:bCs/>
                      <w:spacing w:val="-6"/>
                      <w:sz w:val="21"/>
                      <w:szCs w:val="21"/>
                    </w:rPr>
                    <w:t>3.990</w:t>
                  </w:r>
                </w:p>
              </w:tc>
              <w:tc>
                <w:tcPr>
                  <w:tcW w:w="497" w:type="pct"/>
                  <w:vAlign w:val="center"/>
                </w:tcPr>
                <w:p w14:paraId="595926DD">
                  <w:pPr>
                    <w:spacing w:line="360" w:lineRule="exact"/>
                    <w:jc w:val="center"/>
                    <w:rPr>
                      <w:bCs/>
                      <w:spacing w:val="-6"/>
                      <w:sz w:val="21"/>
                      <w:szCs w:val="21"/>
                    </w:rPr>
                  </w:pPr>
                  <w:r>
                    <w:rPr>
                      <w:bCs/>
                      <w:spacing w:val="-6"/>
                      <w:sz w:val="21"/>
                      <w:szCs w:val="21"/>
                    </w:rPr>
                    <w:t>0.342</w:t>
                  </w:r>
                </w:p>
              </w:tc>
              <w:tc>
                <w:tcPr>
                  <w:tcW w:w="467" w:type="pct"/>
                  <w:tcBorders>
                    <w:right w:val="nil"/>
                  </w:tcBorders>
                  <w:vAlign w:val="center"/>
                </w:tcPr>
                <w:p w14:paraId="4C34C1EE">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3.01</w:t>
                  </w:r>
                </w:p>
              </w:tc>
            </w:tr>
            <w:tr w14:paraId="29E9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7402921E">
                  <w:pPr>
                    <w:spacing w:line="360" w:lineRule="exact"/>
                    <w:jc w:val="center"/>
                    <w:rPr>
                      <w:bCs/>
                      <w:spacing w:val="-6"/>
                      <w:sz w:val="21"/>
                      <w:szCs w:val="21"/>
                    </w:rPr>
                  </w:pPr>
                </w:p>
              </w:tc>
              <w:tc>
                <w:tcPr>
                  <w:tcW w:w="480" w:type="pct"/>
                  <w:vMerge w:val="continue"/>
                  <w:vAlign w:val="center"/>
                </w:tcPr>
                <w:p w14:paraId="21AC8EDF">
                  <w:pPr>
                    <w:spacing w:line="360" w:lineRule="exact"/>
                    <w:jc w:val="center"/>
                    <w:rPr>
                      <w:bCs/>
                      <w:spacing w:val="-6"/>
                      <w:sz w:val="21"/>
                      <w:szCs w:val="21"/>
                    </w:rPr>
                  </w:pPr>
                </w:p>
              </w:tc>
              <w:tc>
                <w:tcPr>
                  <w:tcW w:w="739" w:type="pct"/>
                  <w:vAlign w:val="center"/>
                </w:tcPr>
                <w:p w14:paraId="73F1D228">
                  <w:pPr>
                    <w:spacing w:line="360" w:lineRule="exact"/>
                    <w:jc w:val="center"/>
                    <w:rPr>
                      <w:bCs/>
                      <w:spacing w:val="-6"/>
                      <w:sz w:val="21"/>
                      <w:szCs w:val="21"/>
                    </w:rPr>
                  </w:pPr>
                  <w:r>
                    <w:rPr>
                      <w:bCs/>
                      <w:spacing w:val="-6"/>
                      <w:sz w:val="21"/>
                      <w:szCs w:val="21"/>
                    </w:rPr>
                    <w:t>300</w:t>
                  </w:r>
                </w:p>
              </w:tc>
              <w:tc>
                <w:tcPr>
                  <w:tcW w:w="518" w:type="pct"/>
                  <w:vAlign w:val="center"/>
                </w:tcPr>
                <w:p w14:paraId="1F183DDF">
                  <w:pPr>
                    <w:spacing w:line="360" w:lineRule="exact"/>
                    <w:jc w:val="center"/>
                    <w:rPr>
                      <w:bCs/>
                      <w:spacing w:val="-6"/>
                      <w:sz w:val="21"/>
                      <w:szCs w:val="21"/>
                    </w:rPr>
                  </w:pPr>
                  <w:r>
                    <w:rPr>
                      <w:bCs/>
                      <w:spacing w:val="-6"/>
                      <w:sz w:val="21"/>
                      <w:szCs w:val="21"/>
                    </w:rPr>
                    <w:t>0.0336</w:t>
                  </w:r>
                </w:p>
              </w:tc>
              <w:tc>
                <w:tcPr>
                  <w:tcW w:w="450" w:type="pct"/>
                  <w:vAlign w:val="center"/>
                </w:tcPr>
                <w:p w14:paraId="000A58E0">
                  <w:pPr>
                    <w:spacing w:line="360" w:lineRule="exact"/>
                    <w:jc w:val="center"/>
                    <w:rPr>
                      <w:bCs/>
                      <w:spacing w:val="-6"/>
                      <w:sz w:val="21"/>
                      <w:szCs w:val="21"/>
                    </w:rPr>
                  </w:pPr>
                  <w:r>
                    <w:rPr>
                      <w:bCs/>
                      <w:spacing w:val="-6"/>
                      <w:sz w:val="21"/>
                      <w:szCs w:val="21"/>
                    </w:rPr>
                    <w:t>0.0122</w:t>
                  </w:r>
                </w:p>
              </w:tc>
              <w:tc>
                <w:tcPr>
                  <w:tcW w:w="467" w:type="pct"/>
                  <w:vAlign w:val="center"/>
                </w:tcPr>
                <w:p w14:paraId="28003A15">
                  <w:pPr>
                    <w:spacing w:line="360" w:lineRule="exact"/>
                    <w:jc w:val="center"/>
                    <w:rPr>
                      <w:bCs/>
                      <w:spacing w:val="-6"/>
                      <w:sz w:val="21"/>
                      <w:szCs w:val="21"/>
                    </w:rPr>
                  </w:pPr>
                  <w:r>
                    <w:rPr>
                      <w:bCs/>
                      <w:spacing w:val="-6"/>
                      <w:sz w:val="21"/>
                      <w:szCs w:val="21"/>
                    </w:rPr>
                    <w:t>0.519</w:t>
                  </w:r>
                </w:p>
              </w:tc>
              <w:tc>
                <w:tcPr>
                  <w:tcW w:w="467" w:type="pct"/>
                  <w:vAlign w:val="center"/>
                </w:tcPr>
                <w:p w14:paraId="2BC0EDA8">
                  <w:pPr>
                    <w:spacing w:line="360" w:lineRule="exact"/>
                    <w:jc w:val="center"/>
                    <w:rPr>
                      <w:bCs/>
                      <w:spacing w:val="-6"/>
                      <w:sz w:val="21"/>
                      <w:szCs w:val="21"/>
                    </w:rPr>
                  </w:pPr>
                  <w:r>
                    <w:rPr>
                      <w:bCs/>
                      <w:spacing w:val="-6"/>
                      <w:sz w:val="21"/>
                      <w:szCs w:val="21"/>
                    </w:rPr>
                    <w:t>2.009</w:t>
                  </w:r>
                </w:p>
              </w:tc>
              <w:tc>
                <w:tcPr>
                  <w:tcW w:w="416" w:type="pct"/>
                  <w:vAlign w:val="center"/>
                </w:tcPr>
                <w:p w14:paraId="236A05B9">
                  <w:pPr>
                    <w:spacing w:line="360" w:lineRule="exact"/>
                    <w:jc w:val="center"/>
                    <w:rPr>
                      <w:bCs/>
                      <w:spacing w:val="-6"/>
                      <w:sz w:val="21"/>
                      <w:szCs w:val="21"/>
                    </w:rPr>
                  </w:pPr>
                  <w:r>
                    <w:rPr>
                      <w:bCs/>
                      <w:spacing w:val="-6"/>
                      <w:sz w:val="21"/>
                      <w:szCs w:val="21"/>
                    </w:rPr>
                    <w:t>3.990</w:t>
                  </w:r>
                </w:p>
              </w:tc>
              <w:tc>
                <w:tcPr>
                  <w:tcW w:w="497" w:type="pct"/>
                  <w:vAlign w:val="center"/>
                </w:tcPr>
                <w:p w14:paraId="356A4CD2">
                  <w:pPr>
                    <w:spacing w:line="360" w:lineRule="exact"/>
                    <w:jc w:val="center"/>
                    <w:rPr>
                      <w:bCs/>
                      <w:spacing w:val="-6"/>
                      <w:sz w:val="21"/>
                      <w:szCs w:val="21"/>
                    </w:rPr>
                  </w:pPr>
                  <w:r>
                    <w:rPr>
                      <w:bCs/>
                      <w:spacing w:val="-6"/>
                      <w:sz w:val="21"/>
                      <w:szCs w:val="21"/>
                    </w:rPr>
                    <w:t>0.342</w:t>
                  </w:r>
                </w:p>
              </w:tc>
              <w:tc>
                <w:tcPr>
                  <w:tcW w:w="467" w:type="pct"/>
                  <w:tcBorders>
                    <w:right w:val="nil"/>
                  </w:tcBorders>
                  <w:vAlign w:val="center"/>
                </w:tcPr>
                <w:p w14:paraId="4A11DA1F">
                  <w:pPr>
                    <w:spacing w:line="360" w:lineRule="exact"/>
                    <w:jc w:val="center"/>
                    <w:rPr>
                      <w:bCs/>
                      <w:spacing w:val="-6"/>
                      <w:sz w:val="21"/>
                      <w:szCs w:val="21"/>
                    </w:rPr>
                  </w:pPr>
                  <w:r>
                    <w:rPr>
                      <w:bCs/>
                      <w:spacing w:val="-6"/>
                      <w:sz w:val="21"/>
                      <w:szCs w:val="21"/>
                    </w:rPr>
                    <w:t>3.79</w:t>
                  </w:r>
                </w:p>
              </w:tc>
            </w:tr>
            <w:tr w14:paraId="7B80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06E570FB">
                  <w:pPr>
                    <w:spacing w:line="360" w:lineRule="exact"/>
                    <w:jc w:val="center"/>
                    <w:rPr>
                      <w:bCs/>
                      <w:spacing w:val="-6"/>
                      <w:sz w:val="21"/>
                      <w:szCs w:val="21"/>
                    </w:rPr>
                  </w:pPr>
                </w:p>
              </w:tc>
              <w:tc>
                <w:tcPr>
                  <w:tcW w:w="480" w:type="pct"/>
                  <w:vMerge w:val="continue"/>
                  <w:vAlign w:val="center"/>
                </w:tcPr>
                <w:p w14:paraId="2B2C041C">
                  <w:pPr>
                    <w:spacing w:line="360" w:lineRule="exact"/>
                    <w:jc w:val="center"/>
                    <w:rPr>
                      <w:bCs/>
                      <w:spacing w:val="-6"/>
                      <w:sz w:val="21"/>
                      <w:szCs w:val="21"/>
                    </w:rPr>
                  </w:pPr>
                </w:p>
              </w:tc>
              <w:tc>
                <w:tcPr>
                  <w:tcW w:w="739" w:type="pct"/>
                  <w:vAlign w:val="center"/>
                </w:tcPr>
                <w:p w14:paraId="52A65F1E">
                  <w:pPr>
                    <w:spacing w:line="360" w:lineRule="exact"/>
                    <w:jc w:val="center"/>
                    <w:rPr>
                      <w:bCs/>
                      <w:spacing w:val="-6"/>
                      <w:sz w:val="21"/>
                      <w:szCs w:val="21"/>
                    </w:rPr>
                  </w:pPr>
                  <w:r>
                    <w:rPr>
                      <w:bCs/>
                      <w:spacing w:val="-6"/>
                      <w:sz w:val="21"/>
                      <w:szCs w:val="21"/>
                    </w:rPr>
                    <w:t>350</w:t>
                  </w:r>
                </w:p>
              </w:tc>
              <w:tc>
                <w:tcPr>
                  <w:tcW w:w="518" w:type="pct"/>
                  <w:vAlign w:val="center"/>
                </w:tcPr>
                <w:p w14:paraId="539BDD89">
                  <w:pPr>
                    <w:spacing w:line="360" w:lineRule="exact"/>
                    <w:jc w:val="center"/>
                    <w:rPr>
                      <w:bCs/>
                      <w:spacing w:val="-6"/>
                      <w:sz w:val="21"/>
                      <w:szCs w:val="21"/>
                    </w:rPr>
                  </w:pPr>
                  <w:r>
                    <w:rPr>
                      <w:bCs/>
                      <w:spacing w:val="-6"/>
                      <w:sz w:val="21"/>
                      <w:szCs w:val="21"/>
                    </w:rPr>
                    <w:t>0.0336</w:t>
                  </w:r>
                </w:p>
              </w:tc>
              <w:tc>
                <w:tcPr>
                  <w:tcW w:w="450" w:type="pct"/>
                  <w:vAlign w:val="center"/>
                </w:tcPr>
                <w:p w14:paraId="1D8EB03B">
                  <w:pPr>
                    <w:spacing w:line="360" w:lineRule="exact"/>
                    <w:jc w:val="center"/>
                    <w:rPr>
                      <w:bCs/>
                      <w:spacing w:val="-6"/>
                      <w:sz w:val="21"/>
                      <w:szCs w:val="21"/>
                    </w:rPr>
                  </w:pPr>
                  <w:r>
                    <w:rPr>
                      <w:bCs/>
                      <w:spacing w:val="-6"/>
                      <w:sz w:val="21"/>
                      <w:szCs w:val="21"/>
                    </w:rPr>
                    <w:t>0.0122</w:t>
                  </w:r>
                </w:p>
              </w:tc>
              <w:tc>
                <w:tcPr>
                  <w:tcW w:w="467" w:type="pct"/>
                  <w:vAlign w:val="center"/>
                </w:tcPr>
                <w:p w14:paraId="060B8AA6">
                  <w:pPr>
                    <w:spacing w:line="360" w:lineRule="exact"/>
                    <w:jc w:val="center"/>
                    <w:rPr>
                      <w:bCs/>
                      <w:spacing w:val="-6"/>
                      <w:sz w:val="21"/>
                      <w:szCs w:val="21"/>
                    </w:rPr>
                  </w:pPr>
                  <w:r>
                    <w:rPr>
                      <w:bCs/>
                      <w:spacing w:val="-6"/>
                      <w:sz w:val="21"/>
                      <w:szCs w:val="21"/>
                    </w:rPr>
                    <w:t>0.519</w:t>
                  </w:r>
                </w:p>
              </w:tc>
              <w:tc>
                <w:tcPr>
                  <w:tcW w:w="467" w:type="pct"/>
                  <w:vAlign w:val="center"/>
                </w:tcPr>
                <w:p w14:paraId="03D2B329">
                  <w:pPr>
                    <w:spacing w:line="360" w:lineRule="exact"/>
                    <w:jc w:val="center"/>
                    <w:rPr>
                      <w:bCs/>
                      <w:spacing w:val="-6"/>
                      <w:sz w:val="21"/>
                      <w:szCs w:val="21"/>
                    </w:rPr>
                  </w:pPr>
                  <w:r>
                    <w:rPr>
                      <w:bCs/>
                      <w:spacing w:val="-6"/>
                      <w:sz w:val="21"/>
                      <w:szCs w:val="21"/>
                    </w:rPr>
                    <w:t>2.009</w:t>
                  </w:r>
                </w:p>
              </w:tc>
              <w:tc>
                <w:tcPr>
                  <w:tcW w:w="416" w:type="pct"/>
                  <w:vAlign w:val="center"/>
                </w:tcPr>
                <w:p w14:paraId="452FEFDB">
                  <w:pPr>
                    <w:spacing w:line="360" w:lineRule="exact"/>
                    <w:jc w:val="center"/>
                    <w:rPr>
                      <w:bCs/>
                      <w:spacing w:val="-6"/>
                      <w:sz w:val="21"/>
                      <w:szCs w:val="21"/>
                    </w:rPr>
                  </w:pPr>
                  <w:r>
                    <w:rPr>
                      <w:bCs/>
                      <w:spacing w:val="-6"/>
                      <w:sz w:val="21"/>
                      <w:szCs w:val="21"/>
                    </w:rPr>
                    <w:t>3.990</w:t>
                  </w:r>
                </w:p>
              </w:tc>
              <w:tc>
                <w:tcPr>
                  <w:tcW w:w="497" w:type="pct"/>
                  <w:vAlign w:val="center"/>
                </w:tcPr>
                <w:p w14:paraId="5B1174BB">
                  <w:pPr>
                    <w:spacing w:line="360" w:lineRule="exact"/>
                    <w:jc w:val="center"/>
                    <w:rPr>
                      <w:bCs/>
                      <w:spacing w:val="-6"/>
                      <w:sz w:val="21"/>
                      <w:szCs w:val="21"/>
                    </w:rPr>
                  </w:pPr>
                  <w:r>
                    <w:rPr>
                      <w:bCs/>
                      <w:spacing w:val="-6"/>
                      <w:sz w:val="21"/>
                      <w:szCs w:val="21"/>
                    </w:rPr>
                    <w:t>0.342</w:t>
                  </w:r>
                </w:p>
              </w:tc>
              <w:tc>
                <w:tcPr>
                  <w:tcW w:w="467" w:type="pct"/>
                  <w:tcBorders>
                    <w:right w:val="nil"/>
                  </w:tcBorders>
                  <w:vAlign w:val="center"/>
                </w:tcPr>
                <w:p w14:paraId="47B81169">
                  <w:pPr>
                    <w:spacing w:line="360" w:lineRule="exact"/>
                    <w:jc w:val="center"/>
                    <w:rPr>
                      <w:bCs/>
                      <w:spacing w:val="-6"/>
                      <w:sz w:val="21"/>
                      <w:szCs w:val="21"/>
                    </w:rPr>
                  </w:pPr>
                  <w:r>
                    <w:rPr>
                      <w:bCs/>
                      <w:spacing w:val="-6"/>
                      <w:sz w:val="21"/>
                      <w:szCs w:val="21"/>
                    </w:rPr>
                    <w:t>4.60</w:t>
                  </w:r>
                </w:p>
              </w:tc>
            </w:tr>
            <w:tr w14:paraId="6243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14E1F970">
                  <w:pPr>
                    <w:spacing w:line="360" w:lineRule="exact"/>
                    <w:jc w:val="center"/>
                    <w:rPr>
                      <w:bCs/>
                      <w:spacing w:val="-6"/>
                      <w:sz w:val="21"/>
                      <w:szCs w:val="21"/>
                    </w:rPr>
                  </w:pPr>
                </w:p>
              </w:tc>
              <w:tc>
                <w:tcPr>
                  <w:tcW w:w="480" w:type="pct"/>
                  <w:vMerge w:val="continue"/>
                  <w:vAlign w:val="center"/>
                </w:tcPr>
                <w:p w14:paraId="78903B95">
                  <w:pPr>
                    <w:spacing w:line="360" w:lineRule="exact"/>
                    <w:jc w:val="center"/>
                    <w:rPr>
                      <w:bCs/>
                      <w:spacing w:val="-6"/>
                      <w:sz w:val="21"/>
                      <w:szCs w:val="21"/>
                    </w:rPr>
                  </w:pPr>
                </w:p>
              </w:tc>
              <w:tc>
                <w:tcPr>
                  <w:tcW w:w="739" w:type="pct"/>
                  <w:vAlign w:val="center"/>
                </w:tcPr>
                <w:p w14:paraId="0275B62F">
                  <w:pPr>
                    <w:spacing w:line="360" w:lineRule="exact"/>
                    <w:jc w:val="center"/>
                    <w:rPr>
                      <w:rFonts w:hint="eastAsia" w:eastAsia="宋体"/>
                      <w:bCs/>
                      <w:spacing w:val="-6"/>
                      <w:sz w:val="21"/>
                      <w:szCs w:val="21"/>
                      <w:lang w:val="en-US" w:eastAsia="zh-CN"/>
                    </w:rPr>
                  </w:pPr>
                  <w:r>
                    <w:rPr>
                      <w:rFonts w:hint="eastAsia"/>
                      <w:bCs/>
                      <w:spacing w:val="-6"/>
                      <w:sz w:val="21"/>
                      <w:szCs w:val="21"/>
                      <w:lang w:val="en-US" w:eastAsia="zh-CN"/>
                    </w:rPr>
                    <w:t>168.5（240mm实心砖）</w:t>
                  </w:r>
                </w:p>
              </w:tc>
              <w:tc>
                <w:tcPr>
                  <w:tcW w:w="518" w:type="pct"/>
                  <w:shd w:val="clear" w:color="auto" w:fill="auto"/>
                  <w:vAlign w:val="center"/>
                </w:tcPr>
                <w:p w14:paraId="3EE3EBE7">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0.0336</w:t>
                  </w:r>
                </w:p>
              </w:tc>
              <w:tc>
                <w:tcPr>
                  <w:tcW w:w="450" w:type="pct"/>
                  <w:shd w:val="clear" w:color="auto" w:fill="auto"/>
                  <w:vAlign w:val="center"/>
                </w:tcPr>
                <w:p w14:paraId="2621D1C8">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0.0122</w:t>
                  </w:r>
                </w:p>
              </w:tc>
              <w:tc>
                <w:tcPr>
                  <w:tcW w:w="467" w:type="pct"/>
                  <w:shd w:val="clear" w:color="auto" w:fill="auto"/>
                  <w:vAlign w:val="center"/>
                </w:tcPr>
                <w:p w14:paraId="11FB4698">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0.519</w:t>
                  </w:r>
                </w:p>
              </w:tc>
              <w:tc>
                <w:tcPr>
                  <w:tcW w:w="467" w:type="pct"/>
                  <w:shd w:val="clear" w:color="auto" w:fill="auto"/>
                  <w:vAlign w:val="center"/>
                </w:tcPr>
                <w:p w14:paraId="68139F2A">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2.009</w:t>
                  </w:r>
                </w:p>
              </w:tc>
              <w:tc>
                <w:tcPr>
                  <w:tcW w:w="416" w:type="pct"/>
                  <w:shd w:val="clear" w:color="auto" w:fill="auto"/>
                  <w:vAlign w:val="center"/>
                </w:tcPr>
                <w:p w14:paraId="12521768">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3.990</w:t>
                  </w:r>
                </w:p>
              </w:tc>
              <w:tc>
                <w:tcPr>
                  <w:tcW w:w="497" w:type="pct"/>
                  <w:shd w:val="clear" w:color="auto" w:fill="auto"/>
                  <w:vAlign w:val="center"/>
                </w:tcPr>
                <w:p w14:paraId="01BC64EB">
                  <w:pPr>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0.342</w:t>
                  </w:r>
                </w:p>
              </w:tc>
              <w:tc>
                <w:tcPr>
                  <w:tcW w:w="467" w:type="pct"/>
                  <w:tcBorders>
                    <w:right w:val="nil"/>
                  </w:tcBorders>
                  <w:vAlign w:val="center"/>
                </w:tcPr>
                <w:p w14:paraId="28D75DB7">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1.82</w:t>
                  </w:r>
                </w:p>
              </w:tc>
            </w:tr>
            <w:tr w14:paraId="1725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60990DAE">
                  <w:pPr>
                    <w:spacing w:line="360" w:lineRule="exact"/>
                    <w:jc w:val="center"/>
                    <w:rPr>
                      <w:bCs/>
                      <w:spacing w:val="-6"/>
                      <w:sz w:val="21"/>
                      <w:szCs w:val="21"/>
                    </w:rPr>
                  </w:pPr>
                </w:p>
              </w:tc>
              <w:tc>
                <w:tcPr>
                  <w:tcW w:w="480" w:type="pct"/>
                  <w:vMerge w:val="continue"/>
                  <w:vAlign w:val="center"/>
                </w:tcPr>
                <w:p w14:paraId="3C2B0372">
                  <w:pPr>
                    <w:spacing w:line="360" w:lineRule="exact"/>
                    <w:jc w:val="center"/>
                    <w:rPr>
                      <w:bCs/>
                      <w:spacing w:val="-6"/>
                      <w:sz w:val="21"/>
                      <w:szCs w:val="21"/>
                    </w:rPr>
                  </w:pPr>
                </w:p>
              </w:tc>
              <w:tc>
                <w:tcPr>
                  <w:tcW w:w="739" w:type="pct"/>
                  <w:vAlign w:val="center"/>
                </w:tcPr>
                <w:p w14:paraId="59300A5F">
                  <w:pPr>
                    <w:spacing w:line="360" w:lineRule="exact"/>
                    <w:jc w:val="center"/>
                    <w:rPr>
                      <w:bCs/>
                      <w:spacing w:val="-6"/>
                      <w:sz w:val="21"/>
                      <w:szCs w:val="21"/>
                    </w:rPr>
                  </w:pPr>
                  <w:r>
                    <w:rPr>
                      <w:bCs/>
                      <w:spacing w:val="-6"/>
                      <w:sz w:val="21"/>
                      <w:szCs w:val="21"/>
                    </w:rPr>
                    <w:t>259.8（370mm实心砖）</w:t>
                  </w:r>
                </w:p>
              </w:tc>
              <w:tc>
                <w:tcPr>
                  <w:tcW w:w="518" w:type="pct"/>
                  <w:vAlign w:val="center"/>
                </w:tcPr>
                <w:p w14:paraId="230AD62D">
                  <w:pPr>
                    <w:spacing w:line="360" w:lineRule="exact"/>
                    <w:jc w:val="center"/>
                    <w:rPr>
                      <w:bCs/>
                      <w:spacing w:val="-6"/>
                      <w:sz w:val="21"/>
                      <w:szCs w:val="21"/>
                    </w:rPr>
                  </w:pPr>
                  <w:r>
                    <w:rPr>
                      <w:bCs/>
                      <w:spacing w:val="-6"/>
                      <w:sz w:val="21"/>
                      <w:szCs w:val="21"/>
                    </w:rPr>
                    <w:t>0.0336</w:t>
                  </w:r>
                </w:p>
              </w:tc>
              <w:tc>
                <w:tcPr>
                  <w:tcW w:w="450" w:type="pct"/>
                  <w:vAlign w:val="center"/>
                </w:tcPr>
                <w:p w14:paraId="71C732E5">
                  <w:pPr>
                    <w:spacing w:line="360" w:lineRule="exact"/>
                    <w:jc w:val="center"/>
                    <w:rPr>
                      <w:bCs/>
                      <w:spacing w:val="-6"/>
                      <w:sz w:val="21"/>
                      <w:szCs w:val="21"/>
                    </w:rPr>
                  </w:pPr>
                  <w:r>
                    <w:rPr>
                      <w:bCs/>
                      <w:spacing w:val="-6"/>
                      <w:sz w:val="21"/>
                      <w:szCs w:val="21"/>
                    </w:rPr>
                    <w:t>0.0122</w:t>
                  </w:r>
                </w:p>
              </w:tc>
              <w:tc>
                <w:tcPr>
                  <w:tcW w:w="467" w:type="pct"/>
                  <w:vAlign w:val="center"/>
                </w:tcPr>
                <w:p w14:paraId="01F85E07">
                  <w:pPr>
                    <w:spacing w:line="360" w:lineRule="exact"/>
                    <w:jc w:val="center"/>
                    <w:rPr>
                      <w:bCs/>
                      <w:spacing w:val="-6"/>
                      <w:sz w:val="21"/>
                      <w:szCs w:val="21"/>
                    </w:rPr>
                  </w:pPr>
                  <w:r>
                    <w:rPr>
                      <w:bCs/>
                      <w:spacing w:val="-6"/>
                      <w:sz w:val="21"/>
                      <w:szCs w:val="21"/>
                    </w:rPr>
                    <w:t>0.519</w:t>
                  </w:r>
                </w:p>
              </w:tc>
              <w:tc>
                <w:tcPr>
                  <w:tcW w:w="467" w:type="pct"/>
                  <w:vAlign w:val="center"/>
                </w:tcPr>
                <w:p w14:paraId="303BD623">
                  <w:pPr>
                    <w:spacing w:line="360" w:lineRule="exact"/>
                    <w:jc w:val="center"/>
                    <w:rPr>
                      <w:bCs/>
                      <w:spacing w:val="-6"/>
                      <w:sz w:val="21"/>
                      <w:szCs w:val="21"/>
                    </w:rPr>
                  </w:pPr>
                  <w:r>
                    <w:rPr>
                      <w:bCs/>
                      <w:spacing w:val="-6"/>
                      <w:sz w:val="21"/>
                      <w:szCs w:val="21"/>
                    </w:rPr>
                    <w:t>2.009</w:t>
                  </w:r>
                </w:p>
              </w:tc>
              <w:tc>
                <w:tcPr>
                  <w:tcW w:w="416" w:type="pct"/>
                  <w:vAlign w:val="center"/>
                </w:tcPr>
                <w:p w14:paraId="0292BAE9">
                  <w:pPr>
                    <w:spacing w:line="360" w:lineRule="exact"/>
                    <w:jc w:val="center"/>
                    <w:rPr>
                      <w:bCs/>
                      <w:spacing w:val="-6"/>
                      <w:sz w:val="21"/>
                      <w:szCs w:val="21"/>
                    </w:rPr>
                  </w:pPr>
                  <w:r>
                    <w:rPr>
                      <w:bCs/>
                      <w:spacing w:val="-6"/>
                      <w:sz w:val="21"/>
                      <w:szCs w:val="21"/>
                    </w:rPr>
                    <w:t>3.990</w:t>
                  </w:r>
                </w:p>
              </w:tc>
              <w:tc>
                <w:tcPr>
                  <w:tcW w:w="497" w:type="pct"/>
                  <w:vAlign w:val="center"/>
                </w:tcPr>
                <w:p w14:paraId="52193DFB">
                  <w:pPr>
                    <w:spacing w:line="360" w:lineRule="exact"/>
                    <w:jc w:val="center"/>
                    <w:rPr>
                      <w:bCs/>
                      <w:spacing w:val="-6"/>
                      <w:sz w:val="21"/>
                      <w:szCs w:val="21"/>
                    </w:rPr>
                  </w:pPr>
                  <w:r>
                    <w:rPr>
                      <w:bCs/>
                      <w:spacing w:val="-6"/>
                      <w:sz w:val="21"/>
                      <w:szCs w:val="21"/>
                    </w:rPr>
                    <w:t>0.342</w:t>
                  </w:r>
                </w:p>
              </w:tc>
              <w:tc>
                <w:tcPr>
                  <w:tcW w:w="467" w:type="pct"/>
                  <w:tcBorders>
                    <w:right w:val="nil"/>
                  </w:tcBorders>
                  <w:vAlign w:val="center"/>
                </w:tcPr>
                <w:p w14:paraId="2D6BAF03">
                  <w:pPr>
                    <w:spacing w:line="360" w:lineRule="exact"/>
                    <w:jc w:val="center"/>
                    <w:rPr>
                      <w:bCs/>
                      <w:spacing w:val="-6"/>
                      <w:sz w:val="21"/>
                      <w:szCs w:val="21"/>
                    </w:rPr>
                  </w:pPr>
                  <w:r>
                    <w:rPr>
                      <w:bCs/>
                      <w:spacing w:val="-6"/>
                      <w:sz w:val="21"/>
                      <w:szCs w:val="21"/>
                    </w:rPr>
                    <w:t>3.16</w:t>
                  </w:r>
                </w:p>
              </w:tc>
            </w:tr>
            <w:tr w14:paraId="704B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1C45F84B">
                  <w:pPr>
                    <w:spacing w:line="360" w:lineRule="exact"/>
                    <w:jc w:val="center"/>
                    <w:rPr>
                      <w:bCs/>
                      <w:spacing w:val="-6"/>
                      <w:sz w:val="21"/>
                      <w:szCs w:val="21"/>
                    </w:rPr>
                  </w:pPr>
                </w:p>
              </w:tc>
              <w:tc>
                <w:tcPr>
                  <w:tcW w:w="480" w:type="pct"/>
                  <w:vMerge w:val="continue"/>
                  <w:vAlign w:val="center"/>
                </w:tcPr>
                <w:p w14:paraId="7D2D6CAE">
                  <w:pPr>
                    <w:spacing w:line="360" w:lineRule="exact"/>
                    <w:jc w:val="center"/>
                    <w:rPr>
                      <w:bCs/>
                      <w:spacing w:val="-6"/>
                      <w:sz w:val="21"/>
                      <w:szCs w:val="21"/>
                    </w:rPr>
                  </w:pPr>
                </w:p>
              </w:tc>
              <w:tc>
                <w:tcPr>
                  <w:tcW w:w="739" w:type="pct"/>
                  <w:shd w:val="clear" w:color="auto" w:fill="auto"/>
                  <w:vAlign w:val="center"/>
                </w:tcPr>
                <w:p w14:paraId="69F6766C">
                  <w:pPr>
                    <w:spacing w:line="360" w:lineRule="exact"/>
                    <w:jc w:val="center"/>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20.4mm（15mm硫酸钡水泥）</w:t>
                  </w:r>
                </w:p>
              </w:tc>
              <w:tc>
                <w:tcPr>
                  <w:tcW w:w="518" w:type="pct"/>
                  <w:vAlign w:val="center"/>
                </w:tcPr>
                <w:p w14:paraId="2A03778B">
                  <w:pPr>
                    <w:spacing w:line="360" w:lineRule="exact"/>
                    <w:jc w:val="center"/>
                    <w:rPr>
                      <w:bCs/>
                      <w:spacing w:val="-6"/>
                      <w:sz w:val="21"/>
                      <w:szCs w:val="21"/>
                    </w:rPr>
                  </w:pPr>
                  <w:r>
                    <w:rPr>
                      <w:bCs/>
                      <w:spacing w:val="-6"/>
                      <w:sz w:val="21"/>
                      <w:szCs w:val="21"/>
                    </w:rPr>
                    <w:t>0.0336</w:t>
                  </w:r>
                </w:p>
              </w:tc>
              <w:tc>
                <w:tcPr>
                  <w:tcW w:w="450" w:type="pct"/>
                  <w:vAlign w:val="center"/>
                </w:tcPr>
                <w:p w14:paraId="3EF85604">
                  <w:pPr>
                    <w:spacing w:line="360" w:lineRule="exact"/>
                    <w:jc w:val="center"/>
                    <w:rPr>
                      <w:bCs/>
                      <w:spacing w:val="-6"/>
                      <w:sz w:val="21"/>
                      <w:szCs w:val="21"/>
                    </w:rPr>
                  </w:pPr>
                  <w:r>
                    <w:rPr>
                      <w:bCs/>
                      <w:spacing w:val="-6"/>
                      <w:sz w:val="21"/>
                      <w:szCs w:val="21"/>
                    </w:rPr>
                    <w:t>0.0122</w:t>
                  </w:r>
                </w:p>
              </w:tc>
              <w:tc>
                <w:tcPr>
                  <w:tcW w:w="467" w:type="pct"/>
                  <w:vAlign w:val="center"/>
                </w:tcPr>
                <w:p w14:paraId="195A0BF5">
                  <w:pPr>
                    <w:spacing w:line="360" w:lineRule="exact"/>
                    <w:jc w:val="center"/>
                    <w:rPr>
                      <w:bCs/>
                      <w:spacing w:val="-6"/>
                      <w:sz w:val="21"/>
                      <w:szCs w:val="21"/>
                    </w:rPr>
                  </w:pPr>
                  <w:r>
                    <w:rPr>
                      <w:bCs/>
                      <w:spacing w:val="-6"/>
                      <w:sz w:val="21"/>
                      <w:szCs w:val="21"/>
                    </w:rPr>
                    <w:t>0.519</w:t>
                  </w:r>
                </w:p>
              </w:tc>
              <w:tc>
                <w:tcPr>
                  <w:tcW w:w="467" w:type="pct"/>
                  <w:vAlign w:val="center"/>
                </w:tcPr>
                <w:p w14:paraId="5BDAA371">
                  <w:pPr>
                    <w:spacing w:line="360" w:lineRule="exact"/>
                    <w:jc w:val="center"/>
                    <w:rPr>
                      <w:bCs/>
                      <w:spacing w:val="-6"/>
                      <w:sz w:val="21"/>
                      <w:szCs w:val="21"/>
                    </w:rPr>
                  </w:pPr>
                  <w:r>
                    <w:rPr>
                      <w:bCs/>
                      <w:spacing w:val="-6"/>
                      <w:sz w:val="21"/>
                      <w:szCs w:val="21"/>
                    </w:rPr>
                    <w:t>2.009</w:t>
                  </w:r>
                </w:p>
              </w:tc>
              <w:tc>
                <w:tcPr>
                  <w:tcW w:w="416" w:type="pct"/>
                  <w:vAlign w:val="center"/>
                </w:tcPr>
                <w:p w14:paraId="4FCDAECE">
                  <w:pPr>
                    <w:spacing w:line="360" w:lineRule="exact"/>
                    <w:jc w:val="center"/>
                    <w:rPr>
                      <w:bCs/>
                      <w:spacing w:val="-6"/>
                      <w:sz w:val="21"/>
                      <w:szCs w:val="21"/>
                    </w:rPr>
                  </w:pPr>
                  <w:r>
                    <w:rPr>
                      <w:bCs/>
                      <w:spacing w:val="-6"/>
                      <w:sz w:val="21"/>
                      <w:szCs w:val="21"/>
                    </w:rPr>
                    <w:t>3.990</w:t>
                  </w:r>
                </w:p>
              </w:tc>
              <w:tc>
                <w:tcPr>
                  <w:tcW w:w="497" w:type="pct"/>
                  <w:vAlign w:val="center"/>
                </w:tcPr>
                <w:p w14:paraId="654E80D3">
                  <w:pPr>
                    <w:spacing w:line="360" w:lineRule="exact"/>
                    <w:jc w:val="center"/>
                    <w:rPr>
                      <w:bCs/>
                      <w:spacing w:val="-6"/>
                      <w:sz w:val="21"/>
                      <w:szCs w:val="21"/>
                    </w:rPr>
                  </w:pPr>
                  <w:r>
                    <w:rPr>
                      <w:bCs/>
                      <w:spacing w:val="-6"/>
                      <w:sz w:val="21"/>
                      <w:szCs w:val="21"/>
                    </w:rPr>
                    <w:t>0.342</w:t>
                  </w:r>
                </w:p>
              </w:tc>
              <w:tc>
                <w:tcPr>
                  <w:tcW w:w="467" w:type="pct"/>
                  <w:tcBorders>
                    <w:right w:val="nil"/>
                  </w:tcBorders>
                  <w:vAlign w:val="center"/>
                </w:tcPr>
                <w:p w14:paraId="3A2B90B3">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0.16</w:t>
                  </w:r>
                </w:p>
              </w:tc>
            </w:tr>
            <w:tr w14:paraId="5570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vMerge w:val="continue"/>
                  <w:tcBorders>
                    <w:left w:val="nil"/>
                  </w:tcBorders>
                  <w:vAlign w:val="center"/>
                </w:tcPr>
                <w:p w14:paraId="7F628984">
                  <w:pPr>
                    <w:spacing w:line="360" w:lineRule="exact"/>
                    <w:jc w:val="center"/>
                    <w:rPr>
                      <w:bCs/>
                      <w:spacing w:val="-6"/>
                      <w:sz w:val="21"/>
                      <w:szCs w:val="21"/>
                    </w:rPr>
                  </w:pPr>
                </w:p>
              </w:tc>
              <w:tc>
                <w:tcPr>
                  <w:tcW w:w="480" w:type="pct"/>
                  <w:vMerge w:val="continue"/>
                  <w:vAlign w:val="center"/>
                </w:tcPr>
                <w:p w14:paraId="43C75321">
                  <w:pPr>
                    <w:spacing w:line="360" w:lineRule="exact"/>
                    <w:jc w:val="center"/>
                    <w:rPr>
                      <w:bCs/>
                      <w:spacing w:val="-6"/>
                      <w:sz w:val="21"/>
                      <w:szCs w:val="21"/>
                    </w:rPr>
                  </w:pPr>
                </w:p>
              </w:tc>
              <w:tc>
                <w:tcPr>
                  <w:tcW w:w="739" w:type="pct"/>
                  <w:shd w:val="clear" w:color="auto" w:fill="auto"/>
                  <w:vAlign w:val="center"/>
                </w:tcPr>
                <w:p w14:paraId="2D8E8AF1">
                  <w:pPr>
                    <w:spacing w:line="360" w:lineRule="exact"/>
                    <w:jc w:val="center"/>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40.8mm（30mm硫酸钡水泥）</w:t>
                  </w:r>
                </w:p>
              </w:tc>
              <w:tc>
                <w:tcPr>
                  <w:tcW w:w="518" w:type="pct"/>
                  <w:vAlign w:val="center"/>
                </w:tcPr>
                <w:p w14:paraId="74CDE9B0">
                  <w:pPr>
                    <w:spacing w:line="360" w:lineRule="exact"/>
                    <w:jc w:val="center"/>
                    <w:rPr>
                      <w:bCs/>
                      <w:spacing w:val="-6"/>
                      <w:sz w:val="21"/>
                      <w:szCs w:val="21"/>
                    </w:rPr>
                  </w:pPr>
                  <w:r>
                    <w:rPr>
                      <w:bCs/>
                      <w:spacing w:val="-6"/>
                      <w:sz w:val="21"/>
                      <w:szCs w:val="21"/>
                    </w:rPr>
                    <w:t>0.0336</w:t>
                  </w:r>
                </w:p>
              </w:tc>
              <w:tc>
                <w:tcPr>
                  <w:tcW w:w="450" w:type="pct"/>
                  <w:vAlign w:val="center"/>
                </w:tcPr>
                <w:p w14:paraId="7F2E3B91">
                  <w:pPr>
                    <w:spacing w:line="360" w:lineRule="exact"/>
                    <w:jc w:val="center"/>
                    <w:rPr>
                      <w:bCs/>
                      <w:spacing w:val="-6"/>
                      <w:sz w:val="21"/>
                      <w:szCs w:val="21"/>
                    </w:rPr>
                  </w:pPr>
                  <w:r>
                    <w:rPr>
                      <w:bCs/>
                      <w:spacing w:val="-6"/>
                      <w:sz w:val="21"/>
                      <w:szCs w:val="21"/>
                    </w:rPr>
                    <w:t>0.0122</w:t>
                  </w:r>
                </w:p>
              </w:tc>
              <w:tc>
                <w:tcPr>
                  <w:tcW w:w="467" w:type="pct"/>
                  <w:vAlign w:val="center"/>
                </w:tcPr>
                <w:p w14:paraId="01E24364">
                  <w:pPr>
                    <w:spacing w:line="360" w:lineRule="exact"/>
                    <w:jc w:val="center"/>
                    <w:rPr>
                      <w:bCs/>
                      <w:spacing w:val="-6"/>
                      <w:sz w:val="21"/>
                      <w:szCs w:val="21"/>
                    </w:rPr>
                  </w:pPr>
                  <w:r>
                    <w:rPr>
                      <w:bCs/>
                      <w:spacing w:val="-6"/>
                      <w:sz w:val="21"/>
                      <w:szCs w:val="21"/>
                    </w:rPr>
                    <w:t>0.519</w:t>
                  </w:r>
                </w:p>
              </w:tc>
              <w:tc>
                <w:tcPr>
                  <w:tcW w:w="467" w:type="pct"/>
                  <w:vAlign w:val="center"/>
                </w:tcPr>
                <w:p w14:paraId="676D8BF8">
                  <w:pPr>
                    <w:spacing w:line="360" w:lineRule="exact"/>
                    <w:jc w:val="center"/>
                    <w:rPr>
                      <w:bCs/>
                      <w:spacing w:val="-6"/>
                      <w:sz w:val="21"/>
                      <w:szCs w:val="21"/>
                    </w:rPr>
                  </w:pPr>
                  <w:r>
                    <w:rPr>
                      <w:bCs/>
                      <w:spacing w:val="-6"/>
                      <w:sz w:val="21"/>
                      <w:szCs w:val="21"/>
                    </w:rPr>
                    <w:t>2.009</w:t>
                  </w:r>
                </w:p>
              </w:tc>
              <w:tc>
                <w:tcPr>
                  <w:tcW w:w="416" w:type="pct"/>
                  <w:vAlign w:val="center"/>
                </w:tcPr>
                <w:p w14:paraId="4E596835">
                  <w:pPr>
                    <w:spacing w:line="360" w:lineRule="exact"/>
                    <w:jc w:val="center"/>
                    <w:rPr>
                      <w:bCs/>
                      <w:spacing w:val="-6"/>
                      <w:sz w:val="21"/>
                      <w:szCs w:val="21"/>
                    </w:rPr>
                  </w:pPr>
                  <w:r>
                    <w:rPr>
                      <w:bCs/>
                      <w:spacing w:val="-6"/>
                      <w:sz w:val="21"/>
                      <w:szCs w:val="21"/>
                    </w:rPr>
                    <w:t>3.990</w:t>
                  </w:r>
                </w:p>
              </w:tc>
              <w:tc>
                <w:tcPr>
                  <w:tcW w:w="497" w:type="pct"/>
                  <w:vAlign w:val="center"/>
                </w:tcPr>
                <w:p w14:paraId="147805C3">
                  <w:pPr>
                    <w:spacing w:line="360" w:lineRule="exact"/>
                    <w:jc w:val="center"/>
                    <w:rPr>
                      <w:bCs/>
                      <w:spacing w:val="-6"/>
                      <w:sz w:val="21"/>
                      <w:szCs w:val="21"/>
                    </w:rPr>
                  </w:pPr>
                  <w:r>
                    <w:rPr>
                      <w:bCs/>
                      <w:spacing w:val="-6"/>
                      <w:sz w:val="21"/>
                      <w:szCs w:val="21"/>
                    </w:rPr>
                    <w:t>0.342</w:t>
                  </w:r>
                </w:p>
              </w:tc>
              <w:tc>
                <w:tcPr>
                  <w:tcW w:w="467" w:type="pct"/>
                  <w:tcBorders>
                    <w:right w:val="nil"/>
                  </w:tcBorders>
                  <w:vAlign w:val="center"/>
                </w:tcPr>
                <w:p w14:paraId="06EB95AF">
                  <w:pPr>
                    <w:spacing w:line="360" w:lineRule="exact"/>
                    <w:jc w:val="center"/>
                    <w:rPr>
                      <w:rFonts w:hint="default" w:eastAsia="宋体"/>
                      <w:bCs/>
                      <w:spacing w:val="-6"/>
                      <w:sz w:val="21"/>
                      <w:szCs w:val="21"/>
                      <w:lang w:val="en-US" w:eastAsia="zh-CN"/>
                    </w:rPr>
                  </w:pPr>
                  <w:r>
                    <w:rPr>
                      <w:rFonts w:hint="eastAsia"/>
                      <w:bCs/>
                      <w:spacing w:val="-6"/>
                      <w:sz w:val="21"/>
                      <w:szCs w:val="21"/>
                      <w:lang w:val="en-US" w:eastAsia="zh-CN"/>
                    </w:rPr>
                    <w:t>0.34</w:t>
                  </w:r>
                </w:p>
              </w:tc>
            </w:tr>
          </w:tbl>
          <w:p w14:paraId="213763B1">
            <w:pPr>
              <w:spacing w:line="240" w:lineRule="auto"/>
              <w:rPr>
                <w:rFonts w:eastAsia="黑体"/>
                <w:sz w:val="21"/>
                <w:szCs w:val="21"/>
              </w:rPr>
            </w:pPr>
            <w:r>
              <w:rPr>
                <w:rFonts w:eastAsia="黑体"/>
                <w:sz w:val="21"/>
                <w:szCs w:val="21"/>
              </w:rPr>
              <w:t>注：由于</w:t>
            </w:r>
            <w:r>
              <w:rPr>
                <w:rFonts w:eastAsia="黑体"/>
                <w:bCs/>
                <w:sz w:val="21"/>
                <w:szCs w:val="21"/>
              </w:rPr>
              <w:t>GBZ130-2020中没有实心砖</w:t>
            </w:r>
            <w:r>
              <w:rPr>
                <w:rFonts w:hint="eastAsia" w:eastAsia="黑体"/>
                <w:bCs/>
                <w:sz w:val="21"/>
                <w:szCs w:val="21"/>
                <w:lang w:val="en-US" w:eastAsia="zh-CN"/>
              </w:rPr>
              <w:t>和硫酸钡</w:t>
            </w:r>
            <w:r>
              <w:rPr>
                <w:rFonts w:hint="eastAsia" w:eastAsia="黑体"/>
                <w:bCs/>
                <w:sz w:val="21"/>
                <w:szCs w:val="21"/>
                <w:lang w:eastAsia="zh-CN"/>
              </w:rPr>
              <w:t>在</w:t>
            </w:r>
            <w:r>
              <w:rPr>
                <w:rFonts w:hint="eastAsia" w:eastAsia="黑体"/>
                <w:bCs/>
                <w:sz w:val="21"/>
                <w:szCs w:val="21"/>
                <w:lang w:val="en-US" w:eastAsia="zh-CN"/>
              </w:rPr>
              <w:t>不同管电压条件下</w:t>
            </w:r>
            <w:r>
              <w:rPr>
                <w:rFonts w:eastAsia="黑体"/>
                <w:bCs/>
                <w:sz w:val="21"/>
                <w:szCs w:val="21"/>
              </w:rPr>
              <w:t>X射线辐射衰减的有关的三个拟合参数，因此将</w:t>
            </w:r>
            <w:r>
              <w:rPr>
                <w:rFonts w:hint="eastAsia" w:eastAsia="黑体"/>
                <w:bCs/>
                <w:sz w:val="21"/>
                <w:szCs w:val="21"/>
                <w:lang w:val="en-US" w:eastAsia="zh-CN"/>
              </w:rPr>
              <w:t>240mm实心砖和</w:t>
            </w:r>
            <w:r>
              <w:rPr>
                <w:rFonts w:eastAsia="黑体"/>
                <w:bCs/>
                <w:sz w:val="21"/>
                <w:szCs w:val="21"/>
              </w:rPr>
              <w:t>370mm实心砖按密度折算为混凝土厚度。</w:t>
            </w:r>
          </w:p>
          <w:p w14:paraId="2A78B1AC">
            <w:pPr>
              <w:widowControl/>
              <w:ind w:firstLine="480" w:firstLineChars="200"/>
              <w:jc w:val="left"/>
              <w:rPr>
                <w:bCs/>
              </w:rPr>
            </w:pPr>
            <w:r>
              <w:t>根据表10-1</w:t>
            </w:r>
            <w:r>
              <w:rPr>
                <w:rFonts w:hint="eastAsia"/>
                <w:lang w:val="en-US" w:eastAsia="zh-CN"/>
              </w:rPr>
              <w:t>1</w:t>
            </w:r>
            <w:r>
              <w:t>可知，</w:t>
            </w:r>
            <w:r>
              <w:rPr>
                <w:rFonts w:hint="eastAsia"/>
                <w:lang w:val="en-US" w:eastAsia="zh-CN"/>
              </w:rPr>
              <w:t>本项目射线装置</w:t>
            </w:r>
            <w:r>
              <w:t>机房屏蔽设计</w:t>
            </w:r>
            <w:r>
              <w:rPr>
                <w:bCs/>
              </w:rPr>
              <w:t>满足《放射诊断防护要求》（GBZ130-2020）规定的机房最小铅当量防护厚度要求。</w:t>
            </w:r>
            <w:r>
              <w:t>根据后续章节计算，</w:t>
            </w:r>
            <w:r>
              <w:rPr>
                <w:rFonts w:hint="eastAsia"/>
                <w:lang w:val="en-US" w:eastAsia="zh-CN"/>
              </w:rPr>
              <w:t>射线装置机房</w:t>
            </w:r>
            <w:r>
              <w:t>屏蔽设计满足《</w:t>
            </w:r>
            <w:r>
              <w:rPr>
                <w:bCs/>
              </w:rPr>
              <w:t>放射诊断防护要求</w:t>
            </w:r>
            <w:r>
              <w:t>》</w:t>
            </w:r>
            <w:r>
              <w:rPr>
                <w:bCs/>
              </w:rPr>
              <w:t>（GBZ130-2020）</w:t>
            </w:r>
            <w:r>
              <w:t>中规定的“具有透视功能的X</w:t>
            </w:r>
            <w:r>
              <w:rPr>
                <w:bCs/>
              </w:rPr>
              <w:t>射线设备在透视条件下检测时，周围剂量当量率不大于2.5μSv/h；测量时，X射线设备连续出束时间应大于仪器响应时间。CT机机房外的周围剂量当量率应不大于2.5μSv/h。</w:t>
            </w:r>
            <w:r>
              <w:rPr>
                <w:rFonts w:hint="default" w:ascii="Times New Roman" w:hAnsi="Times New Roman" w:cs="Times New Roman"/>
                <w:bCs/>
                <w:highlight w:val="none"/>
              </w:rPr>
              <w:t>具有短时、高剂量率曝光的摄影程序（如DR、CR、屏片摄影）机房外的周围剂量当量率应不大于25μSv/h，当超过时应进行机房外人员的年有效剂量评估，应不大于0.25mSv</w:t>
            </w:r>
            <w:r>
              <w:rPr>
                <w:rFonts w:hint="eastAsia" w:ascii="Times New Roman" w:hAnsi="Times New Roman" w:cs="Times New Roman"/>
                <w:bCs/>
                <w:highlight w:val="none"/>
                <w:lang w:eastAsia="zh-CN"/>
              </w:rPr>
              <w:t>。</w:t>
            </w:r>
            <w:r>
              <w:t>”的控制剂量率要求。</w:t>
            </w:r>
          </w:p>
          <w:p w14:paraId="543BC91C">
            <w:pPr>
              <w:widowControl/>
              <w:ind w:firstLine="482" w:firstLineChars="200"/>
              <w:jc w:val="left"/>
              <w:rPr>
                <w:rFonts w:hint="eastAsia"/>
                <w:b/>
              </w:rPr>
            </w:pPr>
            <w:r>
              <w:rPr>
                <w:b/>
              </w:rPr>
              <w:t>2）穿墙及防护门安装设计</w:t>
            </w:r>
          </w:p>
          <w:p w14:paraId="05AD9912">
            <w:pPr>
              <w:ind w:firstLine="480" w:firstLineChars="200"/>
              <w:rPr>
                <w:bCs/>
              </w:rPr>
            </w:pPr>
            <w:r>
              <w:rPr>
                <w:bCs/>
              </w:rPr>
              <w:t>为减少</w:t>
            </w:r>
            <w:r>
              <w:rPr>
                <w:rFonts w:hint="eastAsia"/>
                <w:bCs/>
              </w:rPr>
              <w:t>缝隙</w:t>
            </w:r>
            <w:r>
              <w:rPr>
                <w:bCs/>
              </w:rPr>
              <w:t>处射线的泄漏，要求防护门两侧铅板搭接宽度大于门缝宽度10倍以上，门的底部与地面之间的重叠宽度大于门缝宽度10倍以上。</w:t>
            </w:r>
            <w:r>
              <w:rPr>
                <w:bCs/>
                <w:highlight w:val="none"/>
              </w:rPr>
              <w:t>送排风管道穿墙处为直穿，拟对穿墙处的洞口四周和风管包裹</w:t>
            </w:r>
            <w:r>
              <w:rPr>
                <w:rFonts w:hint="eastAsia"/>
                <w:bCs/>
                <w:highlight w:val="none"/>
                <w:lang w:val="en-US" w:eastAsia="zh-CN"/>
              </w:rPr>
              <w:t>3</w:t>
            </w:r>
            <w:r>
              <w:rPr>
                <w:bCs/>
                <w:highlight w:val="none"/>
              </w:rPr>
              <w:t>mm铅当量铅皮；</w:t>
            </w:r>
            <w:r>
              <w:rPr>
                <w:rFonts w:hint="eastAsia"/>
                <w:bCs/>
              </w:rPr>
              <w:t>本项目</w:t>
            </w:r>
            <w:r>
              <w:rPr>
                <w:rFonts w:hint="eastAsia"/>
                <w:bCs/>
                <w:lang w:val="en-US" w:eastAsia="zh-CN"/>
              </w:rPr>
              <w:t>各机房</w:t>
            </w:r>
            <w:r>
              <w:rPr>
                <w:rFonts w:hint="eastAsia"/>
                <w:bCs/>
              </w:rPr>
              <w:t>内设备通过电缆连接至</w:t>
            </w:r>
            <w:r>
              <w:rPr>
                <w:bCs/>
              </w:rPr>
              <w:t>设备间和控制室</w:t>
            </w:r>
            <w:r>
              <w:rPr>
                <w:rFonts w:hint="eastAsia"/>
                <w:bCs/>
              </w:rPr>
              <w:t>，</w:t>
            </w:r>
            <w:r>
              <w:rPr>
                <w:bCs/>
              </w:rPr>
              <w:t>电缆线</w:t>
            </w:r>
            <w:r>
              <w:rPr>
                <w:rFonts w:hint="eastAsia"/>
                <w:bCs/>
                <w:lang w:val="en-US" w:eastAsia="zh-CN"/>
              </w:rPr>
              <w:t>沟采取埋地式穿过</w:t>
            </w:r>
            <w:r>
              <w:rPr>
                <w:bCs/>
              </w:rPr>
              <w:t>屏蔽墙体下方</w:t>
            </w:r>
            <w:r>
              <w:rPr>
                <w:rFonts w:hint="eastAsia"/>
                <w:bCs/>
                <w:lang w:val="en-US" w:eastAsia="zh-CN"/>
              </w:rPr>
              <w:t>连接设备间和控制室</w:t>
            </w:r>
            <w:r>
              <w:rPr>
                <w:rFonts w:hint="eastAsia"/>
                <w:bCs/>
              </w:rPr>
              <w:t>，</w:t>
            </w:r>
            <w:r>
              <w:rPr>
                <w:rFonts w:hint="eastAsia"/>
                <w:bCs/>
                <w:lang w:val="en-US" w:eastAsia="zh-CN"/>
              </w:rPr>
              <w:t>电缆沟上方设3mm不锈钢盖板（可以打开）</w:t>
            </w:r>
            <w:r>
              <w:rPr>
                <w:rFonts w:hint="eastAsia"/>
                <w:bCs/>
              </w:rPr>
              <w:t>。</w:t>
            </w:r>
            <w:r>
              <w:rPr>
                <w:bCs/>
              </w:rPr>
              <w:t>由于送排风管道和电缆穿墙位置不在主射束</w:t>
            </w:r>
            <w:r>
              <w:rPr>
                <w:rFonts w:hint="eastAsia"/>
                <w:bCs/>
              </w:rPr>
              <w:t>范围内</w:t>
            </w:r>
            <w:r>
              <w:rPr>
                <w:bCs/>
              </w:rPr>
              <w:t>，且对穿墙处拟采用与</w:t>
            </w:r>
            <w:r>
              <w:rPr>
                <w:rFonts w:hint="eastAsia"/>
                <w:bCs/>
                <w:lang w:val="en-US" w:eastAsia="zh-CN"/>
              </w:rPr>
              <w:t>机房</w:t>
            </w:r>
            <w:r>
              <w:rPr>
                <w:bCs/>
              </w:rPr>
              <w:t>墙体设计铅当量相同的铅皮（</w:t>
            </w:r>
            <w:r>
              <w:rPr>
                <w:rFonts w:hint="eastAsia"/>
                <w:bCs/>
                <w:lang w:val="en-US" w:eastAsia="zh-CN"/>
              </w:rPr>
              <w:t>3</w:t>
            </w:r>
            <w:r>
              <w:rPr>
                <w:bCs/>
              </w:rPr>
              <w:t>mm铅当量）进行补偿防护，能够有效防止射线直接从风管或电缆</w:t>
            </w:r>
            <w:r>
              <w:rPr>
                <w:rFonts w:hint="eastAsia"/>
                <w:bCs/>
              </w:rPr>
              <w:t>通道</w:t>
            </w:r>
            <w:r>
              <w:rPr>
                <w:bCs/>
              </w:rPr>
              <w:t>照射出</w:t>
            </w:r>
            <w:r>
              <w:rPr>
                <w:rFonts w:hint="eastAsia"/>
                <w:bCs/>
                <w:lang w:val="en-US" w:eastAsia="zh-CN"/>
              </w:rPr>
              <w:t>各机房</w:t>
            </w:r>
            <w:r>
              <w:rPr>
                <w:bCs/>
              </w:rPr>
              <w:t>，避免漏射产生，穿墙部分不影响</w:t>
            </w:r>
            <w:r>
              <w:rPr>
                <w:rFonts w:hint="eastAsia"/>
                <w:bCs/>
                <w:lang w:val="en-US" w:eastAsia="zh-CN"/>
              </w:rPr>
              <w:t>各机房</w:t>
            </w:r>
            <w:r>
              <w:rPr>
                <w:bCs/>
              </w:rPr>
              <w:t>整体的防护性能。</w:t>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6"/>
              <w:gridCol w:w="4363"/>
            </w:tblGrid>
            <w:tr w14:paraId="0BF7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pct"/>
                  <w:tcBorders>
                    <w:top w:val="nil"/>
                    <w:bottom w:val="nil"/>
                    <w:right w:val="nil"/>
                  </w:tcBorders>
                  <w:vAlign w:val="center"/>
                </w:tcPr>
                <w:p w14:paraId="25145EAF">
                  <w:pPr>
                    <w:spacing w:line="240" w:lineRule="auto"/>
                    <w:jc w:val="center"/>
                    <w:rPr>
                      <w:rFonts w:eastAsia="黑体"/>
                      <w:b/>
                      <w:bCs/>
                    </w:rPr>
                  </w:pPr>
                  <w:r>
                    <w:rPr>
                      <w:rFonts w:eastAsia="黑体"/>
                      <w:b/>
                      <w:bCs/>
                    </w:rPr>
                    <w:drawing>
                      <wp:inline distT="0" distB="0" distL="0" distR="0">
                        <wp:extent cx="2125980" cy="1764030"/>
                        <wp:effectExtent l="0" t="0" r="7620" b="1270"/>
                        <wp:docPr id="54" name="图片 2" descr="图示, 工程绘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 descr="图示, 工程绘图&#10;&#10;AI 生成的内容可能不正确。"/>
                                <pic:cNvPicPr>
                                  <a:picLocks noChangeAspect="1"/>
                                </pic:cNvPicPr>
                              </pic:nvPicPr>
                              <pic:blipFill>
                                <a:blip r:embed="rId34"/>
                                <a:stretch>
                                  <a:fillRect/>
                                </a:stretch>
                              </pic:blipFill>
                              <pic:spPr>
                                <a:xfrm>
                                  <a:off x="0" y="0"/>
                                  <a:ext cx="2125980" cy="1764030"/>
                                </a:xfrm>
                                <a:prstGeom prst="rect">
                                  <a:avLst/>
                                </a:prstGeom>
                                <a:noFill/>
                                <a:ln>
                                  <a:noFill/>
                                </a:ln>
                              </pic:spPr>
                            </pic:pic>
                          </a:graphicData>
                        </a:graphic>
                      </wp:inline>
                    </w:drawing>
                  </w:r>
                </w:p>
              </w:tc>
              <w:tc>
                <w:tcPr>
                  <w:tcW w:w="2482" w:type="pct"/>
                  <w:tcBorders>
                    <w:top w:val="nil"/>
                    <w:left w:val="nil"/>
                    <w:bottom w:val="nil"/>
                    <w:right w:val="nil"/>
                  </w:tcBorders>
                  <w:vAlign w:val="center"/>
                </w:tcPr>
                <w:p w14:paraId="19812F13">
                  <w:pPr>
                    <w:spacing w:line="240" w:lineRule="auto"/>
                    <w:jc w:val="center"/>
                    <w:rPr>
                      <w:rFonts w:eastAsia="黑体"/>
                      <w:b/>
                      <w:bCs/>
                    </w:rPr>
                  </w:pPr>
                  <w:r>
                    <w:rPr>
                      <w:rFonts w:eastAsia="黑体"/>
                      <w:b/>
                      <w:bCs/>
                    </w:rPr>
                    <w:drawing>
                      <wp:inline distT="0" distB="0" distL="0" distR="0">
                        <wp:extent cx="2131060" cy="1840865"/>
                        <wp:effectExtent l="0" t="0" r="2540" b="635"/>
                        <wp:docPr id="55" name="图片 1" descr="图示, 工程绘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descr="图示, 工程绘图&#10;&#10;AI 生成的内容可能不正确。"/>
                                <pic:cNvPicPr>
                                  <a:picLocks noChangeAspect="1"/>
                                </pic:cNvPicPr>
                              </pic:nvPicPr>
                              <pic:blipFill>
                                <a:blip r:embed="rId35"/>
                                <a:stretch>
                                  <a:fillRect/>
                                </a:stretch>
                              </pic:blipFill>
                              <pic:spPr>
                                <a:xfrm>
                                  <a:off x="0" y="0"/>
                                  <a:ext cx="2131060" cy="1840865"/>
                                </a:xfrm>
                                <a:prstGeom prst="rect">
                                  <a:avLst/>
                                </a:prstGeom>
                                <a:noFill/>
                                <a:ln>
                                  <a:noFill/>
                                </a:ln>
                              </pic:spPr>
                            </pic:pic>
                          </a:graphicData>
                        </a:graphic>
                      </wp:inline>
                    </w:drawing>
                  </w:r>
                </w:p>
              </w:tc>
            </w:tr>
            <w:tr w14:paraId="3079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pct"/>
                  <w:tcBorders>
                    <w:top w:val="nil"/>
                    <w:left w:val="nil"/>
                    <w:bottom w:val="nil"/>
                    <w:right w:val="nil"/>
                  </w:tcBorders>
                  <w:vAlign w:val="center"/>
                </w:tcPr>
                <w:p w14:paraId="39CECE31">
                  <w:pPr>
                    <w:spacing w:after="163" w:line="240" w:lineRule="auto"/>
                    <w:jc w:val="center"/>
                    <w:rPr>
                      <w:rFonts w:eastAsia="黑体"/>
                      <w:bCs/>
                      <w:sz w:val="21"/>
                      <w:szCs w:val="21"/>
                    </w:rPr>
                  </w:pPr>
                  <w:r>
                    <w:rPr>
                      <w:rFonts w:eastAsia="黑体"/>
                      <w:bCs/>
                      <w:sz w:val="21"/>
                      <w:szCs w:val="21"/>
                    </w:rPr>
                    <w:t>图10-</w:t>
                  </w:r>
                  <w:r>
                    <w:rPr>
                      <w:rFonts w:hint="eastAsia" w:eastAsia="黑体"/>
                      <w:bCs/>
                      <w:sz w:val="21"/>
                      <w:szCs w:val="21"/>
                      <w:lang w:val="en-US" w:eastAsia="zh-CN"/>
                    </w:rPr>
                    <w:t>2</w:t>
                  </w:r>
                  <w:r>
                    <w:rPr>
                      <w:rFonts w:eastAsia="黑体"/>
                      <w:bCs/>
                      <w:sz w:val="21"/>
                      <w:szCs w:val="21"/>
                    </w:rPr>
                    <w:t xml:space="preserve">  电缆穿墙示意图</w:t>
                  </w:r>
                </w:p>
              </w:tc>
              <w:tc>
                <w:tcPr>
                  <w:tcW w:w="2482" w:type="pct"/>
                  <w:tcBorders>
                    <w:top w:val="nil"/>
                    <w:left w:val="nil"/>
                    <w:bottom w:val="nil"/>
                    <w:right w:val="nil"/>
                  </w:tcBorders>
                  <w:vAlign w:val="center"/>
                </w:tcPr>
                <w:p w14:paraId="4DC8EEB0">
                  <w:pPr>
                    <w:spacing w:after="163" w:line="240" w:lineRule="auto"/>
                    <w:jc w:val="center"/>
                    <w:rPr>
                      <w:rFonts w:eastAsia="黑体"/>
                      <w:bCs/>
                      <w:sz w:val="21"/>
                      <w:szCs w:val="21"/>
                    </w:rPr>
                  </w:pPr>
                  <w:r>
                    <w:rPr>
                      <w:rFonts w:eastAsia="黑体"/>
                      <w:bCs/>
                      <w:sz w:val="21"/>
                      <w:szCs w:val="21"/>
                    </w:rPr>
                    <w:t>图10-</w:t>
                  </w:r>
                  <w:r>
                    <w:rPr>
                      <w:rFonts w:hint="eastAsia" w:eastAsia="黑体"/>
                      <w:bCs/>
                      <w:sz w:val="21"/>
                      <w:szCs w:val="21"/>
                      <w:lang w:val="en-US" w:eastAsia="zh-CN"/>
                    </w:rPr>
                    <w:t>3</w:t>
                  </w:r>
                  <w:r>
                    <w:rPr>
                      <w:rFonts w:eastAsia="黑体"/>
                      <w:bCs/>
                      <w:sz w:val="21"/>
                      <w:szCs w:val="21"/>
                    </w:rPr>
                    <w:t xml:space="preserve">  排风管道穿墙示意图</w:t>
                  </w:r>
                </w:p>
              </w:tc>
            </w:tr>
          </w:tbl>
          <w:p w14:paraId="1AFA2E49">
            <w:pPr>
              <w:ind w:firstLine="482"/>
              <w:rPr>
                <w:b/>
              </w:rPr>
            </w:pPr>
            <w:r>
              <w:rPr>
                <w:b/>
              </w:rPr>
              <w:t>3、射线装置机房安全设施</w:t>
            </w:r>
          </w:p>
          <w:p w14:paraId="15EF4F04">
            <w:pPr>
              <w:ind w:firstLine="482"/>
              <w:rPr>
                <w:b/>
              </w:rPr>
            </w:pPr>
            <w:r>
              <w:rPr>
                <w:b/>
              </w:rPr>
              <w:t>（</w:t>
            </w:r>
            <w:r>
              <w:rPr>
                <w:rFonts w:hint="eastAsia"/>
                <w:b/>
                <w:lang w:val="en-US" w:eastAsia="zh-CN"/>
              </w:rPr>
              <w:t>1</w:t>
            </w:r>
            <w:r>
              <w:rPr>
                <w:b/>
              </w:rPr>
              <w:t>）Ⅲ类射线装置安全设施</w:t>
            </w:r>
          </w:p>
          <w:p w14:paraId="18B6FCB6">
            <w:pPr>
              <w:ind w:firstLine="482"/>
              <w:rPr>
                <w:b/>
              </w:rPr>
            </w:pPr>
            <w:r>
              <w:rPr>
                <w:b/>
              </w:rPr>
              <w:t>1）Ⅲ类射线装置固有安全性</w:t>
            </w:r>
          </w:p>
          <w:p w14:paraId="3F0984B2">
            <w:pPr>
              <w:ind w:firstLine="480"/>
              <w:rPr>
                <w:bCs/>
              </w:rPr>
            </w:pPr>
            <w:r>
              <w:rPr>
                <w:bCs/>
              </w:rPr>
              <w:t>①具有安全设备，当设备出现错误或故障时，能中断照射，并有相应故障显示。</w:t>
            </w:r>
          </w:p>
          <w:p w14:paraId="6B346B71">
            <w:pPr>
              <w:ind w:firstLine="480"/>
              <w:rPr>
                <w:bCs/>
              </w:rPr>
            </w:pPr>
            <w:r>
              <w:rPr>
                <w:bCs/>
              </w:rPr>
              <w:t>②正常情况下，必须按规定程序并经控制台确认验证设置无误时，才能由"启动"键启动照射。</w:t>
            </w:r>
          </w:p>
          <w:p w14:paraId="550AB287">
            <w:pPr>
              <w:ind w:firstLine="480"/>
              <w:rPr>
                <w:bCs/>
              </w:rPr>
            </w:pPr>
            <w:r>
              <w:rPr>
                <w:bCs/>
              </w:rPr>
              <w:t>③在操作台上设置有“紧急止动”按钮一旦发现异常情况，工作人员可立即按下此按钮来停止照射。</w:t>
            </w:r>
          </w:p>
          <w:p w14:paraId="166FD537">
            <w:pPr>
              <w:ind w:firstLine="482"/>
              <w:rPr>
                <w:b/>
              </w:rPr>
            </w:pPr>
            <w:r>
              <w:rPr>
                <w:b/>
              </w:rPr>
              <w:t>2）Ⅲ类射线装置机房二次加装安全设施</w:t>
            </w:r>
          </w:p>
          <w:p w14:paraId="5B534F3C">
            <w:pPr>
              <w:ind w:firstLine="480"/>
              <w:rPr>
                <w:bCs/>
              </w:rPr>
            </w:pPr>
            <w:r>
              <w:rPr>
                <w:bCs/>
              </w:rPr>
              <w:t>Ⅲ类射线装置机房二次加装安全设施见表10-1</w:t>
            </w:r>
            <w:r>
              <w:rPr>
                <w:rFonts w:hint="eastAsia"/>
                <w:bCs/>
                <w:lang w:val="en-US" w:eastAsia="zh-CN"/>
              </w:rPr>
              <w:t>2</w:t>
            </w:r>
            <w:r>
              <w:rPr>
                <w:bCs/>
              </w:rPr>
              <w:t>。</w:t>
            </w:r>
          </w:p>
          <w:p w14:paraId="261389BD">
            <w:pPr>
              <w:spacing w:before="163" w:line="240" w:lineRule="auto"/>
              <w:jc w:val="center"/>
              <w:rPr>
                <w:rFonts w:eastAsia="黑体"/>
                <w:bCs/>
                <w:sz w:val="21"/>
                <w:szCs w:val="21"/>
              </w:rPr>
            </w:pPr>
            <w:r>
              <w:rPr>
                <w:rFonts w:eastAsia="黑体"/>
                <w:bCs/>
                <w:sz w:val="21"/>
                <w:szCs w:val="21"/>
              </w:rPr>
              <w:t>表10-1</w:t>
            </w:r>
            <w:r>
              <w:rPr>
                <w:rFonts w:hint="eastAsia" w:eastAsia="黑体"/>
                <w:bCs/>
                <w:sz w:val="21"/>
                <w:szCs w:val="21"/>
                <w:lang w:val="en-US" w:eastAsia="zh-CN"/>
              </w:rPr>
              <w:t>2</w:t>
            </w:r>
            <w:r>
              <w:rPr>
                <w:rFonts w:eastAsia="黑体"/>
                <w:bCs/>
                <w:sz w:val="21"/>
                <w:szCs w:val="21"/>
              </w:rPr>
              <w:t xml:space="preserve">  Ⅲ类射线装置机房安全设施布置表</w:t>
            </w:r>
          </w:p>
          <w:tbl>
            <w:tblPr>
              <w:tblStyle w:val="57"/>
              <w:tblW w:w="8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4156"/>
              <w:gridCol w:w="1361"/>
              <w:gridCol w:w="1364"/>
            </w:tblGrid>
            <w:tr w14:paraId="6A16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70" w:type="pct"/>
                  <w:tcBorders>
                    <w:left w:val="nil"/>
                  </w:tcBorders>
                  <w:vAlign w:val="center"/>
                </w:tcPr>
                <w:p w14:paraId="5697E270">
                  <w:pPr>
                    <w:spacing w:line="360" w:lineRule="exact"/>
                    <w:jc w:val="center"/>
                    <w:rPr>
                      <w:sz w:val="21"/>
                      <w:szCs w:val="21"/>
                    </w:rPr>
                  </w:pPr>
                  <w:r>
                    <w:rPr>
                      <w:sz w:val="21"/>
                      <w:szCs w:val="21"/>
                    </w:rPr>
                    <w:t>安全设施</w:t>
                  </w:r>
                </w:p>
              </w:tc>
              <w:tc>
                <w:tcPr>
                  <w:tcW w:w="2433" w:type="pct"/>
                  <w:vAlign w:val="center"/>
                </w:tcPr>
                <w:p w14:paraId="1BD6C72B">
                  <w:pPr>
                    <w:spacing w:line="360" w:lineRule="exact"/>
                    <w:jc w:val="center"/>
                    <w:rPr>
                      <w:sz w:val="21"/>
                      <w:szCs w:val="21"/>
                    </w:rPr>
                  </w:pPr>
                  <w:r>
                    <w:rPr>
                      <w:sz w:val="21"/>
                      <w:szCs w:val="21"/>
                    </w:rPr>
                    <w:t>功能描述</w:t>
                  </w:r>
                </w:p>
              </w:tc>
              <w:tc>
                <w:tcPr>
                  <w:tcW w:w="797" w:type="pct"/>
                  <w:vAlign w:val="center"/>
                </w:tcPr>
                <w:p w14:paraId="3165FA58">
                  <w:pPr>
                    <w:spacing w:line="360" w:lineRule="exact"/>
                    <w:jc w:val="center"/>
                    <w:rPr>
                      <w:spacing w:val="-20"/>
                      <w:sz w:val="21"/>
                      <w:szCs w:val="21"/>
                    </w:rPr>
                  </w:pPr>
                  <w:r>
                    <w:rPr>
                      <w:spacing w:val="-20"/>
                      <w:sz w:val="21"/>
                      <w:szCs w:val="21"/>
                    </w:rPr>
                    <w:t>PET/CT机房</w:t>
                  </w:r>
                </w:p>
              </w:tc>
              <w:tc>
                <w:tcPr>
                  <w:tcW w:w="798" w:type="pct"/>
                  <w:tcBorders>
                    <w:right w:val="nil"/>
                  </w:tcBorders>
                  <w:vAlign w:val="center"/>
                </w:tcPr>
                <w:p w14:paraId="3041DF08">
                  <w:pPr>
                    <w:spacing w:line="360" w:lineRule="exact"/>
                    <w:jc w:val="center"/>
                    <w:rPr>
                      <w:spacing w:val="-20"/>
                      <w:sz w:val="21"/>
                      <w:szCs w:val="21"/>
                    </w:rPr>
                  </w:pPr>
                  <w:r>
                    <w:rPr>
                      <w:spacing w:val="-20"/>
                      <w:sz w:val="21"/>
                      <w:szCs w:val="21"/>
                    </w:rPr>
                    <w:t>SPECT/CT机房</w:t>
                  </w:r>
                </w:p>
              </w:tc>
            </w:tr>
            <w:tr w14:paraId="4C51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970" w:type="pct"/>
                  <w:tcBorders>
                    <w:left w:val="nil"/>
                  </w:tcBorders>
                  <w:vAlign w:val="center"/>
                </w:tcPr>
                <w:p w14:paraId="6916BEB3">
                  <w:pPr>
                    <w:spacing w:line="360" w:lineRule="exact"/>
                    <w:jc w:val="center"/>
                    <w:rPr>
                      <w:bCs/>
                      <w:sz w:val="21"/>
                      <w:szCs w:val="21"/>
                    </w:rPr>
                  </w:pPr>
                  <w:r>
                    <w:rPr>
                      <w:bCs/>
                      <w:sz w:val="21"/>
                      <w:szCs w:val="21"/>
                    </w:rPr>
                    <w:t>紧急止动按钮</w:t>
                  </w:r>
                </w:p>
              </w:tc>
              <w:tc>
                <w:tcPr>
                  <w:tcW w:w="2433" w:type="pct"/>
                  <w:vAlign w:val="center"/>
                </w:tcPr>
                <w:p w14:paraId="289EB75D">
                  <w:pPr>
                    <w:spacing w:line="360" w:lineRule="exact"/>
                    <w:rPr>
                      <w:bCs/>
                      <w:sz w:val="21"/>
                      <w:szCs w:val="21"/>
                    </w:rPr>
                  </w:pPr>
                  <w:r>
                    <w:rPr>
                      <w:bCs/>
                      <w:sz w:val="21"/>
                      <w:szCs w:val="21"/>
                    </w:rPr>
                    <w:t>射线装置床旁和控制台均设置紧急止动按钮，任意按钮触发，射线装置将停机，按钮位置应有中文标识，同时在触动后需人工复位才能重新启动治疗活动。</w:t>
                  </w:r>
                </w:p>
              </w:tc>
              <w:tc>
                <w:tcPr>
                  <w:tcW w:w="797" w:type="pct"/>
                  <w:vAlign w:val="center"/>
                </w:tcPr>
                <w:p w14:paraId="069FB49F">
                  <w:pPr>
                    <w:spacing w:line="360" w:lineRule="exact"/>
                    <w:jc w:val="center"/>
                    <w:rPr>
                      <w:bCs/>
                      <w:sz w:val="21"/>
                      <w:szCs w:val="21"/>
                    </w:rPr>
                  </w:pPr>
                  <w:r>
                    <w:rPr>
                      <w:bCs/>
                      <w:sz w:val="21"/>
                      <w:szCs w:val="21"/>
                    </w:rPr>
                    <w:t>4个</w:t>
                  </w:r>
                </w:p>
              </w:tc>
              <w:tc>
                <w:tcPr>
                  <w:tcW w:w="798" w:type="pct"/>
                  <w:tcBorders>
                    <w:right w:val="nil"/>
                  </w:tcBorders>
                  <w:vAlign w:val="center"/>
                </w:tcPr>
                <w:p w14:paraId="37E0F62E">
                  <w:pPr>
                    <w:spacing w:line="360" w:lineRule="exact"/>
                    <w:jc w:val="center"/>
                    <w:rPr>
                      <w:bCs/>
                      <w:sz w:val="21"/>
                      <w:szCs w:val="21"/>
                    </w:rPr>
                  </w:pPr>
                  <w:r>
                    <w:rPr>
                      <w:bCs/>
                      <w:sz w:val="21"/>
                      <w:szCs w:val="21"/>
                    </w:rPr>
                    <w:t>6个</w:t>
                  </w:r>
                </w:p>
              </w:tc>
            </w:tr>
            <w:tr w14:paraId="0A6B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970" w:type="pct"/>
                  <w:tcBorders>
                    <w:left w:val="nil"/>
                  </w:tcBorders>
                  <w:vAlign w:val="center"/>
                </w:tcPr>
                <w:p w14:paraId="5AC4ACCE">
                  <w:pPr>
                    <w:spacing w:line="360" w:lineRule="exact"/>
                    <w:jc w:val="center"/>
                    <w:rPr>
                      <w:bCs/>
                      <w:sz w:val="21"/>
                      <w:szCs w:val="21"/>
                    </w:rPr>
                  </w:pPr>
                  <w:r>
                    <w:rPr>
                      <w:bCs/>
                      <w:sz w:val="21"/>
                      <w:szCs w:val="21"/>
                    </w:rPr>
                    <w:t>工作状态指示灯（门-灯联锁）</w:t>
                  </w:r>
                </w:p>
              </w:tc>
              <w:tc>
                <w:tcPr>
                  <w:tcW w:w="2433" w:type="pct"/>
                  <w:vAlign w:val="center"/>
                </w:tcPr>
                <w:p w14:paraId="46263965">
                  <w:pPr>
                    <w:spacing w:line="360" w:lineRule="exact"/>
                    <w:rPr>
                      <w:bCs/>
                      <w:sz w:val="21"/>
                      <w:szCs w:val="21"/>
                    </w:rPr>
                  </w:pPr>
                  <w:r>
                    <w:rPr>
                      <w:bCs/>
                      <w:sz w:val="21"/>
                      <w:szCs w:val="21"/>
                    </w:rPr>
                    <w:t>机房防护门口醒目处均安装工作状态指示灯（例如：显示“射线有害、灯亮勿入”），并与防护门联锁，当防护门关闭时，工作状态指示灯亮起，当防护门开启时工作状态指示灯熄灭。</w:t>
                  </w:r>
                </w:p>
              </w:tc>
              <w:tc>
                <w:tcPr>
                  <w:tcW w:w="797" w:type="pct"/>
                  <w:vAlign w:val="center"/>
                </w:tcPr>
                <w:p w14:paraId="701EB0D1">
                  <w:pPr>
                    <w:spacing w:line="360" w:lineRule="exact"/>
                    <w:jc w:val="center"/>
                    <w:rPr>
                      <w:bCs/>
                      <w:sz w:val="21"/>
                      <w:szCs w:val="21"/>
                    </w:rPr>
                  </w:pPr>
                  <w:r>
                    <w:rPr>
                      <w:bCs/>
                      <w:sz w:val="21"/>
                      <w:szCs w:val="21"/>
                    </w:rPr>
                    <w:t>2套</w:t>
                  </w:r>
                </w:p>
              </w:tc>
              <w:tc>
                <w:tcPr>
                  <w:tcW w:w="798" w:type="pct"/>
                  <w:tcBorders>
                    <w:right w:val="nil"/>
                  </w:tcBorders>
                  <w:vAlign w:val="center"/>
                </w:tcPr>
                <w:p w14:paraId="647227C0">
                  <w:pPr>
                    <w:spacing w:line="360" w:lineRule="exact"/>
                    <w:jc w:val="center"/>
                    <w:rPr>
                      <w:bCs/>
                      <w:sz w:val="21"/>
                      <w:szCs w:val="21"/>
                    </w:rPr>
                  </w:pPr>
                  <w:r>
                    <w:rPr>
                      <w:bCs/>
                      <w:sz w:val="21"/>
                      <w:szCs w:val="21"/>
                    </w:rPr>
                    <w:t>3套</w:t>
                  </w:r>
                </w:p>
              </w:tc>
            </w:tr>
            <w:tr w14:paraId="7C31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970" w:type="pct"/>
                  <w:tcBorders>
                    <w:left w:val="nil"/>
                  </w:tcBorders>
                  <w:vAlign w:val="center"/>
                </w:tcPr>
                <w:p w14:paraId="692D1C24">
                  <w:pPr>
                    <w:spacing w:line="360" w:lineRule="exact"/>
                    <w:jc w:val="center"/>
                    <w:rPr>
                      <w:bCs/>
                      <w:sz w:val="21"/>
                      <w:szCs w:val="21"/>
                    </w:rPr>
                  </w:pPr>
                  <w:r>
                    <w:rPr>
                      <w:bCs/>
                      <w:sz w:val="21"/>
                      <w:szCs w:val="21"/>
                    </w:rPr>
                    <w:t>视频监控</w:t>
                  </w:r>
                </w:p>
              </w:tc>
              <w:tc>
                <w:tcPr>
                  <w:tcW w:w="2433" w:type="pct"/>
                  <w:vAlign w:val="center"/>
                </w:tcPr>
                <w:p w14:paraId="029D70C4">
                  <w:pPr>
                    <w:spacing w:line="360" w:lineRule="exact"/>
                    <w:rPr>
                      <w:bCs/>
                      <w:sz w:val="21"/>
                      <w:szCs w:val="21"/>
                    </w:rPr>
                  </w:pPr>
                  <w:r>
                    <w:rPr>
                      <w:bCs/>
                      <w:sz w:val="21"/>
                      <w:szCs w:val="21"/>
                    </w:rPr>
                    <w:t>机房内不同位置均安装视频监控装置，实现对机房全覆盖，便于监控曝光前人员误入。</w:t>
                  </w:r>
                </w:p>
              </w:tc>
              <w:tc>
                <w:tcPr>
                  <w:tcW w:w="797" w:type="pct"/>
                  <w:vAlign w:val="center"/>
                </w:tcPr>
                <w:p w14:paraId="112641DD">
                  <w:pPr>
                    <w:spacing w:line="360" w:lineRule="exact"/>
                    <w:jc w:val="center"/>
                    <w:rPr>
                      <w:bCs/>
                      <w:sz w:val="21"/>
                      <w:szCs w:val="21"/>
                    </w:rPr>
                  </w:pPr>
                  <w:r>
                    <w:rPr>
                      <w:bCs/>
                      <w:sz w:val="21"/>
                      <w:szCs w:val="21"/>
                    </w:rPr>
                    <w:t>2套</w:t>
                  </w:r>
                </w:p>
              </w:tc>
              <w:tc>
                <w:tcPr>
                  <w:tcW w:w="798" w:type="pct"/>
                  <w:tcBorders>
                    <w:right w:val="nil"/>
                  </w:tcBorders>
                  <w:vAlign w:val="center"/>
                </w:tcPr>
                <w:p w14:paraId="03B97103">
                  <w:pPr>
                    <w:spacing w:line="360" w:lineRule="exact"/>
                    <w:jc w:val="center"/>
                    <w:rPr>
                      <w:bCs/>
                      <w:sz w:val="21"/>
                      <w:szCs w:val="21"/>
                    </w:rPr>
                  </w:pPr>
                  <w:r>
                    <w:rPr>
                      <w:bCs/>
                      <w:sz w:val="21"/>
                      <w:szCs w:val="21"/>
                    </w:rPr>
                    <w:t>3套</w:t>
                  </w:r>
                </w:p>
              </w:tc>
            </w:tr>
            <w:tr w14:paraId="504B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970" w:type="pct"/>
                  <w:tcBorders>
                    <w:left w:val="nil"/>
                  </w:tcBorders>
                  <w:vAlign w:val="center"/>
                </w:tcPr>
                <w:p w14:paraId="07EFE3B4">
                  <w:pPr>
                    <w:spacing w:line="360" w:lineRule="exact"/>
                    <w:jc w:val="center"/>
                    <w:rPr>
                      <w:bCs/>
                      <w:sz w:val="21"/>
                      <w:szCs w:val="21"/>
                    </w:rPr>
                  </w:pPr>
                  <w:r>
                    <w:rPr>
                      <w:bCs/>
                      <w:sz w:val="21"/>
                      <w:szCs w:val="21"/>
                    </w:rPr>
                    <w:t>语音播报及对讲装置</w:t>
                  </w:r>
                </w:p>
              </w:tc>
              <w:tc>
                <w:tcPr>
                  <w:tcW w:w="2433" w:type="pct"/>
                  <w:vAlign w:val="center"/>
                </w:tcPr>
                <w:p w14:paraId="18FF2392">
                  <w:pPr>
                    <w:spacing w:line="360" w:lineRule="exact"/>
                    <w:rPr>
                      <w:bCs/>
                      <w:sz w:val="21"/>
                      <w:szCs w:val="21"/>
                    </w:rPr>
                  </w:pPr>
                  <w:r>
                    <w:rPr>
                      <w:bCs/>
                      <w:sz w:val="21"/>
                      <w:szCs w:val="21"/>
                    </w:rPr>
                    <w:t>机房内设置语音广播系统，在准备出束时进行语音提示，告知非相关人员及时撤离机房，并可以通过双向语音对讲装置告知病人或未撤离人员。</w:t>
                  </w:r>
                </w:p>
              </w:tc>
              <w:tc>
                <w:tcPr>
                  <w:tcW w:w="797" w:type="pct"/>
                  <w:vAlign w:val="center"/>
                </w:tcPr>
                <w:p w14:paraId="332AF49E">
                  <w:pPr>
                    <w:spacing w:line="360" w:lineRule="exact"/>
                    <w:jc w:val="center"/>
                    <w:rPr>
                      <w:bCs/>
                      <w:sz w:val="21"/>
                      <w:szCs w:val="21"/>
                    </w:rPr>
                  </w:pPr>
                  <w:r>
                    <w:rPr>
                      <w:bCs/>
                      <w:sz w:val="21"/>
                      <w:szCs w:val="21"/>
                    </w:rPr>
                    <w:t>2套</w:t>
                  </w:r>
                </w:p>
              </w:tc>
              <w:tc>
                <w:tcPr>
                  <w:tcW w:w="798" w:type="pct"/>
                  <w:tcBorders>
                    <w:right w:val="nil"/>
                  </w:tcBorders>
                  <w:vAlign w:val="center"/>
                </w:tcPr>
                <w:p w14:paraId="11F71E21">
                  <w:pPr>
                    <w:spacing w:line="360" w:lineRule="exact"/>
                    <w:jc w:val="center"/>
                    <w:rPr>
                      <w:bCs/>
                      <w:sz w:val="21"/>
                      <w:szCs w:val="21"/>
                    </w:rPr>
                  </w:pPr>
                  <w:r>
                    <w:rPr>
                      <w:bCs/>
                      <w:sz w:val="21"/>
                      <w:szCs w:val="21"/>
                    </w:rPr>
                    <w:t>3套</w:t>
                  </w:r>
                </w:p>
              </w:tc>
            </w:tr>
          </w:tbl>
          <w:p w14:paraId="45FECCD2">
            <w:pPr>
              <w:ind w:firstLine="482"/>
              <w:rPr>
                <w:rFonts w:hint="default" w:eastAsia="宋体"/>
                <w:b/>
                <w:lang w:val="en-US" w:eastAsia="zh-CN"/>
              </w:rPr>
            </w:pPr>
            <w:r>
              <w:rPr>
                <w:rFonts w:hint="eastAsia"/>
                <w:b/>
                <w:lang w:eastAsia="zh-CN"/>
              </w:rPr>
              <w:t>（</w:t>
            </w:r>
            <w:r>
              <w:rPr>
                <w:rFonts w:hint="eastAsia"/>
                <w:b/>
                <w:lang w:val="en-US" w:eastAsia="zh-CN"/>
              </w:rPr>
              <w:t>2</w:t>
            </w:r>
            <w:r>
              <w:rPr>
                <w:rFonts w:hint="eastAsia"/>
                <w:b/>
                <w:lang w:eastAsia="zh-CN"/>
              </w:rPr>
              <w:t>）</w:t>
            </w:r>
            <w:r>
              <w:rPr>
                <w:rFonts w:hint="default" w:ascii="Times New Roman" w:hAnsi="Times New Roman" w:cs="Times New Roman"/>
                <w:b/>
                <w:lang w:eastAsia="zh-CN"/>
              </w:rPr>
              <w:t>Ⅱ</w:t>
            </w:r>
            <w:r>
              <w:rPr>
                <w:rFonts w:hint="eastAsia"/>
                <w:b/>
                <w:lang w:val="en-US" w:eastAsia="zh-CN"/>
              </w:rPr>
              <w:t>类射线装置</w:t>
            </w:r>
            <w:r>
              <w:rPr>
                <w:b/>
              </w:rPr>
              <w:t>安全设施</w:t>
            </w:r>
          </w:p>
          <w:p w14:paraId="6537A6BF">
            <w:pPr>
              <w:ind w:firstLine="482" w:firstLineChars="200"/>
              <w:rPr>
                <w:b/>
              </w:rPr>
            </w:pPr>
            <w:r>
              <w:rPr>
                <w:b/>
              </w:rPr>
              <w:t>1</w:t>
            </w:r>
            <w:r>
              <w:rPr>
                <w:rFonts w:hint="eastAsia"/>
                <w:b/>
                <w:lang w:eastAsia="zh-CN"/>
              </w:rPr>
              <w:t>）</w:t>
            </w:r>
            <w:r>
              <w:rPr>
                <w:b/>
              </w:rPr>
              <w:t>设备固有安全性</w:t>
            </w:r>
          </w:p>
          <w:p w14:paraId="32830B06">
            <w:pPr>
              <w:ind w:firstLine="480" w:firstLineChars="200"/>
              <w:rPr>
                <w:bCs/>
              </w:rPr>
            </w:pPr>
            <w:r>
              <w:rPr>
                <w:szCs w:val="22"/>
              </w:rPr>
              <w:t>本项目DSA为新增，拟购于正规厂家，设备各项安全措施齐备，仪器本身采取了多种安全防护措施：</w:t>
            </w:r>
          </w:p>
          <w:p w14:paraId="53539374">
            <w:pPr>
              <w:ind w:firstLine="480" w:firstLineChars="200"/>
              <w:rPr>
                <w:bCs/>
              </w:rPr>
            </w:pPr>
            <w:r>
              <w:rPr>
                <w:bCs/>
              </w:rPr>
              <w:t>（1）</w:t>
            </w:r>
            <w:bookmarkStart w:id="40" w:name="OLE_LINK5"/>
            <w:r>
              <w:rPr>
                <w:bCs/>
              </w:rPr>
              <w:t>采用栅控技术</w:t>
            </w:r>
            <w:bookmarkEnd w:id="40"/>
            <w:r>
              <w:rPr>
                <w:bCs/>
              </w:rPr>
              <w:t>：在每次脉冲曝光间隔向旋转阳极加一负电压，抵消曝光脉冲的启辉与余辉，起到消除软X射线、提高有用射线品质并减小脉冲宽度作用。</w:t>
            </w:r>
          </w:p>
          <w:p w14:paraId="5711B2AD">
            <w:pPr>
              <w:ind w:firstLine="480" w:firstLineChars="200"/>
              <w:rPr>
                <w:bCs/>
              </w:rPr>
            </w:pPr>
            <w:r>
              <w:rPr>
                <w:bCs/>
              </w:rPr>
              <w:t>（2）采用</w:t>
            </w:r>
            <w:bookmarkStart w:id="41" w:name="_Hlk196917252"/>
            <w:r>
              <w:rPr>
                <w:bCs/>
              </w:rPr>
              <w:t>光谱过滤技术</w:t>
            </w:r>
            <w:bookmarkEnd w:id="41"/>
            <w:r>
              <w:rPr>
                <w:bCs/>
              </w:rPr>
              <w:t>：在X射线管头或影像增强器的窗口处放置合适过滤板，以多消除软X射线以及减少二次散射，优化有用X射线谱。</w:t>
            </w:r>
          </w:p>
          <w:p w14:paraId="2DCDD114">
            <w:pPr>
              <w:ind w:firstLine="480" w:firstLineChars="200"/>
              <w:rPr>
                <w:bCs/>
              </w:rPr>
            </w:pPr>
            <w:r>
              <w:rPr>
                <w:bCs/>
              </w:rPr>
              <w:t>（3）采用</w:t>
            </w:r>
            <w:bookmarkStart w:id="42" w:name="_Hlk196917259"/>
            <w:r>
              <w:rPr>
                <w:bCs/>
              </w:rPr>
              <w:t>脉冲透视技术</w:t>
            </w:r>
            <w:bookmarkEnd w:id="42"/>
            <w:r>
              <w:rPr>
                <w:bCs/>
              </w:rPr>
              <w:t>：在透视图像数字化基础上实现脉冲透视（如每秒25帧、12.5帧、6帧等可供选择），改善图像清晰度；并能明显地减少透视剂量。</w:t>
            </w:r>
          </w:p>
          <w:p w14:paraId="3DDCF81A">
            <w:pPr>
              <w:ind w:firstLine="480" w:firstLineChars="200"/>
              <w:rPr>
                <w:bCs/>
              </w:rPr>
            </w:pPr>
            <w:r>
              <w:rPr>
                <w:bCs/>
              </w:rPr>
              <w:t>（4）采用</w:t>
            </w:r>
            <w:bookmarkStart w:id="43" w:name="_Hlk196917268"/>
            <w:r>
              <w:rPr>
                <w:bCs/>
              </w:rPr>
              <w:t>图像冻结技术</w:t>
            </w:r>
            <w:bookmarkEnd w:id="43"/>
            <w:r>
              <w:rPr>
                <w:bCs/>
              </w:rPr>
              <w:t>：每次透视的最后一帧图像被暂存并保留于监视器上显示，充分利用此方法可以明显缩短总透视时间，达到减少不必要的照射。</w:t>
            </w:r>
          </w:p>
          <w:p w14:paraId="3491EFCF">
            <w:pPr>
              <w:ind w:firstLine="480" w:firstLineChars="200"/>
              <w:rPr>
                <w:bCs/>
              </w:rPr>
            </w:pPr>
            <w:r>
              <w:rPr>
                <w:bCs/>
              </w:rPr>
              <w:t>（5）配备有相应的</w:t>
            </w:r>
            <w:bookmarkStart w:id="44" w:name="_Hlk196917296"/>
            <w:r>
              <w:rPr>
                <w:bCs/>
              </w:rPr>
              <w:t>表征剂量的指示装置</w:t>
            </w:r>
            <w:bookmarkEnd w:id="44"/>
            <w:r>
              <w:rPr>
                <w:bCs/>
              </w:rPr>
              <w:t>，</w:t>
            </w:r>
            <w:r>
              <w:rPr>
                <w:rFonts w:hint="eastAsia"/>
                <w:bCs/>
              </w:rPr>
              <w:t>能在线监测表征输出剂量</w:t>
            </w:r>
            <w:r>
              <w:rPr>
                <w:bCs/>
              </w:rPr>
              <w:t>。</w:t>
            </w:r>
          </w:p>
          <w:p w14:paraId="2A20AD89">
            <w:pPr>
              <w:ind w:firstLine="480" w:firstLineChars="200"/>
              <w:rPr>
                <w:bCs/>
              </w:rPr>
            </w:pPr>
            <w:r>
              <w:rPr>
                <w:bCs/>
              </w:rPr>
              <w:t>（6）配备辅助防护设施：DSA手术床旁配备屏蔽挂帘和移动式防护帘（铅屏风）（均为0.5mmPb）等辅助防护用品与设施，在设备运行中可用于加强对有关人员采取放射防护与安全措施。</w:t>
            </w:r>
          </w:p>
          <w:p w14:paraId="50584B89">
            <w:pPr>
              <w:ind w:firstLine="480" w:firstLineChars="200"/>
            </w:pPr>
            <w:r>
              <w:rPr>
                <w:rFonts w:hint="eastAsia"/>
                <w:bCs/>
              </w:rPr>
              <w:t>（7）</w:t>
            </w:r>
            <w:r>
              <w:rPr>
                <w:rFonts w:hint="eastAsia"/>
              </w:rPr>
              <w:t>正常情况下，必须按规定程序并经操作台确认验证设置无误时，才能由“启动”键启动出束；同时在操作台和床旁均设置有“急停按钮”按钮，一旦发现异常情况，工作人员可立即按下此按钮停止照射。</w:t>
            </w:r>
          </w:p>
          <w:p w14:paraId="0574308B">
            <w:pPr>
              <w:ind w:firstLine="482"/>
              <w:rPr>
                <w:b/>
              </w:rPr>
            </w:pPr>
            <w:r>
              <w:rPr>
                <w:b/>
              </w:rPr>
              <w:t>2）</w:t>
            </w:r>
            <w:r>
              <w:rPr>
                <w:rFonts w:hint="default" w:ascii="Times New Roman" w:hAnsi="Times New Roman" w:cs="Times New Roman"/>
                <w:b/>
              </w:rPr>
              <w:t>Ⅱ</w:t>
            </w:r>
            <w:r>
              <w:rPr>
                <w:b/>
              </w:rPr>
              <w:t>类射线装置机房二次加装安全设施</w:t>
            </w:r>
          </w:p>
          <w:p w14:paraId="228C1899">
            <w:pPr>
              <w:tabs>
                <w:tab w:val="left" w:pos="0"/>
              </w:tabs>
              <w:ind w:firstLine="480"/>
              <w:rPr>
                <w:bCs/>
                <w:highlight w:val="none"/>
              </w:rPr>
            </w:pPr>
            <w:r>
              <w:rPr>
                <w:rFonts w:hint="eastAsia"/>
                <w:bCs/>
              </w:rPr>
              <w:t>①</w:t>
            </w:r>
            <w:r>
              <w:rPr>
                <w:bCs/>
              </w:rPr>
              <w:t>工作状态显示</w:t>
            </w:r>
            <w:r>
              <w:rPr>
                <w:rFonts w:hint="eastAsia"/>
                <w:bCs/>
              </w:rPr>
              <w:t>：</w:t>
            </w:r>
            <w:r>
              <w:rPr>
                <w:rFonts w:hint="eastAsia"/>
                <w:bCs/>
                <w:lang w:val="en-US" w:eastAsia="zh-CN"/>
              </w:rPr>
              <w:t>各机房</w:t>
            </w:r>
            <w:r>
              <w:rPr>
                <w:bCs/>
              </w:rPr>
              <w:t>的患者通道铅门顶部拟设置工作状态指示灯箱。当防护门关闭时，指示灯箱为红色并显示“禁止入内”，以警示人员注意安全；</w:t>
            </w:r>
            <w:r>
              <w:rPr>
                <w:rFonts w:hint="eastAsia"/>
                <w:bCs/>
                <w:highlight w:val="none"/>
                <w:lang w:val="en-US" w:eastAsia="zh-CN"/>
              </w:rPr>
              <w:t>设置有门灯联锁：</w:t>
            </w:r>
            <w:r>
              <w:rPr>
                <w:bCs/>
                <w:highlight w:val="none"/>
              </w:rPr>
              <w:t>当防护门打开时，指示灯箱灭。</w:t>
            </w:r>
          </w:p>
          <w:p w14:paraId="7E9B1319">
            <w:pPr>
              <w:tabs>
                <w:tab w:val="left" w:pos="0"/>
              </w:tabs>
              <w:ind w:firstLine="480"/>
              <w:rPr>
                <w:bCs/>
              </w:rPr>
            </w:pPr>
            <w:r>
              <w:rPr>
                <w:rFonts w:hint="eastAsia"/>
                <w:bCs/>
              </w:rPr>
              <w:t>②</w:t>
            </w:r>
            <w:r>
              <w:rPr>
                <w:bCs/>
              </w:rPr>
              <w:t>电离辐射警告标志</w:t>
            </w:r>
            <w:r>
              <w:rPr>
                <w:rFonts w:hint="eastAsia"/>
                <w:bCs/>
              </w:rPr>
              <w:t>：在</w:t>
            </w:r>
            <w:r>
              <w:rPr>
                <w:rFonts w:hint="eastAsia"/>
                <w:bCs/>
                <w:lang w:val="en-US" w:eastAsia="zh-CN"/>
              </w:rPr>
              <w:t>各机房</w:t>
            </w:r>
            <w:r>
              <w:rPr>
                <w:rFonts w:hint="eastAsia"/>
                <w:bCs/>
              </w:rPr>
              <w:t>的防护门外的</w:t>
            </w:r>
            <w:r>
              <w:rPr>
                <w:bCs/>
              </w:rPr>
              <w:t>醒目位置，</w:t>
            </w:r>
            <w:r>
              <w:rPr>
                <w:rFonts w:hint="eastAsia"/>
                <w:bCs/>
              </w:rPr>
              <w:t>均</w:t>
            </w:r>
            <w:r>
              <w:rPr>
                <w:bCs/>
              </w:rPr>
              <w:t>拟设置明显的电离辐射警告标志</w:t>
            </w:r>
            <w:r>
              <w:rPr>
                <w:rFonts w:hint="eastAsia"/>
                <w:bCs/>
              </w:rPr>
              <w:t>。</w:t>
            </w:r>
          </w:p>
          <w:p w14:paraId="671E08EB">
            <w:pPr>
              <w:tabs>
                <w:tab w:val="left" w:pos="0"/>
              </w:tabs>
              <w:ind w:firstLine="480"/>
              <w:rPr>
                <w:bCs/>
              </w:rPr>
            </w:pPr>
            <w:r>
              <w:rPr>
                <w:rFonts w:hint="eastAsia"/>
                <w:bCs/>
              </w:rPr>
              <w:t>③</w:t>
            </w:r>
            <w:bookmarkStart w:id="45" w:name="OLE_LINK18"/>
            <w:r>
              <w:rPr>
                <w:bCs/>
              </w:rPr>
              <w:t>闭门装置</w:t>
            </w:r>
            <w:bookmarkEnd w:id="45"/>
            <w:r>
              <w:rPr>
                <w:rFonts w:hint="eastAsia"/>
                <w:bCs/>
              </w:rPr>
              <w:t>：拟在</w:t>
            </w:r>
            <w:r>
              <w:rPr>
                <w:rFonts w:hint="eastAsia"/>
                <w:bCs/>
                <w:lang w:val="en-US" w:eastAsia="zh-CN"/>
              </w:rPr>
              <w:t>各机房</w:t>
            </w:r>
            <w:r>
              <w:rPr>
                <w:rFonts w:hint="eastAsia"/>
                <w:bCs/>
                <w:highlight w:val="none"/>
              </w:rPr>
              <w:t>的防护门处</w:t>
            </w:r>
            <w:r>
              <w:rPr>
                <w:rFonts w:hint="eastAsia"/>
                <w:bCs/>
              </w:rPr>
              <w:t>均安装</w:t>
            </w:r>
            <w:r>
              <w:rPr>
                <w:bCs/>
              </w:rPr>
              <w:t>闭门装置</w:t>
            </w:r>
            <w:r>
              <w:rPr>
                <w:rFonts w:hint="eastAsia"/>
                <w:bCs/>
              </w:rPr>
              <w:t>，</w:t>
            </w:r>
            <w:r>
              <w:rPr>
                <w:bCs/>
              </w:rPr>
              <w:t>确保门在开启后能够自动、平稳地关闭到初始位置</w:t>
            </w:r>
            <w:r>
              <w:rPr>
                <w:rFonts w:hint="eastAsia"/>
                <w:bCs/>
              </w:rPr>
              <w:t>。</w:t>
            </w:r>
          </w:p>
          <w:p w14:paraId="1D95CF1C">
            <w:pPr>
              <w:tabs>
                <w:tab w:val="left" w:pos="0"/>
              </w:tabs>
              <w:ind w:firstLine="480" w:firstLineChars="200"/>
              <w:rPr>
                <w:bCs/>
              </w:rPr>
            </w:pPr>
            <w:r>
              <w:rPr>
                <w:rFonts w:hint="eastAsia"/>
                <w:bCs/>
              </w:rPr>
              <w:t>④</w:t>
            </w:r>
            <w:r>
              <w:t>急停按钮</w:t>
            </w:r>
            <w:r>
              <w:rPr>
                <w:bCs/>
              </w:rPr>
              <w:t>：</w:t>
            </w:r>
            <w:r>
              <w:rPr>
                <w:rFonts w:hint="eastAsia"/>
                <w:bCs/>
              </w:rPr>
              <w:t>操作</w:t>
            </w:r>
            <w:r>
              <w:rPr>
                <w:bCs/>
              </w:rPr>
              <w:t>台上、手术床旁均设置</w:t>
            </w:r>
            <w:r>
              <w:t>急停按钮</w:t>
            </w:r>
            <w:r>
              <w:rPr>
                <w:bCs/>
              </w:rPr>
              <w:t>（各按钮分别与X射线系统连接）</w:t>
            </w:r>
            <w:r>
              <w:rPr>
                <w:rFonts w:hint="eastAsia"/>
                <w:bCs/>
              </w:rPr>
              <w:t>，并设置</w:t>
            </w:r>
            <w:r>
              <w:t>中文标识</w:t>
            </w:r>
            <w:r>
              <w:rPr>
                <w:bCs/>
              </w:rPr>
              <w:t>。X射线系统出束过程中，一旦出现异常，按动任一个</w:t>
            </w:r>
            <w:r>
              <w:t>急停按钮</w:t>
            </w:r>
            <w:r>
              <w:rPr>
                <w:bCs/>
              </w:rPr>
              <w:t>，均可停止X射线系统出束。</w:t>
            </w:r>
          </w:p>
          <w:p w14:paraId="6FB533F7">
            <w:pPr>
              <w:tabs>
                <w:tab w:val="left" w:pos="0"/>
              </w:tabs>
              <w:ind w:firstLine="480" w:firstLineChars="200"/>
              <w:rPr>
                <w:bCs/>
              </w:rPr>
            </w:pPr>
            <w:r>
              <w:rPr>
                <w:rFonts w:hint="eastAsia"/>
                <w:bCs/>
              </w:rPr>
              <w:t>⑤</w:t>
            </w:r>
            <w:r>
              <w:rPr>
                <w:bCs/>
              </w:rPr>
              <w:t>操作警示装置：X射线系统出束时，</w:t>
            </w:r>
            <w:r>
              <w:rPr>
                <w:rFonts w:hint="eastAsia"/>
                <w:bCs/>
              </w:rPr>
              <w:t>操作</w:t>
            </w:r>
            <w:r>
              <w:rPr>
                <w:bCs/>
              </w:rPr>
              <w:t>台上的指示鸣器发出声音</w:t>
            </w:r>
            <w:r>
              <w:rPr>
                <w:rFonts w:hint="eastAsia"/>
                <w:bCs/>
              </w:rPr>
              <w:t>，</w:t>
            </w:r>
            <w:r>
              <w:rPr>
                <w:bCs/>
              </w:rPr>
              <w:t>以警示人员注意安全</w:t>
            </w:r>
            <w:r>
              <w:rPr>
                <w:rFonts w:hint="eastAsia"/>
                <w:bCs/>
              </w:rPr>
              <w:t>。</w:t>
            </w:r>
          </w:p>
          <w:p w14:paraId="4F6E683F">
            <w:pPr>
              <w:tabs>
                <w:tab w:val="left" w:pos="0"/>
              </w:tabs>
              <w:ind w:firstLine="480" w:firstLineChars="200"/>
              <w:rPr>
                <w:rFonts w:hint="eastAsia"/>
                <w:bCs/>
                <w:lang w:eastAsia="zh-CN"/>
              </w:rPr>
            </w:pPr>
            <w:r>
              <w:rPr>
                <w:rFonts w:hint="eastAsia"/>
                <w:bCs/>
              </w:rPr>
              <w:t>⑥</w:t>
            </w:r>
            <w:r>
              <w:rPr>
                <w:bCs/>
              </w:rPr>
              <w:t>对讲装置：在</w:t>
            </w:r>
            <w:r>
              <w:rPr>
                <w:rFonts w:hint="eastAsia"/>
                <w:bCs/>
              </w:rPr>
              <w:t>手术室</w:t>
            </w:r>
            <w:r>
              <w:rPr>
                <w:bCs/>
              </w:rPr>
              <w:t>与控制室之间拟安装对讲装置，控制室的工作人员通过对讲机与</w:t>
            </w:r>
            <w:r>
              <w:rPr>
                <w:rFonts w:hint="eastAsia"/>
                <w:bCs/>
              </w:rPr>
              <w:t>手术室</w:t>
            </w:r>
            <w:r>
              <w:rPr>
                <w:bCs/>
              </w:rPr>
              <w:t>内的人员联系</w:t>
            </w:r>
            <w:r>
              <w:rPr>
                <w:rFonts w:hint="eastAsia"/>
                <w:bCs/>
                <w:lang w:eastAsia="zh-CN"/>
              </w:rPr>
              <w:t>。</w:t>
            </w:r>
          </w:p>
          <w:p w14:paraId="5BB71524">
            <w:pPr>
              <w:ind w:firstLine="482"/>
              <w:rPr>
                <w:b/>
              </w:rPr>
            </w:pPr>
            <w:r>
              <w:rPr>
                <w:rFonts w:hint="eastAsia"/>
                <w:bCs/>
                <w:lang w:val="en-US" w:eastAsia="zh-CN"/>
              </w:rPr>
              <w:t>⑦防夹装置：</w:t>
            </w:r>
            <w:r>
              <w:rPr>
                <w:rFonts w:hint="eastAsia"/>
                <w:bCs/>
              </w:rPr>
              <w:t>拟在</w:t>
            </w:r>
            <w:r>
              <w:rPr>
                <w:rFonts w:hint="eastAsia"/>
                <w:bCs/>
                <w:lang w:val="en-US" w:eastAsia="zh-CN"/>
              </w:rPr>
              <w:t>各机房</w:t>
            </w:r>
            <w:r>
              <w:rPr>
                <w:rFonts w:hint="eastAsia"/>
                <w:bCs/>
                <w:highlight w:val="none"/>
              </w:rPr>
              <w:t>的</w:t>
            </w:r>
            <w:r>
              <w:rPr>
                <w:rFonts w:hint="eastAsia"/>
                <w:bCs/>
                <w:highlight w:val="none"/>
                <w:lang w:val="en-US" w:eastAsia="zh-CN"/>
              </w:rPr>
              <w:t>病患出入</w:t>
            </w:r>
            <w:r>
              <w:rPr>
                <w:rFonts w:hint="eastAsia"/>
                <w:bCs/>
                <w:highlight w:val="none"/>
              </w:rPr>
              <w:t>防护门处</w:t>
            </w:r>
            <w:r>
              <w:rPr>
                <w:rFonts w:hint="eastAsia"/>
                <w:bCs/>
              </w:rPr>
              <w:t>安装</w:t>
            </w:r>
            <w:r>
              <w:rPr>
                <w:rFonts w:hint="eastAsia"/>
                <w:bCs/>
                <w:lang w:val="en-US" w:eastAsia="zh-CN"/>
              </w:rPr>
              <w:t>防夹</w:t>
            </w:r>
            <w:r>
              <w:rPr>
                <w:bCs/>
              </w:rPr>
              <w:t>装置</w:t>
            </w:r>
            <w:r>
              <w:rPr>
                <w:rFonts w:hint="eastAsia"/>
                <w:bCs/>
              </w:rPr>
              <w:t>，</w:t>
            </w:r>
            <w:r>
              <w:rPr>
                <w:bCs/>
              </w:rPr>
              <w:t>确保门开</w:t>
            </w:r>
            <w:r>
              <w:rPr>
                <w:rFonts w:hint="eastAsia"/>
                <w:bCs/>
                <w:lang w:val="en-US" w:eastAsia="zh-CN"/>
              </w:rPr>
              <w:t>闭</w:t>
            </w:r>
            <w:r>
              <w:rPr>
                <w:rFonts w:hint="eastAsia"/>
                <w:bCs/>
                <w:lang w:eastAsia="zh-CN"/>
              </w:rPr>
              <w:t>的</w:t>
            </w:r>
            <w:r>
              <w:rPr>
                <w:rFonts w:hint="eastAsia"/>
                <w:bCs/>
                <w:lang w:val="en-US" w:eastAsia="zh-CN"/>
              </w:rPr>
              <w:t>过程中</w:t>
            </w:r>
            <w:r>
              <w:rPr>
                <w:bCs/>
              </w:rPr>
              <w:t>能</w:t>
            </w:r>
            <w:r>
              <w:rPr>
                <w:rFonts w:hint="eastAsia"/>
                <w:bCs/>
                <w:lang w:eastAsia="zh-CN"/>
              </w:rPr>
              <w:t>在</w:t>
            </w:r>
            <w:r>
              <w:rPr>
                <w:bCs/>
              </w:rPr>
              <w:t>够</w:t>
            </w:r>
            <w:r>
              <w:rPr>
                <w:rFonts w:hint="eastAsia"/>
                <w:bCs/>
                <w:lang w:val="en-US" w:eastAsia="zh-CN"/>
              </w:rPr>
              <w:t>感应到人员或物品时，回到开启状态</w:t>
            </w:r>
            <w:r>
              <w:rPr>
                <w:rFonts w:hint="eastAsia"/>
                <w:bCs/>
              </w:rPr>
              <w:t>。</w:t>
            </w:r>
          </w:p>
          <w:p w14:paraId="50596596">
            <w:pPr>
              <w:ind w:firstLine="482" w:firstLineChars="200"/>
              <w:rPr>
                <w:b/>
              </w:rPr>
            </w:pPr>
            <w:r>
              <w:rPr>
                <w:rFonts w:hint="eastAsia"/>
                <w:b/>
                <w:lang w:val="en-US" w:eastAsia="zh-CN"/>
              </w:rPr>
              <w:t>3）</w:t>
            </w:r>
            <w:r>
              <w:rPr>
                <w:b/>
              </w:rPr>
              <w:t>介入过程防护</w:t>
            </w:r>
          </w:p>
          <w:p w14:paraId="7B14F6E2">
            <w:pPr>
              <w:tabs>
                <w:tab w:val="left" w:pos="0"/>
              </w:tabs>
              <w:ind w:firstLine="480" w:firstLineChars="200"/>
              <w:rPr>
                <w:rFonts w:hint="eastAsia" w:eastAsia="宋体"/>
                <w:highlight w:val="none"/>
                <w:lang w:val="en-US" w:eastAsia="zh-CN"/>
              </w:rPr>
            </w:pPr>
            <w:r>
              <w:rPr>
                <w:rFonts w:hint="eastAsia"/>
              </w:rPr>
              <w:t>①</w:t>
            </w:r>
            <w:r>
              <w:t>介入手术过程职业人员进入</w:t>
            </w:r>
            <w:r>
              <w:rPr>
                <w:rFonts w:hint="eastAsia"/>
              </w:rPr>
              <w:t>手术室</w:t>
            </w:r>
            <w:r>
              <w:t>进行透视时，应佩戴好个人防护用具包括：</w:t>
            </w:r>
            <w:bookmarkStart w:id="46" w:name="_Hlk196917452"/>
            <w:r>
              <w:t>铅</w:t>
            </w:r>
            <w:r>
              <w:rPr>
                <w:rFonts w:hint="eastAsia"/>
              </w:rPr>
              <w:t>衣</w:t>
            </w:r>
            <w:r>
              <w:t>、铅橡胶颈套、</w:t>
            </w:r>
            <w:r>
              <w:rPr>
                <w:highlight w:val="none"/>
              </w:rPr>
              <w:t>铅防护眼镜、</w:t>
            </w:r>
            <w:r>
              <w:rPr>
                <w:rFonts w:hint="eastAsia"/>
                <w:highlight w:val="none"/>
              </w:rPr>
              <w:t>介入防护手套</w:t>
            </w:r>
            <w:r>
              <w:rPr>
                <w:highlight w:val="none"/>
              </w:rPr>
              <w:t>等</w:t>
            </w:r>
            <w:bookmarkEnd w:id="46"/>
            <w:r>
              <w:rPr>
                <w:highlight w:val="none"/>
              </w:rPr>
              <w:t>，</w:t>
            </w:r>
            <w:r>
              <w:rPr>
                <w:rFonts w:hint="eastAsia"/>
                <w:highlight w:val="none"/>
              </w:rPr>
              <w:t>其中介入防护手套铅当量不小于0.0</w:t>
            </w:r>
            <w:r>
              <w:rPr>
                <w:rFonts w:hint="eastAsia"/>
                <w:highlight w:val="none"/>
                <w:lang w:val="en-US" w:eastAsia="zh-CN"/>
              </w:rPr>
              <w:t>2</w:t>
            </w:r>
            <w:r>
              <w:rPr>
                <w:rFonts w:hint="eastAsia"/>
                <w:highlight w:val="none"/>
              </w:rPr>
              <w:t>5</w:t>
            </w:r>
            <w:r>
              <w:rPr>
                <w:highlight w:val="none"/>
              </w:rPr>
              <w:t>mmPb</w:t>
            </w:r>
            <w:r>
              <w:rPr>
                <w:rFonts w:hint="eastAsia"/>
                <w:highlight w:val="none"/>
              </w:rPr>
              <w:t>，其他</w:t>
            </w:r>
            <w:r>
              <w:rPr>
                <w:highlight w:val="none"/>
              </w:rPr>
              <w:t>防护铅当量不低于0.5</w:t>
            </w:r>
            <w:bookmarkStart w:id="47" w:name="OLE_LINK33"/>
            <w:r>
              <w:rPr>
                <w:highlight w:val="none"/>
              </w:rPr>
              <w:t>mmPb</w:t>
            </w:r>
            <w:bookmarkEnd w:id="47"/>
            <w:r>
              <w:rPr>
                <w:highlight w:val="none"/>
              </w:rPr>
              <w:t>。本项目</w:t>
            </w:r>
            <w:r>
              <w:rPr>
                <w:rFonts w:hint="eastAsia"/>
                <w:highlight w:val="none"/>
                <w:lang w:val="en-US" w:eastAsia="zh-CN"/>
              </w:rPr>
              <w:t>DSA+CT、</w:t>
            </w:r>
            <w:r>
              <w:rPr>
                <w:highlight w:val="none"/>
              </w:rPr>
              <w:t>DSA</w:t>
            </w:r>
            <w:r>
              <w:rPr>
                <w:rFonts w:hint="eastAsia"/>
                <w:highlight w:val="none"/>
                <w:lang w:eastAsia="zh-CN"/>
              </w:rPr>
              <w:t>、</w:t>
            </w:r>
            <w:r>
              <w:rPr>
                <w:rFonts w:hint="eastAsia"/>
                <w:highlight w:val="none"/>
                <w:lang w:val="en-US" w:eastAsia="zh-CN"/>
              </w:rPr>
              <w:t>ERCP</w:t>
            </w:r>
            <w:r>
              <w:rPr>
                <w:highlight w:val="none"/>
              </w:rPr>
              <w:t>拟</w:t>
            </w:r>
            <w:r>
              <w:rPr>
                <w:rFonts w:hint="eastAsia"/>
                <w:highlight w:val="none"/>
                <w:lang w:val="en-US" w:eastAsia="zh-CN"/>
              </w:rPr>
              <w:t>分别</w:t>
            </w:r>
            <w:r>
              <w:rPr>
                <w:highlight w:val="none"/>
              </w:rPr>
              <w:t>配置</w:t>
            </w:r>
            <w:r>
              <w:rPr>
                <w:rFonts w:hint="eastAsia"/>
                <w:highlight w:val="none"/>
              </w:rPr>
              <w:t>铅衣、</w:t>
            </w:r>
            <w:r>
              <w:rPr>
                <w:highlight w:val="none"/>
              </w:rPr>
              <w:t>铅橡胶颈套、铅防护眼镜、</w:t>
            </w:r>
            <w:r>
              <w:rPr>
                <w:rFonts w:hint="eastAsia"/>
                <w:highlight w:val="none"/>
              </w:rPr>
              <w:t>介入防护手套</w:t>
            </w:r>
            <w:r>
              <w:rPr>
                <w:highlight w:val="none"/>
              </w:rPr>
              <w:t>等3套，</w:t>
            </w:r>
            <w:r>
              <w:rPr>
                <w:rFonts w:hint="eastAsia"/>
                <w:highlight w:val="none"/>
              </w:rPr>
              <w:t>其中介入防护手套铅当量不小于0.0</w:t>
            </w:r>
            <w:r>
              <w:rPr>
                <w:rFonts w:hint="eastAsia"/>
                <w:highlight w:val="none"/>
                <w:lang w:val="en-US" w:eastAsia="zh-CN"/>
              </w:rPr>
              <w:t>2</w:t>
            </w:r>
            <w:r>
              <w:rPr>
                <w:rFonts w:hint="eastAsia"/>
                <w:highlight w:val="none"/>
              </w:rPr>
              <w:t>5</w:t>
            </w:r>
            <w:r>
              <w:rPr>
                <w:highlight w:val="none"/>
              </w:rPr>
              <w:t>mmPb</w:t>
            </w:r>
            <w:r>
              <w:rPr>
                <w:rFonts w:hint="eastAsia"/>
                <w:highlight w:val="none"/>
              </w:rPr>
              <w:t>，其他</w:t>
            </w:r>
            <w:r>
              <w:rPr>
                <w:highlight w:val="none"/>
              </w:rPr>
              <w:t>防护铅当量不低于0.5mmPb</w:t>
            </w:r>
            <w:r>
              <w:rPr>
                <w:rFonts w:hint="eastAsia"/>
                <w:highlight w:val="none"/>
              </w:rPr>
              <w:t>。鼓励使用非铅材料防护用品，特别是非铅介入防护手套</w:t>
            </w:r>
            <w:r>
              <w:rPr>
                <w:rFonts w:hint="eastAsia"/>
                <w:highlight w:val="none"/>
                <w:lang w:eastAsia="zh-CN"/>
              </w:rPr>
              <w:t>。</w:t>
            </w:r>
          </w:p>
          <w:p w14:paraId="5541A669">
            <w:pPr>
              <w:ind w:firstLine="480" w:firstLineChars="200"/>
            </w:pPr>
            <w:r>
              <w:rPr>
                <w:rFonts w:hint="eastAsia"/>
              </w:rPr>
              <w:t>②</w:t>
            </w:r>
            <w:r>
              <w:t>手术医生在进行</w:t>
            </w:r>
            <w:r>
              <w:rPr>
                <w:rFonts w:hint="eastAsia"/>
                <w:szCs w:val="20"/>
                <w:lang w:val="en-US" w:eastAsia="zh-CN"/>
              </w:rPr>
              <w:t>介入操作</w:t>
            </w:r>
            <w:r>
              <w:t>时，应使用</w:t>
            </w:r>
            <w:bookmarkStart w:id="48" w:name="OLE_LINK46"/>
            <w:r>
              <w:t>铅防护吊屏和</w:t>
            </w:r>
            <w:r>
              <w:rPr>
                <w:rFonts w:hint="eastAsia"/>
              </w:rPr>
              <w:t>床侧防护帘</w:t>
            </w:r>
            <w:bookmarkEnd w:id="48"/>
            <w:r>
              <w:t>进行局部遮挡。本项目</w:t>
            </w:r>
            <w:r>
              <w:rPr>
                <w:rFonts w:hint="eastAsia"/>
                <w:lang w:val="en-US" w:eastAsia="zh-CN"/>
              </w:rPr>
              <w:t>DSA+CT、</w:t>
            </w:r>
            <w:r>
              <w:t>DSA</w:t>
            </w:r>
            <w:r>
              <w:rPr>
                <w:rFonts w:hint="eastAsia"/>
                <w:lang w:eastAsia="zh-CN"/>
              </w:rPr>
              <w:t>、</w:t>
            </w:r>
            <w:r>
              <w:rPr>
                <w:rFonts w:hint="eastAsia"/>
                <w:lang w:val="en-US" w:eastAsia="zh-CN"/>
              </w:rPr>
              <w:t>ERCP</w:t>
            </w:r>
            <w:r>
              <w:t>由厂家配置床体旁的</w:t>
            </w:r>
            <w:bookmarkStart w:id="49" w:name="_Hlk196917437"/>
            <w:r>
              <w:t>铅防护吊屏和</w:t>
            </w:r>
            <w:r>
              <w:rPr>
                <w:rFonts w:hint="eastAsia"/>
              </w:rPr>
              <w:t>床侧防护帘</w:t>
            </w:r>
            <w:bookmarkEnd w:id="49"/>
            <w:r>
              <w:t>各1件，均为</w:t>
            </w:r>
            <w:r>
              <w:rPr>
                <w:bCs/>
              </w:rPr>
              <w:t>0.5mmPb</w:t>
            </w:r>
            <w:r>
              <w:t>。</w:t>
            </w:r>
          </w:p>
          <w:p w14:paraId="23241D08">
            <w:pPr>
              <w:tabs>
                <w:tab w:val="left" w:pos="0"/>
              </w:tabs>
              <w:ind w:firstLine="480" w:firstLineChars="200"/>
            </w:pPr>
            <w:r>
              <w:rPr>
                <w:rFonts w:hint="eastAsia"/>
              </w:rPr>
              <w:t>③</w:t>
            </w:r>
            <w:r>
              <w:t>对病人进行</w:t>
            </w:r>
            <w:r>
              <w:rPr>
                <w:rFonts w:hint="eastAsia"/>
                <w:szCs w:val="20"/>
                <w:lang w:val="en-US" w:eastAsia="zh-CN"/>
              </w:rPr>
              <w:t>介入操作</w:t>
            </w:r>
            <w:r>
              <w:t>时或</w:t>
            </w:r>
            <w:r>
              <w:rPr>
                <w:rFonts w:hint="eastAsia"/>
                <w:lang w:eastAsia="zh-CN"/>
              </w:rPr>
              <w:t>影像检查</w:t>
            </w:r>
            <w:r>
              <w:t>过程，应采用适当防护设施对病人非病灶部位进行遮挡。本项目</w:t>
            </w:r>
            <w:r>
              <w:rPr>
                <w:rFonts w:hint="eastAsia"/>
                <w:lang w:val="en-US" w:eastAsia="zh-CN"/>
              </w:rPr>
              <w:t>DSA+CT、</w:t>
            </w:r>
            <w:r>
              <w:t>DSA</w:t>
            </w:r>
            <w:r>
              <w:rPr>
                <w:rFonts w:hint="eastAsia"/>
                <w:lang w:eastAsia="zh-CN"/>
              </w:rPr>
              <w:t>、</w:t>
            </w:r>
            <w:r>
              <w:rPr>
                <w:rFonts w:hint="eastAsia"/>
                <w:lang w:val="en-US" w:eastAsia="zh-CN"/>
              </w:rPr>
              <w:t>ERCP</w:t>
            </w:r>
            <w:r>
              <w:t>拟为病人配置铅方巾或铅围裙、铅橡胶颈套等1套，其防护铅当量均不低于</w:t>
            </w:r>
            <w:r>
              <w:rPr>
                <w:bCs/>
              </w:rPr>
              <w:t>0.5mmPb</w:t>
            </w:r>
            <w:r>
              <w:t>。</w:t>
            </w:r>
          </w:p>
          <w:p w14:paraId="7D030D21">
            <w:pPr>
              <w:tabs>
                <w:tab w:val="left" w:pos="0"/>
              </w:tabs>
              <w:ind w:firstLine="480" w:firstLineChars="200"/>
              <w:rPr>
                <w:rFonts w:hint="eastAsia"/>
              </w:rPr>
            </w:pPr>
            <w:r>
              <w:rPr>
                <w:rFonts w:hint="eastAsia"/>
              </w:rPr>
              <w:t>④采用距离防护，</w:t>
            </w:r>
            <w:bookmarkStart w:id="50" w:name="OLE_LINK45"/>
            <w:r>
              <w:rPr>
                <w:rFonts w:hint="eastAsia"/>
              </w:rPr>
              <w:t>在进行介入手术时</w:t>
            </w:r>
            <w:bookmarkEnd w:id="50"/>
            <w:r>
              <w:rPr>
                <w:rFonts w:hint="eastAsia"/>
              </w:rPr>
              <w:t>，只有第一术者位医生距离射线源较近（0.3m），第二术者位医生和护士在满足工作要求的前提下尽量远离射线源（分别距离射线源1.0m和1.5m）。</w:t>
            </w:r>
          </w:p>
          <w:p w14:paraId="09DFA47E">
            <w:pPr>
              <w:ind w:firstLine="482" w:firstLineChars="200"/>
              <w:rPr>
                <w:b/>
              </w:rPr>
            </w:pPr>
            <w:r>
              <w:rPr>
                <w:b/>
              </w:rPr>
              <w:t>4</w:t>
            </w:r>
            <w:r>
              <w:rPr>
                <w:rFonts w:hint="eastAsia"/>
                <w:b/>
                <w:lang w:eastAsia="zh-CN"/>
              </w:rPr>
              <w:t>）</w:t>
            </w:r>
            <w:r>
              <w:rPr>
                <w:b/>
              </w:rPr>
              <w:t>源项控制</w:t>
            </w:r>
          </w:p>
          <w:p w14:paraId="6BCF0AA5">
            <w:pPr>
              <w:ind w:firstLine="480" w:firstLineChars="200"/>
            </w:pPr>
            <w:r>
              <w:t>射线装置装有可调限束装置，使装置发射的线束宽度尽量减小，以减少泄漏辐射。</w:t>
            </w:r>
          </w:p>
          <w:p w14:paraId="16363BD7">
            <w:pPr>
              <w:ind w:firstLine="482" w:firstLineChars="200"/>
              <w:rPr>
                <w:b/>
              </w:rPr>
            </w:pPr>
            <w:r>
              <w:rPr>
                <w:b/>
              </w:rPr>
              <w:t>5</w:t>
            </w:r>
            <w:r>
              <w:rPr>
                <w:rFonts w:hint="eastAsia"/>
                <w:b/>
                <w:lang w:eastAsia="zh-CN"/>
              </w:rPr>
              <w:t>）</w:t>
            </w:r>
            <w:r>
              <w:rPr>
                <w:rFonts w:hint="eastAsia"/>
                <w:b/>
              </w:rPr>
              <w:t>其他辐射安全防护</w:t>
            </w:r>
            <w:r>
              <w:rPr>
                <w:b/>
              </w:rPr>
              <w:t>措施</w:t>
            </w:r>
          </w:p>
          <w:p w14:paraId="01AEB094">
            <w:pPr>
              <w:ind w:left="480" w:leftChars="200"/>
            </w:pPr>
            <w:r>
              <w:t xml:space="preserve">在介入诊疗中，手术医生必须认真做好自身的防护工作。具体要求如下： </w:t>
            </w:r>
          </w:p>
          <w:p w14:paraId="6F17A9A5">
            <w:pPr>
              <w:tabs>
                <w:tab w:val="left" w:pos="0"/>
              </w:tabs>
              <w:ind w:firstLine="480" w:firstLineChars="200"/>
            </w:pPr>
            <w:r>
              <w:rPr>
                <w:rFonts w:hint="eastAsia"/>
              </w:rPr>
              <w:t>①</w:t>
            </w:r>
            <w:r>
              <w:t>进一步提高安全文化素养，全面掌握辐射防护法规与技术知识。</w:t>
            </w:r>
          </w:p>
          <w:p w14:paraId="017C59FB">
            <w:pPr>
              <w:tabs>
                <w:tab w:val="left" w:pos="0"/>
              </w:tabs>
              <w:ind w:firstLine="480" w:firstLineChars="200"/>
            </w:pPr>
            <w:r>
              <w:rPr>
                <w:rFonts w:hint="eastAsia"/>
              </w:rPr>
              <w:t>②</w:t>
            </w:r>
            <w:r>
              <w:t>结合诊疗项目实际，综合运用时间、距离与屏蔽防护措施。</w:t>
            </w:r>
          </w:p>
          <w:p w14:paraId="076A015D">
            <w:pPr>
              <w:tabs>
                <w:tab w:val="left" w:pos="0"/>
              </w:tabs>
              <w:ind w:firstLine="480" w:firstLineChars="200"/>
            </w:pPr>
            <w:r>
              <w:rPr>
                <w:rFonts w:hint="eastAsia"/>
              </w:rPr>
              <w:t>③</w:t>
            </w:r>
            <w:r>
              <w:t>介入手术中，</w:t>
            </w:r>
            <w:r>
              <w:rPr>
                <w:rFonts w:hint="eastAsia"/>
              </w:rPr>
              <w:t>佩戴</w:t>
            </w:r>
            <w:r>
              <w:t>好个人防护用具。</w:t>
            </w:r>
          </w:p>
          <w:p w14:paraId="53CBA4C6">
            <w:pPr>
              <w:tabs>
                <w:tab w:val="left" w:pos="0"/>
              </w:tabs>
              <w:ind w:firstLine="480" w:firstLineChars="200"/>
            </w:pPr>
            <w:r>
              <w:rPr>
                <w:rFonts w:hint="eastAsia"/>
              </w:rPr>
              <w:t>④</w:t>
            </w:r>
            <w:r>
              <w:t>必须开展介入诊疗手术医生的个人剂量监测。</w:t>
            </w:r>
          </w:p>
          <w:p w14:paraId="02BC14CB">
            <w:pPr>
              <w:tabs>
                <w:tab w:val="left" w:pos="0"/>
              </w:tabs>
              <w:ind w:firstLine="480" w:firstLineChars="200"/>
            </w:pPr>
            <w:r>
              <w:rPr>
                <w:rFonts w:hint="eastAsia"/>
              </w:rPr>
              <w:t>⑤</w:t>
            </w:r>
            <w:r>
              <w:t>发现问题及时整改。</w:t>
            </w:r>
          </w:p>
          <w:p w14:paraId="5294989B">
            <w:pPr>
              <w:tabs>
                <w:tab w:val="left" w:pos="0"/>
              </w:tabs>
              <w:ind w:firstLine="480" w:firstLineChars="200"/>
            </w:pPr>
            <w:r>
              <w:t>同时，医院在实施介入</w:t>
            </w:r>
            <w:r>
              <w:rPr>
                <w:rFonts w:hint="eastAsia"/>
              </w:rPr>
              <w:t>诊疗</w:t>
            </w:r>
            <w:r>
              <w:t xml:space="preserve">时还采取以下防护措施： </w:t>
            </w:r>
          </w:p>
          <w:p w14:paraId="3A246F3C">
            <w:pPr>
              <w:tabs>
                <w:tab w:val="left" w:pos="0"/>
              </w:tabs>
              <w:ind w:firstLine="480" w:firstLineChars="200"/>
            </w:pPr>
            <w:r>
              <w:rPr>
                <w:rFonts w:hint="eastAsia"/>
              </w:rPr>
              <w:t>①</w:t>
            </w:r>
            <w:r>
              <w:t>时间防护：在满足</w:t>
            </w:r>
            <w:r>
              <w:rPr>
                <w:rFonts w:hint="eastAsia"/>
              </w:rPr>
              <w:t>诊疗</w:t>
            </w:r>
            <w:r>
              <w:t>要求的前提下，在每次使用</w:t>
            </w:r>
            <w:r>
              <w:rPr>
                <w:rFonts w:hint="eastAsia"/>
                <w:lang w:val="en-US" w:eastAsia="zh-CN"/>
              </w:rPr>
              <w:t>DSA+CT、</w:t>
            </w:r>
            <w:r>
              <w:t>DSA</w:t>
            </w:r>
            <w:r>
              <w:rPr>
                <w:rFonts w:hint="eastAsia"/>
                <w:lang w:eastAsia="zh-CN"/>
              </w:rPr>
              <w:t>、</w:t>
            </w:r>
            <w:r>
              <w:rPr>
                <w:rFonts w:hint="eastAsia"/>
                <w:lang w:val="en-US" w:eastAsia="zh-CN"/>
              </w:rPr>
              <w:t>ERCP</w:t>
            </w:r>
            <w:r>
              <w:t>进行</w:t>
            </w:r>
            <w:r>
              <w:rPr>
                <w:rFonts w:hint="eastAsia"/>
              </w:rPr>
              <w:t>诊疗</w:t>
            </w:r>
            <w:r>
              <w:t>之前，根据诊疗要求和病人实际情况制定最优化的诊疗方案，选择合理可行尽量低的射线照射参数，以及尽量短的曝光时间，减少工作人员和相关公众的受照射时间，也避免病人受到额外剂量的照射。</w:t>
            </w:r>
          </w:p>
          <w:p w14:paraId="3AC0505D">
            <w:pPr>
              <w:tabs>
                <w:tab w:val="left" w:pos="0"/>
              </w:tabs>
              <w:ind w:firstLine="480" w:firstLineChars="200"/>
            </w:pPr>
            <w:r>
              <w:rPr>
                <w:rFonts w:hint="eastAsia"/>
              </w:rPr>
              <w:t>②</w:t>
            </w:r>
            <w:r>
              <w:t>距离防护：操作人员采取隔室操作方式，控制室与</w:t>
            </w:r>
            <w:r>
              <w:rPr>
                <w:rFonts w:hint="eastAsia"/>
              </w:rPr>
              <w:t>手术室</w:t>
            </w:r>
            <w:r>
              <w:t>之间以墙体隔开，通过观察窗观察病人情况，通过对讲机与手术医生交流。</w:t>
            </w:r>
            <w:r>
              <w:rPr>
                <w:rFonts w:hint="eastAsia"/>
                <w:lang w:val="en-US" w:eastAsia="zh-CN"/>
              </w:rPr>
              <w:t>各机房</w:t>
            </w:r>
            <w:r>
              <w:t>将严格按照控制区和监督区划分，实行“两区”管理，限制无关人员进入，以免受到不必要的照射。</w:t>
            </w:r>
          </w:p>
          <w:p w14:paraId="55D09EC5">
            <w:pPr>
              <w:tabs>
                <w:tab w:val="left" w:pos="0"/>
              </w:tabs>
              <w:ind w:firstLine="480" w:firstLineChars="200"/>
            </w:pPr>
            <w:r>
              <w:rPr>
                <w:rFonts w:hint="eastAsia"/>
              </w:rPr>
              <w:t>③</w:t>
            </w:r>
            <w:r>
              <w:t>在不影响图像质量和诊疗需要的前提下，尽量使用低剂量。</w:t>
            </w:r>
          </w:p>
          <w:p w14:paraId="64839C44">
            <w:pPr>
              <w:tabs>
                <w:tab w:val="left" w:pos="0"/>
              </w:tabs>
              <w:ind w:firstLine="480" w:firstLineChars="200"/>
            </w:pPr>
            <w:r>
              <w:t>此外，在介入诊疗中做好患者的防护工作：</w:t>
            </w:r>
          </w:p>
          <w:p w14:paraId="15E84A67">
            <w:pPr>
              <w:tabs>
                <w:tab w:val="left" w:pos="0"/>
              </w:tabs>
              <w:ind w:firstLine="480" w:firstLineChars="200"/>
            </w:pPr>
            <w:r>
              <w:rPr>
                <w:rFonts w:hint="eastAsia"/>
              </w:rPr>
              <w:t>①</w:t>
            </w:r>
            <w:r>
              <w:t>选择最优化的检查参数，为保证影像质量可采用高电压、低电流、限制透视检查时间等措施。</w:t>
            </w:r>
          </w:p>
          <w:p w14:paraId="57935CD2">
            <w:pPr>
              <w:tabs>
                <w:tab w:val="left" w:pos="0"/>
              </w:tabs>
              <w:ind w:firstLine="480" w:firstLineChars="200"/>
            </w:pPr>
            <w:r>
              <w:rPr>
                <w:rFonts w:hint="eastAsia"/>
              </w:rPr>
              <w:t>②做好</w:t>
            </w:r>
            <w:r>
              <w:t>患者非病灶部位的</w:t>
            </w:r>
            <w:r>
              <w:rPr>
                <w:rFonts w:hint="eastAsia"/>
              </w:rPr>
              <w:t>防护</w:t>
            </w:r>
            <w:r>
              <w:t>工作。</w:t>
            </w:r>
          </w:p>
          <w:p w14:paraId="72420C1A">
            <w:pPr>
              <w:ind w:firstLine="482"/>
              <w:rPr>
                <w:rFonts w:hint="eastAsia" w:eastAsia="宋体"/>
                <w:b/>
                <w:lang w:val="en-US" w:eastAsia="zh-CN"/>
              </w:rPr>
            </w:pPr>
            <w:r>
              <w:rPr>
                <w:rFonts w:hint="eastAsia"/>
              </w:rPr>
              <w:t>③</w:t>
            </w:r>
            <w:r>
              <w:t>定期维护介入设备；制定和执行介入诊疗中的质量保证计划。</w:t>
            </w:r>
          </w:p>
          <w:p w14:paraId="7D3225E6">
            <w:pPr>
              <w:ind w:firstLine="482"/>
              <w:rPr>
                <w:b/>
              </w:rPr>
            </w:pPr>
            <w:r>
              <w:rPr>
                <w:b/>
              </w:rPr>
              <w:t>4、非密封放射性物质使用过程辐射防护安全设施</w:t>
            </w:r>
          </w:p>
          <w:p w14:paraId="67EB67F2">
            <w:pPr>
              <w:ind w:firstLine="482"/>
              <w:rPr>
                <w:b/>
              </w:rPr>
            </w:pPr>
            <w:r>
              <w:rPr>
                <w:b/>
              </w:rPr>
              <w:t>（</w:t>
            </w:r>
            <w:r>
              <w:rPr>
                <w:rFonts w:hint="eastAsia"/>
                <w:b/>
                <w:lang w:val="en-US" w:eastAsia="zh-CN"/>
              </w:rPr>
              <w:t>1</w:t>
            </w:r>
            <w:r>
              <w:rPr>
                <w:b/>
              </w:rPr>
              <w:t>）放射性药物诊断、治疗过程辐射防护屏蔽及辐射安全设施</w:t>
            </w:r>
          </w:p>
          <w:p w14:paraId="295F124E">
            <w:pPr>
              <w:ind w:firstLine="482"/>
              <w:rPr>
                <w:b/>
                <w:bCs/>
              </w:rPr>
            </w:pPr>
            <w:r>
              <w:rPr>
                <w:b/>
                <w:bCs/>
              </w:rPr>
              <w:t>1）储存过程的辐射防护屏蔽及辐射安全设施</w:t>
            </w:r>
          </w:p>
          <w:p w14:paraId="4E0D7B92">
            <w:pPr>
              <w:ind w:firstLine="480"/>
            </w:pPr>
            <w:r>
              <w:t>本项目</w:t>
            </w:r>
            <w:r>
              <w:rPr>
                <w:rFonts w:hint="eastAsia"/>
                <w:lang w:val="en-US" w:eastAsia="zh-CN"/>
              </w:rPr>
              <w:t>核医学科</w:t>
            </w:r>
            <w:r>
              <w:t>使用的单光子药物、正电子药物和治疗药物由建设单位外购，外购后的药物</w:t>
            </w:r>
            <w:r>
              <w:rPr>
                <w:rFonts w:hint="eastAsia"/>
                <w:lang w:val="en-US" w:eastAsia="zh-CN"/>
              </w:rPr>
              <w:t>分别</w:t>
            </w:r>
            <w:r>
              <w:t>直接由专用</w:t>
            </w:r>
            <w:r>
              <w:rPr>
                <w:rFonts w:hint="eastAsia"/>
                <w:lang w:val="en-US" w:eastAsia="zh-CN"/>
              </w:rPr>
              <w:t>通道</w:t>
            </w:r>
            <w:r>
              <w:t>转入</w:t>
            </w:r>
            <w:r>
              <w:rPr>
                <w:rFonts w:hint="eastAsia"/>
                <w:lang w:val="en-US" w:eastAsia="zh-CN"/>
              </w:rPr>
              <w:t>负一层</w:t>
            </w:r>
            <w:r>
              <w:t>核医学科储源室</w:t>
            </w:r>
            <w:r>
              <w:rPr>
                <w:rFonts w:hint="eastAsia"/>
                <w:lang w:eastAsia="zh-CN"/>
              </w:rPr>
              <w:t>（</w:t>
            </w:r>
            <w:r>
              <w:rPr>
                <w:rFonts w:hint="eastAsia"/>
                <w:lang w:val="en-US" w:eastAsia="zh-CN"/>
              </w:rPr>
              <w:t>1#、2#</w:t>
            </w:r>
            <w:r>
              <w:rPr>
                <w:rFonts w:hint="eastAsia"/>
                <w:lang w:eastAsia="zh-CN"/>
              </w:rPr>
              <w:t>）</w:t>
            </w:r>
            <w:r>
              <w:t>内，储源室</w:t>
            </w:r>
            <w:r>
              <w:rPr>
                <w:rFonts w:hint="eastAsia"/>
                <w:lang w:eastAsia="zh-CN"/>
              </w:rPr>
              <w:t>（</w:t>
            </w:r>
            <w:r>
              <w:rPr>
                <w:rFonts w:hint="eastAsia"/>
                <w:lang w:val="en-US" w:eastAsia="zh-CN"/>
              </w:rPr>
              <w:t>1#、2#</w:t>
            </w:r>
            <w:r>
              <w:rPr>
                <w:rFonts w:hint="eastAsia"/>
                <w:lang w:eastAsia="zh-CN"/>
              </w:rPr>
              <w:t>）</w:t>
            </w:r>
            <w:r>
              <w:rPr>
                <w:rFonts w:hint="eastAsia"/>
                <w:lang w:val="en-US" w:eastAsia="zh-CN"/>
              </w:rPr>
              <w:t>均</w:t>
            </w:r>
            <w:r>
              <w:t>设双人双锁，当天使用后剩余的放射性药物由工作人员</w:t>
            </w:r>
            <w:r>
              <w:rPr>
                <w:rFonts w:hint="eastAsia"/>
                <w:lang w:val="en-US" w:eastAsia="zh-CN"/>
              </w:rPr>
              <w:t>分别</w:t>
            </w:r>
            <w:r>
              <w:t>转运至该储源室</w:t>
            </w:r>
            <w:r>
              <w:rPr>
                <w:rFonts w:hint="eastAsia"/>
                <w:lang w:eastAsia="zh-CN"/>
              </w:rPr>
              <w:t>（</w:t>
            </w:r>
            <w:r>
              <w:rPr>
                <w:rFonts w:hint="eastAsia"/>
                <w:lang w:val="en-US" w:eastAsia="zh-CN"/>
              </w:rPr>
              <w:t>1#、2#</w:t>
            </w:r>
            <w:r>
              <w:rPr>
                <w:rFonts w:hint="eastAsia"/>
                <w:lang w:eastAsia="zh-CN"/>
              </w:rPr>
              <w:t>）</w:t>
            </w:r>
            <w:r>
              <w:t>保险柜中暂存，并建立放射性药物存取台账。同时各储源室内分别设置1套固定式剂量报警仪、入侵防盗报警装置和1套视频监控系统，当药物出现被盗、失控状态将进行报警。对放射性药物的管理建设单位还应采取以下措施：</w:t>
            </w:r>
          </w:p>
          <w:p w14:paraId="637616AA">
            <w:pPr>
              <w:ind w:firstLine="480"/>
            </w:pPr>
            <w:r>
              <w:t>①放射性药物的存储容器要有合适的屏蔽，放置应合理有序分区存放，放射性药物存放场所不得存放其他易燃、易爆、易腐蚀物料。</w:t>
            </w:r>
          </w:p>
          <w:p w14:paraId="4E295ED1">
            <w:pPr>
              <w:ind w:firstLine="480"/>
            </w:pPr>
            <w:r>
              <w:t>②储源室应专人进行管理，按上述要求设置严密的实体保卫措施，并定期进行辐射剂量的监测，无关人员禁止进入。</w:t>
            </w:r>
          </w:p>
          <w:p w14:paraId="3690F47A">
            <w:pPr>
              <w:ind w:firstLine="480"/>
            </w:pPr>
            <w:r>
              <w:t>③放射性药物要有进出登记，包括生产单位、生产日期、到货时间、核素种类、理化性质、活度和使用情况的详细记录等，建立放射性同位素台账制度。</w:t>
            </w:r>
          </w:p>
          <w:p w14:paraId="5CB7E3D6">
            <w:pPr>
              <w:ind w:firstLine="480"/>
            </w:pPr>
            <w:r>
              <w:t>④医院应建立完善的放射性核素贮存、领取、使用、归还登记和检查制度，做到交接账目清楚、账物相符，记录资料完整。</w:t>
            </w:r>
          </w:p>
          <w:p w14:paraId="06512B42">
            <w:pPr>
              <w:ind w:firstLine="482"/>
              <w:rPr>
                <w:b/>
                <w:bCs/>
              </w:rPr>
            </w:pPr>
            <w:r>
              <w:rPr>
                <w:b/>
                <w:bCs/>
              </w:rPr>
              <w:t>2）</w:t>
            </w:r>
            <w:r>
              <w:rPr>
                <w:rFonts w:hint="eastAsia"/>
                <w:b/>
                <w:bCs/>
                <w:lang w:val="en-US" w:eastAsia="zh-CN"/>
              </w:rPr>
              <w:t>核医学科诊疗</w:t>
            </w:r>
            <w:r>
              <w:rPr>
                <w:b/>
                <w:bCs/>
              </w:rPr>
              <w:t>过程的辐射防护屏蔽及辐射安全设施</w:t>
            </w:r>
          </w:p>
          <w:p w14:paraId="51D6693E">
            <w:pPr>
              <w:ind w:firstLine="480"/>
              <w:rPr>
                <w:bCs/>
              </w:rPr>
            </w:pPr>
            <w:r>
              <w:t>①</w:t>
            </w:r>
            <w:r>
              <w:rPr>
                <w:bCs/>
              </w:rPr>
              <w:t>正电子药物分装操作均在分装室</w:t>
            </w:r>
            <w:r>
              <w:rPr>
                <w:rFonts w:hint="eastAsia"/>
                <w:bCs/>
                <w:lang w:val="en-US" w:eastAsia="zh-CN"/>
              </w:rPr>
              <w:t>1#的正电子药物</w:t>
            </w:r>
            <w:r>
              <w:rPr>
                <w:bCs/>
              </w:rPr>
              <w:t>手套箱内完成，该手套箱设计防护铅当量为60mm，分装后的正电子药物装于外套10mm铅当量铅套的注射器内，注射器装于10mm铅盒中转运至</w:t>
            </w:r>
            <w:r>
              <w:rPr>
                <w:rFonts w:hint="eastAsia"/>
                <w:bCs/>
                <w:lang w:val="en-US" w:eastAsia="zh-CN"/>
              </w:rPr>
              <w:t>PET</w:t>
            </w:r>
            <w:r>
              <w:rPr>
                <w:bCs/>
              </w:rPr>
              <w:t>注射窗，注射时医生和病人间设置有</w:t>
            </w:r>
            <w:r>
              <w:rPr>
                <w:rFonts w:hint="eastAsia"/>
                <w:bCs/>
                <w:lang w:val="en-US" w:eastAsia="zh-CN"/>
              </w:rPr>
              <w:t>45</w:t>
            </w:r>
            <w:r>
              <w:rPr>
                <w:bCs/>
              </w:rPr>
              <w:t>mm铅当量的注射窗。诊断过程中产生的放射性废物采用10mm铅当量铅桶收集屏蔽（设置场所包括：分装室</w:t>
            </w:r>
            <w:r>
              <w:rPr>
                <w:rFonts w:hint="eastAsia"/>
                <w:bCs/>
                <w:lang w:val="en-US" w:eastAsia="zh-CN"/>
              </w:rPr>
              <w:t>1#</w:t>
            </w:r>
            <w:r>
              <w:rPr>
                <w:bCs/>
              </w:rPr>
              <w:t>、</w:t>
            </w:r>
            <w:r>
              <w:rPr>
                <w:rFonts w:hint="eastAsia"/>
                <w:bCs/>
                <w:lang w:val="en-US" w:eastAsia="zh-CN"/>
              </w:rPr>
              <w:t>PET注射室、PET</w:t>
            </w:r>
            <w:r>
              <w:rPr>
                <w:bCs/>
              </w:rPr>
              <w:t>注射后等候室</w:t>
            </w:r>
            <w:r>
              <w:rPr>
                <w:rFonts w:hint="eastAsia"/>
                <w:bCs/>
                <w:lang w:eastAsia="zh-CN"/>
              </w:rPr>
              <w:t>、</w:t>
            </w:r>
            <w:r>
              <w:rPr>
                <w:rFonts w:hint="eastAsia"/>
                <w:bCs/>
                <w:lang w:val="en-US" w:eastAsia="zh-CN"/>
              </w:rPr>
              <w:t>PET留观室</w:t>
            </w:r>
            <w:r>
              <w:rPr>
                <w:bCs/>
              </w:rPr>
              <w:t>等），装满后转入放废暂存间内10mm铅当量的放射性固废暂存容器。</w:t>
            </w:r>
          </w:p>
          <w:p w14:paraId="00F493EC">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bCs/>
              </w:rPr>
            </w:pPr>
            <w:r>
              <w:t>②</w:t>
            </w:r>
            <w:r>
              <w:rPr>
                <w:bCs/>
              </w:rPr>
              <w:t>单光子药物分装操作在分装室</w:t>
            </w:r>
            <w:r>
              <w:rPr>
                <w:rFonts w:hint="eastAsia"/>
                <w:bCs/>
                <w:lang w:val="en-US" w:eastAsia="zh-CN"/>
              </w:rPr>
              <w:t>1#的单光子</w:t>
            </w:r>
            <w:r>
              <w:rPr>
                <w:bCs/>
              </w:rPr>
              <w:t>手套箱内完成，该手套箱设计防护铅当量为10mm，手套箱内设活度测量计，分装后的单光子药物装于外套5mm铅当量铅套的注射器内，注射器装于5mm铅盒中转运至</w:t>
            </w:r>
            <w:r>
              <w:rPr>
                <w:rFonts w:hint="eastAsia"/>
                <w:bCs/>
                <w:lang w:val="en-US" w:eastAsia="zh-CN"/>
              </w:rPr>
              <w:t>ECT</w:t>
            </w:r>
            <w:r>
              <w:rPr>
                <w:bCs/>
              </w:rPr>
              <w:t>注射台，注射时医生和病人间设置有</w:t>
            </w:r>
            <w:r>
              <w:rPr>
                <w:rFonts w:hint="eastAsia"/>
                <w:bCs/>
                <w:lang w:val="en-US" w:eastAsia="zh-CN"/>
              </w:rPr>
              <w:t>5</w:t>
            </w:r>
            <w:r>
              <w:rPr>
                <w:bCs/>
              </w:rPr>
              <w:t>mm铅当量的屏蔽铅窗。诊断过程中产生的放射性废物采用5mm铅当量铅桶收集（设置场所包括：分装室</w:t>
            </w:r>
            <w:r>
              <w:rPr>
                <w:rFonts w:hint="eastAsia"/>
                <w:bCs/>
                <w:lang w:val="en-US" w:eastAsia="zh-CN"/>
              </w:rPr>
              <w:t>1#</w:t>
            </w:r>
            <w:r>
              <w:rPr>
                <w:bCs/>
              </w:rPr>
              <w:t>、</w:t>
            </w:r>
            <w:r>
              <w:rPr>
                <w:rFonts w:hint="eastAsia"/>
                <w:bCs/>
                <w:lang w:val="en-US" w:eastAsia="zh-CN"/>
              </w:rPr>
              <w:t>ECT注射室、ECT</w:t>
            </w:r>
            <w:r>
              <w:rPr>
                <w:bCs/>
              </w:rPr>
              <w:t>注射后等候室</w:t>
            </w:r>
            <w:r>
              <w:rPr>
                <w:rFonts w:hint="eastAsia"/>
                <w:bCs/>
                <w:lang w:eastAsia="zh-CN"/>
              </w:rPr>
              <w:t>、</w:t>
            </w:r>
            <w:r>
              <w:rPr>
                <w:rFonts w:hint="eastAsia"/>
                <w:bCs/>
                <w:lang w:val="en-US" w:eastAsia="zh-CN"/>
              </w:rPr>
              <w:t>ECT留观室</w:t>
            </w:r>
            <w:r>
              <w:rPr>
                <w:bCs/>
              </w:rPr>
              <w:t>等）屏蔽，然后装满后转入放废</w:t>
            </w:r>
            <w:r>
              <w:rPr>
                <w:rFonts w:hint="eastAsia"/>
                <w:bCs/>
                <w:lang w:val="en-US" w:eastAsia="zh-CN"/>
              </w:rPr>
              <w:t>暂存</w:t>
            </w:r>
            <w:r>
              <w:rPr>
                <w:bCs/>
              </w:rPr>
              <w:t>间内5mm铅当量的放射性固废暂存容器。</w:t>
            </w:r>
          </w:p>
          <w:p w14:paraId="39BA3E81">
            <w:pPr>
              <w:keepNext w:val="0"/>
              <w:keepLines w:val="0"/>
              <w:pageBreakBefore w:val="0"/>
              <w:widowControl w:val="0"/>
              <w:kinsoku/>
              <w:wordWrap/>
              <w:overflowPunct/>
              <w:topLinePunct w:val="0"/>
              <w:autoSpaceDE/>
              <w:autoSpaceDN/>
              <w:bidi w:val="0"/>
              <w:adjustRightInd/>
              <w:snapToGrid/>
              <w:ind w:firstLine="480" w:firstLineChars="200"/>
              <w:textAlignment w:val="auto"/>
            </w:pPr>
            <w:r>
              <w:t>③</w:t>
            </w:r>
            <w:r>
              <w:rPr>
                <w:bCs/>
              </w:rPr>
              <w:t>碘-131（甲吸）在</w:t>
            </w:r>
            <w:r>
              <w:rPr>
                <w:rFonts w:hint="eastAsia"/>
                <w:bCs/>
                <w:lang w:val="en-US" w:eastAsia="zh-CN"/>
              </w:rPr>
              <w:t>分装室2#的分装</w:t>
            </w:r>
            <w:r>
              <w:rPr>
                <w:bCs/>
              </w:rPr>
              <w:t>手套箱内进行分装操作，手套箱</w:t>
            </w:r>
            <w:r>
              <w:t>自带</w:t>
            </w:r>
            <w:r>
              <w:rPr>
                <w:rFonts w:hint="eastAsia"/>
                <w:lang w:val="en-US" w:eastAsia="zh-CN"/>
              </w:rPr>
              <w:t>1</w:t>
            </w:r>
            <w:r>
              <w:t>0mm铅当量屏蔽系统，此外</w:t>
            </w:r>
            <w:r>
              <w:rPr>
                <w:bCs/>
              </w:rPr>
              <w:t>甲</w:t>
            </w:r>
            <w:r>
              <w:rPr>
                <w:rFonts w:hint="eastAsia"/>
                <w:bCs/>
                <w:lang w:val="en-US" w:eastAsia="zh-CN"/>
              </w:rPr>
              <w:t>功</w:t>
            </w:r>
            <w:r>
              <w:rPr>
                <w:bCs/>
              </w:rPr>
              <w:t>室设置1个2mm铅当量的铅屏风。碘-131（</w:t>
            </w:r>
            <w:r>
              <w:t>甲</w:t>
            </w:r>
            <w:r>
              <w:rPr>
                <w:rFonts w:hint="eastAsia"/>
                <w:lang w:val="en-US" w:eastAsia="zh-CN"/>
              </w:rPr>
              <w:t>亢</w:t>
            </w:r>
            <w:r>
              <w:rPr>
                <w:bCs/>
              </w:rPr>
              <w:t>）在自动分药仪内</w:t>
            </w:r>
            <w:r>
              <w:t>进行分装操作，</w:t>
            </w:r>
            <w:r>
              <w:rPr>
                <w:bCs/>
              </w:rPr>
              <w:t>自动分药仪</w:t>
            </w:r>
            <w:r>
              <w:t>自带40mm铅当量屏蔽系统，且自动分药柜设置有双锁，将铅罐锁在自动分药柜内，同时</w:t>
            </w:r>
            <w:r>
              <w:rPr>
                <w:bCs/>
              </w:rPr>
              <w:t>自动分药仪</w:t>
            </w:r>
            <w:r>
              <w:t>表面各配套</w:t>
            </w:r>
            <w:r>
              <w:rPr>
                <w:bCs/>
              </w:rPr>
              <w:t>1套固定式辐射剂量监测系统和1套视频监控系统</w:t>
            </w:r>
            <w:r>
              <w:t>，当出现射线泄漏时能报警。工作人员只需在输入厂家标定的碘-131放射性药物活度、标定时间等参数，设定稀释蒸馏水的体积，系统会自动完成定量分配、在线活度测量和体积配比等全部工作，最后工作人员在计算机上输入患者姓名，服用药物的量等参数，系统会自动按照输入的药量给患者分装药物，工作人员通过视频监控和对讲装置指导患者服用，不近距离接触放射性药物，减少了工作人员直接触时间。病人服药</w:t>
            </w:r>
            <w:r>
              <w:rPr>
                <w:bCs/>
              </w:rPr>
              <w:t>过程中产生的放射性废物采用10mm铅当量铅桶收集屏蔽（设置场所包括：分装室</w:t>
            </w:r>
            <w:r>
              <w:rPr>
                <w:rFonts w:hint="eastAsia"/>
                <w:bCs/>
                <w:lang w:val="en-US" w:eastAsia="zh-CN"/>
              </w:rPr>
              <w:t>2#</w:t>
            </w:r>
            <w:r>
              <w:rPr>
                <w:bCs/>
              </w:rPr>
              <w:t>、</w:t>
            </w:r>
            <w:r>
              <w:rPr>
                <w:rFonts w:hint="eastAsia"/>
                <w:bCs/>
                <w:lang w:val="en-US" w:eastAsia="zh-CN"/>
              </w:rPr>
              <w:t>I-131服药室、日间留观室</w:t>
            </w:r>
            <w:r>
              <w:rPr>
                <w:bCs/>
              </w:rPr>
              <w:t>等），装满后转入放废暂存间内10mm铅当量的放射性固废暂存容器。</w:t>
            </w:r>
          </w:p>
          <w:p w14:paraId="2C9CFC3C">
            <w:pPr>
              <w:ind w:firstLine="480"/>
              <w:rPr>
                <w:bCs/>
              </w:rPr>
            </w:pPr>
            <w:r>
              <w:t>④</w:t>
            </w:r>
            <w:r>
              <w:rPr>
                <w:rFonts w:hint="eastAsia"/>
                <w:bCs/>
                <w:lang w:val="en-US" w:eastAsia="zh-CN"/>
              </w:rPr>
              <w:t>锶</w:t>
            </w:r>
            <w:r>
              <w:rPr>
                <w:bCs/>
              </w:rPr>
              <w:t>-</w:t>
            </w:r>
            <w:r>
              <w:rPr>
                <w:rFonts w:hint="eastAsia"/>
                <w:bCs/>
                <w:lang w:val="en-US" w:eastAsia="zh-CN"/>
              </w:rPr>
              <w:t>89</w:t>
            </w:r>
            <w:r>
              <w:rPr>
                <w:bCs/>
              </w:rPr>
              <w:t>治疗药物分装操作在</w:t>
            </w:r>
            <w:r>
              <w:rPr>
                <w:rFonts w:hint="eastAsia"/>
                <w:bCs/>
                <w:lang w:val="en-US" w:eastAsia="zh-CN"/>
              </w:rPr>
              <w:t>分装室2#的</w:t>
            </w:r>
            <w:r>
              <w:rPr>
                <w:bCs/>
              </w:rPr>
              <w:t>手套箱内完成，手套箱设计防护铅当量为</w:t>
            </w:r>
            <w:r>
              <w:rPr>
                <w:rFonts w:hint="eastAsia"/>
                <w:bCs/>
                <w:lang w:val="en-US" w:eastAsia="zh-CN"/>
              </w:rPr>
              <w:t>1</w:t>
            </w:r>
            <w:r>
              <w:rPr>
                <w:bCs/>
              </w:rPr>
              <w:t>0mm，手套箱内设活度测量计，分装后的治疗药物装于外套10mm铅当量铅套的注射器内，注射器装于10mm铅盒中转运至注射台，注射时医生和病人间设置有10mm铅当量的屏蔽体。治疗过程中产生的放射性废物采用10mm铅当量铅桶收集（设置场所包括：分装室</w:t>
            </w:r>
            <w:r>
              <w:rPr>
                <w:rFonts w:hint="eastAsia"/>
                <w:bCs/>
                <w:lang w:val="en-US" w:eastAsia="zh-CN"/>
              </w:rPr>
              <w:t>2#</w:t>
            </w:r>
            <w:r>
              <w:rPr>
                <w:bCs/>
              </w:rPr>
              <w:t>、</w:t>
            </w:r>
            <w:r>
              <w:rPr>
                <w:rFonts w:hint="eastAsia"/>
                <w:bCs/>
                <w:lang w:val="en-US" w:eastAsia="zh-CN"/>
              </w:rPr>
              <w:t>Sr-89注射室、日间留观室</w:t>
            </w:r>
            <w:r>
              <w:rPr>
                <w:bCs/>
              </w:rPr>
              <w:t>等）屏蔽，然后每天转入放废暂存间内10mm铅当量的放射性固废暂存容器。</w:t>
            </w:r>
          </w:p>
          <w:p w14:paraId="74FE967E">
            <w:pPr>
              <w:pStyle w:val="20"/>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lang w:val="en-US" w:eastAsia="zh-CN"/>
              </w:rPr>
            </w:pPr>
            <w:r>
              <w:rPr>
                <w:rFonts w:hint="eastAsia"/>
                <w:bCs/>
                <w:lang w:val="en-US" w:eastAsia="zh-CN"/>
              </w:rPr>
              <w:t>⑤磷-32敷贴治疗药物分装制备敷贴器的操作在</w:t>
            </w:r>
            <w:r>
              <w:rPr>
                <w:bCs/>
              </w:rPr>
              <w:t>分装室</w:t>
            </w:r>
            <w:r>
              <w:rPr>
                <w:rFonts w:hint="eastAsia"/>
                <w:bCs/>
                <w:lang w:val="en-US" w:eastAsia="zh-CN"/>
              </w:rPr>
              <w:t>1#的</w:t>
            </w:r>
            <w:r>
              <w:rPr>
                <w:rFonts w:hint="default" w:ascii="Times New Roman" w:hAnsi="Times New Roman" w:eastAsia="宋体" w:cs="Times New Roman"/>
                <w:sz w:val="24"/>
                <w:szCs w:val="24"/>
                <w:highlight w:val="none"/>
              </w:rPr>
              <w:t>有机玻璃手套箱</w:t>
            </w:r>
            <w:r>
              <w:rPr>
                <w:rFonts w:hint="eastAsia"/>
                <w:bCs/>
                <w:lang w:val="en-US" w:eastAsia="zh-CN"/>
              </w:rPr>
              <w:t>内完成，手套箱</w:t>
            </w:r>
            <w:r>
              <w:rPr>
                <w:bCs/>
              </w:rPr>
              <w:t>设计防护铅当量为10mm，手套箱内设活度测量计，</w:t>
            </w:r>
            <w:r>
              <w:rPr>
                <w:rFonts w:hint="eastAsia"/>
                <w:bCs/>
                <w:lang w:val="en-US" w:eastAsia="zh-CN"/>
              </w:rPr>
              <w:t>制作完成后的敷贴器暂存在敷贴室（1#、2#）的保险箱内。治疗时，</w:t>
            </w:r>
            <w:r>
              <w:rPr>
                <w:rFonts w:hint="eastAsia" w:cs="Times New Roman"/>
                <w:sz w:val="24"/>
                <w:szCs w:val="24"/>
                <w:highlight w:val="none"/>
                <w:lang w:val="en-US" w:eastAsia="zh-CN"/>
              </w:rPr>
              <w:t>工作</w:t>
            </w:r>
            <w:r>
              <w:rPr>
                <w:rFonts w:hint="default" w:ascii="Times New Roman" w:hAnsi="Times New Roman" w:eastAsia="宋体" w:cs="Times New Roman"/>
                <w:sz w:val="24"/>
                <w:szCs w:val="24"/>
                <w:highlight w:val="none"/>
              </w:rPr>
              <w:t>人员</w:t>
            </w:r>
            <w:r>
              <w:rPr>
                <w:rFonts w:hint="eastAsia" w:cs="Times New Roman"/>
                <w:sz w:val="24"/>
                <w:szCs w:val="24"/>
                <w:highlight w:val="none"/>
                <w:lang w:val="en-US" w:eastAsia="zh-CN"/>
              </w:rPr>
              <w:t>从保险箱内</w:t>
            </w:r>
            <w:r>
              <w:rPr>
                <w:rFonts w:hint="default" w:ascii="Times New Roman" w:hAnsi="Times New Roman" w:eastAsia="宋体" w:cs="Times New Roman"/>
                <w:sz w:val="24"/>
                <w:szCs w:val="24"/>
                <w:highlight w:val="none"/>
              </w:rPr>
              <w:t>将敷贴器</w:t>
            </w:r>
            <w:r>
              <w:rPr>
                <w:rFonts w:hint="eastAsia" w:cs="Times New Roman"/>
                <w:sz w:val="24"/>
                <w:szCs w:val="24"/>
                <w:highlight w:val="none"/>
                <w:lang w:val="en-US" w:eastAsia="zh-CN"/>
              </w:rPr>
              <w:t>取出并</w:t>
            </w:r>
            <w:r>
              <w:rPr>
                <w:rFonts w:hint="default" w:ascii="Times New Roman" w:hAnsi="Times New Roman" w:eastAsia="宋体" w:cs="Times New Roman"/>
                <w:sz w:val="24"/>
                <w:szCs w:val="24"/>
                <w:highlight w:val="none"/>
              </w:rPr>
              <w:t>摆放至治疗部位后，在不接触患者皮肤的面用3mm厚的橡皮泥覆盖屏蔽，</w:t>
            </w:r>
            <w:r>
              <w:rPr>
                <w:rFonts w:hint="eastAsia" w:cs="Times New Roman"/>
                <w:sz w:val="24"/>
                <w:szCs w:val="24"/>
                <w:highlight w:val="none"/>
                <w:lang w:val="en-US" w:eastAsia="zh-CN"/>
              </w:rPr>
              <w:t>治疗过程中产生的</w:t>
            </w:r>
            <w:r>
              <w:rPr>
                <w:bCs/>
              </w:rPr>
              <w:t>放射性废物采用</w:t>
            </w:r>
            <w:r>
              <w:rPr>
                <w:rFonts w:hint="eastAsia"/>
                <w:bCs/>
                <w:lang w:val="en-US" w:eastAsia="zh-CN"/>
              </w:rPr>
              <w:t>5</w:t>
            </w:r>
            <w:r>
              <w:rPr>
                <w:bCs/>
              </w:rPr>
              <w:t>mm铅当量铅桶收集屏蔽（设置场所包括：分装室</w:t>
            </w:r>
            <w:r>
              <w:rPr>
                <w:rFonts w:hint="eastAsia"/>
                <w:bCs/>
                <w:lang w:val="en-US" w:eastAsia="zh-CN"/>
              </w:rPr>
              <w:t>1#</w:t>
            </w:r>
            <w:r>
              <w:rPr>
                <w:bCs/>
              </w:rPr>
              <w:t>、</w:t>
            </w:r>
            <w:r>
              <w:rPr>
                <w:rFonts w:hint="eastAsia"/>
                <w:bCs/>
                <w:lang w:val="en-US" w:eastAsia="zh-CN"/>
              </w:rPr>
              <w:t>敷贴室（1#、2#）</w:t>
            </w:r>
            <w:r>
              <w:rPr>
                <w:bCs/>
              </w:rPr>
              <w:t>等），装满后转入放废暂存间内</w:t>
            </w:r>
            <w:r>
              <w:rPr>
                <w:rFonts w:hint="eastAsia"/>
                <w:bCs/>
                <w:lang w:val="en-US" w:eastAsia="zh-CN"/>
              </w:rPr>
              <w:t>5</w:t>
            </w:r>
            <w:r>
              <w:rPr>
                <w:bCs/>
              </w:rPr>
              <w:t>mm铅当量的放射性固废暂存容器。</w:t>
            </w:r>
          </w:p>
          <w:p w14:paraId="7D6D4F2D">
            <w:pPr>
              <w:ind w:firstLine="480"/>
              <w:rPr>
                <w:bCs/>
              </w:rPr>
            </w:pPr>
            <w:r>
              <w:rPr>
                <w:bCs/>
              </w:rPr>
              <w:t>分装</w:t>
            </w:r>
            <w:r>
              <w:rPr>
                <w:rFonts w:hint="eastAsia"/>
                <w:bCs/>
                <w:lang w:val="en-US" w:eastAsia="zh-CN"/>
              </w:rPr>
              <w:t>室（1#、2#）分别</w:t>
            </w:r>
            <w:r>
              <w:rPr>
                <w:bCs/>
              </w:rPr>
              <w:t>设置1套固定式辐射剂量监测系统和1套视频监控系统</w:t>
            </w:r>
            <w:r>
              <w:rPr>
                <w:rFonts w:hint="eastAsia"/>
                <w:bCs/>
                <w:lang w:eastAsia="zh-CN"/>
              </w:rPr>
              <w:t>，</w:t>
            </w:r>
            <w:r>
              <w:rPr>
                <w:rFonts w:hint="eastAsia"/>
                <w:bCs/>
                <w:lang w:val="en-US" w:eastAsia="zh-CN"/>
              </w:rPr>
              <w:t>2个</w:t>
            </w:r>
            <w:r>
              <w:rPr>
                <w:bCs/>
              </w:rPr>
              <w:t>储源室</w:t>
            </w:r>
            <w:r>
              <w:rPr>
                <w:rFonts w:hint="eastAsia"/>
                <w:bCs/>
                <w:lang w:val="en-US" w:eastAsia="zh-CN"/>
              </w:rPr>
              <w:t>（1#、2#）</w:t>
            </w:r>
            <w:r>
              <w:rPr>
                <w:bCs/>
              </w:rPr>
              <w:t>设置双人双锁保险柜、入侵防盗报警装置、固定式γ探头、监控等安保设施。</w:t>
            </w:r>
            <w:r>
              <w:rPr>
                <w:rFonts w:hint="eastAsia"/>
                <w:bCs/>
                <w:lang w:val="en-US" w:eastAsia="zh-CN"/>
              </w:rPr>
              <w:t>核医学科内</w:t>
            </w:r>
            <w:r>
              <w:rPr>
                <w:bCs/>
              </w:rPr>
              <w:t>还设置病人单向门禁，防止病人随意流动，避免放射性污染扩散。</w:t>
            </w:r>
          </w:p>
          <w:p w14:paraId="02790234">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13</w:t>
            </w:r>
            <w:r>
              <w:rPr>
                <w:rFonts w:eastAsia="黑体"/>
                <w:bCs/>
                <w:sz w:val="21"/>
                <w:szCs w:val="21"/>
              </w:rPr>
              <w:t xml:space="preserve">  正电子影像区（负一层）辐射安全与防护设施（设备）</w:t>
            </w:r>
          </w:p>
          <w:tbl>
            <w:tblPr>
              <w:tblStyle w:val="57"/>
              <w:tblW w:w="4993"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26"/>
              <w:gridCol w:w="2458"/>
              <w:gridCol w:w="1649"/>
              <w:gridCol w:w="872"/>
              <w:gridCol w:w="1582"/>
            </w:tblGrid>
            <w:tr w14:paraId="383BD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noWrap/>
                  <w:vAlign w:val="center"/>
                </w:tcPr>
                <w:p w14:paraId="44F62C60">
                  <w:pPr>
                    <w:widowControl/>
                    <w:wordWrap w:val="0"/>
                    <w:spacing w:line="360" w:lineRule="exact"/>
                    <w:jc w:val="center"/>
                    <w:rPr>
                      <w:b/>
                      <w:bCs/>
                      <w:sz w:val="21"/>
                      <w:szCs w:val="21"/>
                      <w:lang w:bidi="ar"/>
                    </w:rPr>
                  </w:pPr>
                  <w:r>
                    <w:rPr>
                      <w:b/>
                      <w:bCs/>
                      <w:sz w:val="21"/>
                      <w:szCs w:val="21"/>
                      <w:lang w:bidi="ar"/>
                    </w:rPr>
                    <w:t>场所</w:t>
                  </w:r>
                </w:p>
              </w:tc>
              <w:tc>
                <w:tcPr>
                  <w:tcW w:w="1398" w:type="pct"/>
                  <w:noWrap/>
                  <w:vAlign w:val="center"/>
                </w:tcPr>
                <w:p w14:paraId="4A12756C">
                  <w:pPr>
                    <w:widowControl/>
                    <w:wordWrap w:val="0"/>
                    <w:spacing w:line="360" w:lineRule="exact"/>
                    <w:jc w:val="center"/>
                    <w:rPr>
                      <w:b/>
                      <w:bCs/>
                      <w:sz w:val="21"/>
                      <w:szCs w:val="21"/>
                    </w:rPr>
                  </w:pPr>
                  <w:r>
                    <w:rPr>
                      <w:b/>
                      <w:bCs/>
                      <w:sz w:val="21"/>
                      <w:szCs w:val="21"/>
                    </w:rPr>
                    <w:t>辐射屏蔽设施</w:t>
                  </w:r>
                </w:p>
              </w:tc>
              <w:tc>
                <w:tcPr>
                  <w:tcW w:w="938" w:type="pct"/>
                  <w:noWrap/>
                  <w:vAlign w:val="center"/>
                </w:tcPr>
                <w:p w14:paraId="01844625">
                  <w:pPr>
                    <w:widowControl/>
                    <w:wordWrap w:val="0"/>
                    <w:spacing w:line="360" w:lineRule="exact"/>
                    <w:jc w:val="center"/>
                    <w:rPr>
                      <w:b/>
                      <w:bCs/>
                      <w:sz w:val="21"/>
                      <w:szCs w:val="21"/>
                    </w:rPr>
                  </w:pPr>
                  <w:r>
                    <w:rPr>
                      <w:b/>
                      <w:bCs/>
                      <w:sz w:val="21"/>
                      <w:szCs w:val="21"/>
                      <w:lang w:bidi="ar"/>
                    </w:rPr>
                    <w:t>铅当量（mm）</w:t>
                  </w:r>
                </w:p>
              </w:tc>
              <w:tc>
                <w:tcPr>
                  <w:tcW w:w="496" w:type="pct"/>
                  <w:vAlign w:val="center"/>
                </w:tcPr>
                <w:p w14:paraId="1D24BCE3">
                  <w:pPr>
                    <w:widowControl/>
                    <w:wordWrap w:val="0"/>
                    <w:spacing w:line="360" w:lineRule="exact"/>
                    <w:jc w:val="center"/>
                    <w:rPr>
                      <w:b/>
                      <w:bCs/>
                      <w:sz w:val="21"/>
                      <w:szCs w:val="21"/>
                      <w:lang w:bidi="ar"/>
                    </w:rPr>
                  </w:pPr>
                  <w:r>
                    <w:rPr>
                      <w:b/>
                      <w:bCs/>
                      <w:sz w:val="21"/>
                      <w:szCs w:val="21"/>
                    </w:rPr>
                    <w:t>数量</w:t>
                  </w:r>
                </w:p>
              </w:tc>
              <w:tc>
                <w:tcPr>
                  <w:tcW w:w="899" w:type="pct"/>
                  <w:vAlign w:val="center"/>
                </w:tcPr>
                <w:p w14:paraId="271021CF">
                  <w:pPr>
                    <w:widowControl/>
                    <w:wordWrap w:val="0"/>
                    <w:spacing w:line="360" w:lineRule="exact"/>
                    <w:jc w:val="center"/>
                    <w:rPr>
                      <w:b/>
                      <w:bCs/>
                      <w:sz w:val="21"/>
                      <w:szCs w:val="21"/>
                    </w:rPr>
                  </w:pPr>
                  <w:r>
                    <w:rPr>
                      <w:b/>
                      <w:bCs/>
                      <w:sz w:val="21"/>
                      <w:szCs w:val="21"/>
                    </w:rPr>
                    <w:t>备注</w:t>
                  </w:r>
                </w:p>
              </w:tc>
            </w:tr>
            <w:tr w14:paraId="713BAC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0479DB7C">
                  <w:pPr>
                    <w:widowControl/>
                    <w:wordWrap w:val="0"/>
                    <w:spacing w:line="360" w:lineRule="exact"/>
                    <w:jc w:val="center"/>
                    <w:rPr>
                      <w:rFonts w:hint="default" w:eastAsia="宋体"/>
                      <w:sz w:val="21"/>
                      <w:szCs w:val="21"/>
                      <w:lang w:val="en-US" w:eastAsia="zh-CN"/>
                    </w:rPr>
                  </w:pPr>
                  <w:r>
                    <w:rPr>
                      <w:sz w:val="21"/>
                      <w:szCs w:val="21"/>
                    </w:rPr>
                    <w:t>分装室</w:t>
                  </w:r>
                  <w:r>
                    <w:rPr>
                      <w:rFonts w:hint="eastAsia"/>
                      <w:sz w:val="21"/>
                      <w:szCs w:val="21"/>
                      <w:lang w:val="en-US" w:eastAsia="zh-CN"/>
                    </w:rPr>
                    <w:t>1#</w:t>
                  </w:r>
                </w:p>
              </w:tc>
              <w:tc>
                <w:tcPr>
                  <w:tcW w:w="1398" w:type="pct"/>
                  <w:noWrap/>
                  <w:vAlign w:val="center"/>
                </w:tcPr>
                <w:p w14:paraId="45A8E773">
                  <w:pPr>
                    <w:widowControl/>
                    <w:wordWrap w:val="0"/>
                    <w:spacing w:line="360" w:lineRule="exact"/>
                    <w:jc w:val="center"/>
                    <w:rPr>
                      <w:sz w:val="21"/>
                      <w:szCs w:val="21"/>
                      <w:lang w:bidi="ar"/>
                    </w:rPr>
                  </w:pPr>
                  <w:r>
                    <w:rPr>
                      <w:rFonts w:hint="eastAsia"/>
                      <w:sz w:val="21"/>
                      <w:szCs w:val="21"/>
                      <w:lang w:val="en-US" w:eastAsia="zh-CN" w:bidi="ar"/>
                    </w:rPr>
                    <w:t>正电子药物</w:t>
                  </w:r>
                  <w:r>
                    <w:rPr>
                      <w:sz w:val="21"/>
                      <w:szCs w:val="21"/>
                      <w:lang w:bidi="ar"/>
                    </w:rPr>
                    <w:t>手套箱</w:t>
                  </w:r>
                </w:p>
              </w:tc>
              <w:tc>
                <w:tcPr>
                  <w:tcW w:w="938" w:type="pct"/>
                  <w:noWrap/>
                  <w:vAlign w:val="center"/>
                </w:tcPr>
                <w:p w14:paraId="37C59CB7">
                  <w:pPr>
                    <w:wordWrap w:val="0"/>
                    <w:spacing w:line="360" w:lineRule="exact"/>
                    <w:jc w:val="center"/>
                    <w:rPr>
                      <w:sz w:val="21"/>
                      <w:szCs w:val="21"/>
                    </w:rPr>
                  </w:pPr>
                  <w:r>
                    <w:rPr>
                      <w:sz w:val="21"/>
                      <w:szCs w:val="21"/>
                      <w:lang w:bidi="ar"/>
                    </w:rPr>
                    <w:t>60</w:t>
                  </w:r>
                </w:p>
              </w:tc>
              <w:tc>
                <w:tcPr>
                  <w:tcW w:w="496" w:type="pct"/>
                  <w:vAlign w:val="center"/>
                </w:tcPr>
                <w:p w14:paraId="2C37F408">
                  <w:pPr>
                    <w:widowControl/>
                    <w:wordWrap w:val="0"/>
                    <w:spacing w:line="360" w:lineRule="exact"/>
                    <w:jc w:val="center"/>
                    <w:rPr>
                      <w:sz w:val="21"/>
                      <w:szCs w:val="21"/>
                      <w:lang w:bidi="ar"/>
                    </w:rPr>
                  </w:pPr>
                  <w:r>
                    <w:rPr>
                      <w:sz w:val="21"/>
                      <w:szCs w:val="21"/>
                      <w:lang w:bidi="ar"/>
                    </w:rPr>
                    <w:t>1套</w:t>
                  </w:r>
                </w:p>
              </w:tc>
              <w:tc>
                <w:tcPr>
                  <w:tcW w:w="899" w:type="pct"/>
                  <w:vAlign w:val="center"/>
                </w:tcPr>
                <w:p w14:paraId="03F5AF64">
                  <w:pPr>
                    <w:widowControl/>
                    <w:wordWrap w:val="0"/>
                    <w:spacing w:line="360" w:lineRule="exact"/>
                    <w:jc w:val="center"/>
                    <w:rPr>
                      <w:sz w:val="21"/>
                      <w:szCs w:val="21"/>
                      <w:lang w:bidi="ar"/>
                    </w:rPr>
                  </w:pPr>
                  <w:r>
                    <w:rPr>
                      <w:sz w:val="21"/>
                      <w:szCs w:val="21"/>
                      <w:lang w:bidi="ar"/>
                    </w:rPr>
                    <w:t>/</w:t>
                  </w:r>
                </w:p>
              </w:tc>
            </w:tr>
            <w:tr w14:paraId="2F237A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D8F2E05">
                  <w:pPr>
                    <w:widowControl/>
                    <w:wordWrap w:val="0"/>
                    <w:spacing w:line="360" w:lineRule="exact"/>
                    <w:jc w:val="center"/>
                    <w:rPr>
                      <w:sz w:val="21"/>
                      <w:szCs w:val="21"/>
                    </w:rPr>
                  </w:pPr>
                </w:p>
              </w:tc>
              <w:tc>
                <w:tcPr>
                  <w:tcW w:w="1398" w:type="pct"/>
                  <w:noWrap/>
                  <w:vAlign w:val="center"/>
                </w:tcPr>
                <w:p w14:paraId="2E4AC470">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单光子药物手套箱</w:t>
                  </w:r>
                </w:p>
              </w:tc>
              <w:tc>
                <w:tcPr>
                  <w:tcW w:w="938" w:type="pct"/>
                  <w:noWrap/>
                  <w:vAlign w:val="center"/>
                </w:tcPr>
                <w:p w14:paraId="36294378">
                  <w:pPr>
                    <w:wordWrap w:val="0"/>
                    <w:spacing w:line="360" w:lineRule="exact"/>
                    <w:jc w:val="center"/>
                    <w:rPr>
                      <w:rFonts w:hint="default" w:eastAsia="宋体"/>
                      <w:sz w:val="21"/>
                      <w:szCs w:val="21"/>
                      <w:lang w:val="en-US" w:eastAsia="zh-CN" w:bidi="ar"/>
                    </w:rPr>
                  </w:pPr>
                  <w:r>
                    <w:rPr>
                      <w:rFonts w:hint="eastAsia"/>
                      <w:sz w:val="21"/>
                      <w:szCs w:val="21"/>
                      <w:lang w:val="en-US" w:eastAsia="zh-CN" w:bidi="ar"/>
                    </w:rPr>
                    <w:t>10</w:t>
                  </w:r>
                </w:p>
              </w:tc>
              <w:tc>
                <w:tcPr>
                  <w:tcW w:w="496" w:type="pct"/>
                  <w:vAlign w:val="center"/>
                </w:tcPr>
                <w:p w14:paraId="3113C104">
                  <w:pPr>
                    <w:widowControl/>
                    <w:wordWrap w:val="0"/>
                    <w:spacing w:line="360" w:lineRule="exact"/>
                    <w:jc w:val="center"/>
                    <w:rPr>
                      <w:sz w:val="21"/>
                      <w:szCs w:val="21"/>
                      <w:lang w:bidi="ar"/>
                    </w:rPr>
                  </w:pPr>
                  <w:r>
                    <w:rPr>
                      <w:sz w:val="21"/>
                      <w:szCs w:val="21"/>
                      <w:lang w:bidi="ar"/>
                    </w:rPr>
                    <w:t>1套</w:t>
                  </w:r>
                </w:p>
              </w:tc>
              <w:tc>
                <w:tcPr>
                  <w:tcW w:w="899" w:type="pct"/>
                  <w:vAlign w:val="center"/>
                </w:tcPr>
                <w:p w14:paraId="251E5523">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5BA7F1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52E1B7B6">
                  <w:pPr>
                    <w:widowControl/>
                    <w:wordWrap w:val="0"/>
                    <w:spacing w:line="360" w:lineRule="exact"/>
                    <w:jc w:val="center"/>
                    <w:rPr>
                      <w:sz w:val="21"/>
                      <w:szCs w:val="21"/>
                    </w:rPr>
                  </w:pPr>
                </w:p>
              </w:tc>
              <w:tc>
                <w:tcPr>
                  <w:tcW w:w="1398" w:type="pct"/>
                  <w:noWrap/>
                  <w:vAlign w:val="center"/>
                </w:tcPr>
                <w:p w14:paraId="7795E44B">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有机玻璃手套箱</w:t>
                  </w:r>
                </w:p>
              </w:tc>
              <w:tc>
                <w:tcPr>
                  <w:tcW w:w="938" w:type="pct"/>
                  <w:noWrap/>
                  <w:vAlign w:val="center"/>
                </w:tcPr>
                <w:p w14:paraId="5BA4FEBF">
                  <w:pPr>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c>
                <w:tcPr>
                  <w:tcW w:w="496" w:type="pct"/>
                  <w:vAlign w:val="center"/>
                </w:tcPr>
                <w:p w14:paraId="5DBA118E">
                  <w:pPr>
                    <w:widowControl/>
                    <w:wordWrap w:val="0"/>
                    <w:spacing w:line="360" w:lineRule="exact"/>
                    <w:jc w:val="center"/>
                    <w:rPr>
                      <w:sz w:val="21"/>
                      <w:szCs w:val="21"/>
                      <w:lang w:bidi="ar"/>
                    </w:rPr>
                  </w:pPr>
                  <w:r>
                    <w:rPr>
                      <w:sz w:val="21"/>
                      <w:szCs w:val="21"/>
                      <w:lang w:bidi="ar"/>
                    </w:rPr>
                    <w:t>1套</w:t>
                  </w:r>
                </w:p>
              </w:tc>
              <w:tc>
                <w:tcPr>
                  <w:tcW w:w="899" w:type="pct"/>
                  <w:vAlign w:val="center"/>
                </w:tcPr>
                <w:p w14:paraId="14A81960">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10mm</w:t>
                  </w:r>
                </w:p>
              </w:tc>
            </w:tr>
            <w:tr w14:paraId="6B1268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3BD5935F">
                  <w:pPr>
                    <w:widowControl/>
                    <w:wordWrap w:val="0"/>
                    <w:spacing w:line="360" w:lineRule="exact"/>
                    <w:jc w:val="center"/>
                    <w:rPr>
                      <w:sz w:val="21"/>
                      <w:szCs w:val="21"/>
                    </w:rPr>
                  </w:pPr>
                </w:p>
              </w:tc>
              <w:tc>
                <w:tcPr>
                  <w:tcW w:w="1398" w:type="pct"/>
                  <w:noWrap/>
                  <w:vAlign w:val="center"/>
                </w:tcPr>
                <w:p w14:paraId="77B2724C">
                  <w:pPr>
                    <w:widowControl/>
                    <w:wordWrap w:val="0"/>
                    <w:spacing w:line="360" w:lineRule="exact"/>
                    <w:jc w:val="center"/>
                    <w:rPr>
                      <w:sz w:val="21"/>
                      <w:szCs w:val="21"/>
                      <w:lang w:bidi="ar"/>
                    </w:rPr>
                  </w:pPr>
                  <w:r>
                    <w:rPr>
                      <w:sz w:val="21"/>
                      <w:szCs w:val="21"/>
                      <w:lang w:bidi="ar"/>
                    </w:rPr>
                    <w:t>放射性固废收集容器</w:t>
                  </w:r>
                </w:p>
              </w:tc>
              <w:tc>
                <w:tcPr>
                  <w:tcW w:w="938" w:type="pct"/>
                  <w:noWrap/>
                  <w:vAlign w:val="center"/>
                </w:tcPr>
                <w:p w14:paraId="2952D173">
                  <w:pPr>
                    <w:widowControl/>
                    <w:wordWrap w:val="0"/>
                    <w:spacing w:line="360" w:lineRule="exact"/>
                    <w:jc w:val="center"/>
                    <w:rPr>
                      <w:sz w:val="21"/>
                      <w:szCs w:val="21"/>
                      <w:lang w:bidi="ar"/>
                    </w:rPr>
                  </w:pPr>
                  <w:r>
                    <w:rPr>
                      <w:sz w:val="21"/>
                      <w:szCs w:val="21"/>
                      <w:lang w:bidi="ar"/>
                    </w:rPr>
                    <w:t>10</w:t>
                  </w:r>
                </w:p>
              </w:tc>
              <w:tc>
                <w:tcPr>
                  <w:tcW w:w="496" w:type="pct"/>
                  <w:vAlign w:val="center"/>
                </w:tcPr>
                <w:p w14:paraId="75DC1653">
                  <w:pPr>
                    <w:widowControl/>
                    <w:wordWrap w:val="0"/>
                    <w:spacing w:line="360" w:lineRule="exact"/>
                    <w:jc w:val="center"/>
                    <w:rPr>
                      <w:sz w:val="21"/>
                      <w:szCs w:val="21"/>
                      <w:lang w:bidi="ar"/>
                    </w:rPr>
                  </w:pPr>
                  <w:r>
                    <w:rPr>
                      <w:sz w:val="21"/>
                      <w:szCs w:val="21"/>
                      <w:lang w:bidi="ar"/>
                    </w:rPr>
                    <w:t>1个</w:t>
                  </w:r>
                </w:p>
              </w:tc>
              <w:tc>
                <w:tcPr>
                  <w:tcW w:w="899" w:type="pct"/>
                  <w:vAlign w:val="center"/>
                </w:tcPr>
                <w:p w14:paraId="0F0788F9">
                  <w:pPr>
                    <w:widowControl/>
                    <w:wordWrap w:val="0"/>
                    <w:spacing w:line="360" w:lineRule="exact"/>
                    <w:jc w:val="center"/>
                    <w:rPr>
                      <w:sz w:val="21"/>
                      <w:szCs w:val="21"/>
                      <w:lang w:bidi="ar"/>
                    </w:rPr>
                  </w:pPr>
                  <w:r>
                    <w:rPr>
                      <w:sz w:val="21"/>
                      <w:szCs w:val="21"/>
                      <w:lang w:bidi="ar"/>
                    </w:rPr>
                    <w:t>/</w:t>
                  </w:r>
                </w:p>
              </w:tc>
            </w:tr>
            <w:tr w14:paraId="113343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026EE228">
                  <w:pPr>
                    <w:widowControl/>
                    <w:wordWrap w:val="0"/>
                    <w:spacing w:line="360" w:lineRule="exact"/>
                    <w:jc w:val="center"/>
                    <w:rPr>
                      <w:sz w:val="21"/>
                      <w:szCs w:val="21"/>
                    </w:rPr>
                  </w:pPr>
                </w:p>
              </w:tc>
              <w:tc>
                <w:tcPr>
                  <w:tcW w:w="1398" w:type="pct"/>
                  <w:noWrap/>
                  <w:vAlign w:val="center"/>
                </w:tcPr>
                <w:p w14:paraId="16027678">
                  <w:pPr>
                    <w:widowControl/>
                    <w:wordWrap w:val="0"/>
                    <w:spacing w:line="360" w:lineRule="exact"/>
                    <w:jc w:val="center"/>
                    <w:rPr>
                      <w:sz w:val="21"/>
                      <w:szCs w:val="21"/>
                      <w:lang w:bidi="ar"/>
                    </w:rPr>
                  </w:pPr>
                  <w:r>
                    <w:rPr>
                      <w:sz w:val="21"/>
                      <w:szCs w:val="21"/>
                      <w:lang w:bidi="ar"/>
                    </w:rPr>
                    <w:t>放射性固废收集容器</w:t>
                  </w:r>
                </w:p>
              </w:tc>
              <w:tc>
                <w:tcPr>
                  <w:tcW w:w="938" w:type="pct"/>
                  <w:noWrap/>
                  <w:vAlign w:val="center"/>
                </w:tcPr>
                <w:p w14:paraId="4DE048AB">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5</w:t>
                  </w:r>
                </w:p>
              </w:tc>
              <w:tc>
                <w:tcPr>
                  <w:tcW w:w="496" w:type="pct"/>
                  <w:vAlign w:val="center"/>
                </w:tcPr>
                <w:p w14:paraId="37369339">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1个</w:t>
                  </w:r>
                </w:p>
              </w:tc>
              <w:tc>
                <w:tcPr>
                  <w:tcW w:w="899" w:type="pct"/>
                  <w:vAlign w:val="center"/>
                </w:tcPr>
                <w:p w14:paraId="2CA14CC2">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072BE3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255F5B84">
                  <w:pPr>
                    <w:widowControl/>
                    <w:wordWrap w:val="0"/>
                    <w:spacing w:line="360" w:lineRule="exact"/>
                    <w:jc w:val="center"/>
                    <w:rPr>
                      <w:sz w:val="21"/>
                      <w:szCs w:val="21"/>
                    </w:rPr>
                  </w:pPr>
                </w:p>
              </w:tc>
              <w:tc>
                <w:tcPr>
                  <w:tcW w:w="1398" w:type="pct"/>
                  <w:noWrap/>
                  <w:vAlign w:val="center"/>
                </w:tcPr>
                <w:p w14:paraId="76B1E20B">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正电子药罐</w:t>
                  </w:r>
                </w:p>
              </w:tc>
              <w:tc>
                <w:tcPr>
                  <w:tcW w:w="938" w:type="pct"/>
                  <w:noWrap/>
                  <w:vAlign w:val="center"/>
                </w:tcPr>
                <w:p w14:paraId="5CEFD365">
                  <w:pPr>
                    <w:widowControl/>
                    <w:wordWrap w:val="0"/>
                    <w:spacing w:line="360" w:lineRule="exact"/>
                    <w:jc w:val="center"/>
                    <w:rPr>
                      <w:rFonts w:hint="default"/>
                      <w:sz w:val="21"/>
                      <w:szCs w:val="21"/>
                      <w:lang w:val="en-US" w:eastAsia="zh-CN" w:bidi="ar"/>
                    </w:rPr>
                  </w:pPr>
                  <w:r>
                    <w:rPr>
                      <w:rFonts w:hint="eastAsia"/>
                      <w:sz w:val="21"/>
                      <w:szCs w:val="21"/>
                      <w:lang w:val="en-US" w:eastAsia="zh-CN" w:bidi="ar"/>
                    </w:rPr>
                    <w:t>50</w:t>
                  </w:r>
                </w:p>
              </w:tc>
              <w:tc>
                <w:tcPr>
                  <w:tcW w:w="496" w:type="pct"/>
                  <w:vAlign w:val="center"/>
                </w:tcPr>
                <w:p w14:paraId="6D288E93">
                  <w:pPr>
                    <w:widowControl/>
                    <w:wordWrap w:val="0"/>
                    <w:spacing w:line="360" w:lineRule="exact"/>
                    <w:jc w:val="center"/>
                    <w:rPr>
                      <w:rFonts w:hint="default"/>
                      <w:sz w:val="21"/>
                      <w:szCs w:val="21"/>
                      <w:lang w:val="en-US" w:eastAsia="zh-CN" w:bidi="ar"/>
                    </w:rPr>
                  </w:pPr>
                  <w:r>
                    <w:rPr>
                      <w:rFonts w:hint="eastAsia"/>
                      <w:sz w:val="21"/>
                      <w:szCs w:val="21"/>
                      <w:lang w:val="en-US" w:eastAsia="zh-CN" w:bidi="ar"/>
                    </w:rPr>
                    <w:t>2个</w:t>
                  </w:r>
                </w:p>
              </w:tc>
              <w:tc>
                <w:tcPr>
                  <w:tcW w:w="899" w:type="pct"/>
                  <w:vAlign w:val="center"/>
                </w:tcPr>
                <w:p w14:paraId="03167B54">
                  <w:pPr>
                    <w:widowControl/>
                    <w:wordWrap w:val="0"/>
                    <w:spacing w:line="360" w:lineRule="exact"/>
                    <w:jc w:val="center"/>
                    <w:rPr>
                      <w:rFonts w:hint="eastAsia"/>
                      <w:sz w:val="21"/>
                      <w:szCs w:val="21"/>
                      <w:lang w:val="en-US" w:eastAsia="zh-CN" w:bidi="ar"/>
                    </w:rPr>
                  </w:pPr>
                </w:p>
              </w:tc>
            </w:tr>
            <w:tr w14:paraId="6037C5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62DA39C">
                  <w:pPr>
                    <w:widowControl/>
                    <w:wordWrap w:val="0"/>
                    <w:spacing w:line="360" w:lineRule="exact"/>
                    <w:jc w:val="center"/>
                    <w:rPr>
                      <w:sz w:val="21"/>
                      <w:szCs w:val="21"/>
                    </w:rPr>
                  </w:pPr>
                </w:p>
              </w:tc>
              <w:tc>
                <w:tcPr>
                  <w:tcW w:w="1398" w:type="pct"/>
                  <w:noWrap/>
                  <w:vAlign w:val="center"/>
                </w:tcPr>
                <w:p w14:paraId="44A83872">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单光子药罐</w:t>
                  </w:r>
                </w:p>
              </w:tc>
              <w:tc>
                <w:tcPr>
                  <w:tcW w:w="938" w:type="pct"/>
                  <w:noWrap/>
                  <w:vAlign w:val="center"/>
                </w:tcPr>
                <w:p w14:paraId="65A19EA1">
                  <w:pPr>
                    <w:widowControl/>
                    <w:wordWrap w:val="0"/>
                    <w:spacing w:line="360" w:lineRule="exact"/>
                    <w:jc w:val="center"/>
                    <w:rPr>
                      <w:rFonts w:hint="default"/>
                      <w:sz w:val="21"/>
                      <w:szCs w:val="21"/>
                      <w:lang w:val="en-US" w:eastAsia="zh-CN" w:bidi="ar"/>
                    </w:rPr>
                  </w:pPr>
                  <w:r>
                    <w:rPr>
                      <w:rFonts w:hint="eastAsia"/>
                      <w:sz w:val="21"/>
                      <w:szCs w:val="21"/>
                      <w:lang w:val="en-US" w:eastAsia="zh-CN" w:bidi="ar"/>
                    </w:rPr>
                    <w:t>10</w:t>
                  </w:r>
                </w:p>
              </w:tc>
              <w:tc>
                <w:tcPr>
                  <w:tcW w:w="496" w:type="pct"/>
                  <w:vAlign w:val="center"/>
                </w:tcPr>
                <w:p w14:paraId="1B7A772F">
                  <w:pPr>
                    <w:widowControl/>
                    <w:wordWrap w:val="0"/>
                    <w:spacing w:line="360" w:lineRule="exact"/>
                    <w:jc w:val="center"/>
                    <w:rPr>
                      <w:rFonts w:hint="eastAsia"/>
                      <w:sz w:val="21"/>
                      <w:szCs w:val="21"/>
                      <w:lang w:val="en-US" w:eastAsia="zh-CN" w:bidi="ar"/>
                    </w:rPr>
                  </w:pPr>
                  <w:r>
                    <w:rPr>
                      <w:sz w:val="21"/>
                      <w:szCs w:val="21"/>
                      <w:lang w:bidi="ar"/>
                    </w:rPr>
                    <w:t>2个</w:t>
                  </w:r>
                </w:p>
              </w:tc>
              <w:tc>
                <w:tcPr>
                  <w:tcW w:w="899" w:type="pct"/>
                  <w:vAlign w:val="center"/>
                </w:tcPr>
                <w:p w14:paraId="4EB75A20">
                  <w:pPr>
                    <w:widowControl/>
                    <w:wordWrap w:val="0"/>
                    <w:spacing w:line="360" w:lineRule="exact"/>
                    <w:jc w:val="center"/>
                    <w:rPr>
                      <w:rFonts w:hint="eastAsia"/>
                      <w:sz w:val="21"/>
                      <w:szCs w:val="21"/>
                      <w:lang w:val="en-US" w:eastAsia="zh-CN" w:bidi="ar"/>
                    </w:rPr>
                  </w:pPr>
                </w:p>
              </w:tc>
            </w:tr>
            <w:tr w14:paraId="36CC82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6C97962">
                  <w:pPr>
                    <w:widowControl/>
                    <w:wordWrap w:val="0"/>
                    <w:spacing w:line="360" w:lineRule="exact"/>
                    <w:jc w:val="center"/>
                    <w:rPr>
                      <w:sz w:val="21"/>
                      <w:szCs w:val="21"/>
                    </w:rPr>
                  </w:pPr>
                </w:p>
              </w:tc>
              <w:tc>
                <w:tcPr>
                  <w:tcW w:w="1398" w:type="pct"/>
                  <w:noWrap/>
                  <w:vAlign w:val="center"/>
                </w:tcPr>
                <w:p w14:paraId="0773BE39">
                  <w:pPr>
                    <w:widowControl/>
                    <w:wordWrap w:val="0"/>
                    <w:spacing w:line="360" w:lineRule="exact"/>
                    <w:jc w:val="center"/>
                    <w:rPr>
                      <w:sz w:val="21"/>
                      <w:szCs w:val="21"/>
                      <w:lang w:bidi="ar"/>
                    </w:rPr>
                  </w:pPr>
                  <w:r>
                    <w:rPr>
                      <w:sz w:val="21"/>
                      <w:szCs w:val="21"/>
                      <w:lang w:bidi="ar"/>
                    </w:rPr>
                    <w:t>监控摄像头</w:t>
                  </w:r>
                </w:p>
              </w:tc>
              <w:tc>
                <w:tcPr>
                  <w:tcW w:w="938" w:type="pct"/>
                  <w:noWrap/>
                  <w:vAlign w:val="center"/>
                </w:tcPr>
                <w:p w14:paraId="12C785A8">
                  <w:pPr>
                    <w:widowControl/>
                    <w:wordWrap w:val="0"/>
                    <w:spacing w:line="360" w:lineRule="exact"/>
                    <w:jc w:val="center"/>
                    <w:rPr>
                      <w:sz w:val="21"/>
                      <w:szCs w:val="21"/>
                      <w:lang w:bidi="ar"/>
                    </w:rPr>
                  </w:pPr>
                  <w:r>
                    <w:rPr>
                      <w:sz w:val="21"/>
                      <w:szCs w:val="21"/>
                      <w:lang w:bidi="ar"/>
                    </w:rPr>
                    <w:t>/</w:t>
                  </w:r>
                </w:p>
              </w:tc>
              <w:tc>
                <w:tcPr>
                  <w:tcW w:w="496" w:type="pct"/>
                  <w:vAlign w:val="center"/>
                </w:tcPr>
                <w:p w14:paraId="7770E804">
                  <w:pPr>
                    <w:widowControl/>
                    <w:wordWrap w:val="0"/>
                    <w:spacing w:line="360" w:lineRule="exact"/>
                    <w:jc w:val="center"/>
                    <w:rPr>
                      <w:sz w:val="21"/>
                      <w:szCs w:val="21"/>
                      <w:lang w:bidi="ar"/>
                    </w:rPr>
                  </w:pPr>
                  <w:r>
                    <w:rPr>
                      <w:sz w:val="21"/>
                      <w:szCs w:val="21"/>
                      <w:lang w:bidi="ar"/>
                    </w:rPr>
                    <w:t>1个</w:t>
                  </w:r>
                </w:p>
              </w:tc>
              <w:tc>
                <w:tcPr>
                  <w:tcW w:w="899" w:type="pct"/>
                  <w:vAlign w:val="center"/>
                </w:tcPr>
                <w:p w14:paraId="526FC21B">
                  <w:pPr>
                    <w:widowControl/>
                    <w:wordWrap w:val="0"/>
                    <w:spacing w:line="360" w:lineRule="exact"/>
                    <w:jc w:val="center"/>
                    <w:rPr>
                      <w:sz w:val="21"/>
                      <w:szCs w:val="21"/>
                      <w:lang w:bidi="ar"/>
                    </w:rPr>
                  </w:pPr>
                  <w:r>
                    <w:rPr>
                      <w:sz w:val="21"/>
                      <w:szCs w:val="21"/>
                      <w:lang w:bidi="ar"/>
                    </w:rPr>
                    <w:t>/</w:t>
                  </w:r>
                </w:p>
              </w:tc>
            </w:tr>
            <w:tr w14:paraId="52F7AF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37954C3F">
                  <w:pPr>
                    <w:widowControl/>
                    <w:wordWrap w:val="0"/>
                    <w:spacing w:line="360" w:lineRule="exact"/>
                    <w:jc w:val="center"/>
                    <w:rPr>
                      <w:sz w:val="21"/>
                      <w:szCs w:val="21"/>
                    </w:rPr>
                  </w:pPr>
                </w:p>
              </w:tc>
              <w:tc>
                <w:tcPr>
                  <w:tcW w:w="1398" w:type="pct"/>
                  <w:noWrap/>
                  <w:vAlign w:val="center"/>
                </w:tcPr>
                <w:p w14:paraId="590EAC57">
                  <w:pPr>
                    <w:widowControl/>
                    <w:wordWrap w:val="0"/>
                    <w:spacing w:line="360" w:lineRule="exact"/>
                    <w:jc w:val="center"/>
                    <w:rPr>
                      <w:sz w:val="21"/>
                      <w:szCs w:val="21"/>
                      <w:lang w:bidi="ar"/>
                    </w:rPr>
                  </w:pPr>
                  <w:r>
                    <w:rPr>
                      <w:sz w:val="21"/>
                      <w:szCs w:val="21"/>
                      <w:lang w:bidi="ar"/>
                    </w:rPr>
                    <w:t>药物转移铅盒</w:t>
                  </w:r>
                </w:p>
              </w:tc>
              <w:tc>
                <w:tcPr>
                  <w:tcW w:w="938" w:type="pct"/>
                  <w:noWrap/>
                  <w:vAlign w:val="center"/>
                </w:tcPr>
                <w:p w14:paraId="249223C8">
                  <w:pPr>
                    <w:widowControl/>
                    <w:wordWrap w:val="0"/>
                    <w:spacing w:line="360" w:lineRule="exact"/>
                    <w:jc w:val="center"/>
                    <w:rPr>
                      <w:sz w:val="21"/>
                      <w:szCs w:val="21"/>
                      <w:lang w:bidi="ar"/>
                    </w:rPr>
                  </w:pPr>
                  <w:r>
                    <w:rPr>
                      <w:sz w:val="21"/>
                      <w:szCs w:val="21"/>
                      <w:lang w:bidi="ar"/>
                    </w:rPr>
                    <w:t>10</w:t>
                  </w:r>
                </w:p>
              </w:tc>
              <w:tc>
                <w:tcPr>
                  <w:tcW w:w="496" w:type="pct"/>
                  <w:vAlign w:val="center"/>
                </w:tcPr>
                <w:p w14:paraId="3D8B923F">
                  <w:pPr>
                    <w:widowControl/>
                    <w:wordWrap w:val="0"/>
                    <w:spacing w:line="360" w:lineRule="exact"/>
                    <w:jc w:val="center"/>
                    <w:rPr>
                      <w:sz w:val="21"/>
                      <w:szCs w:val="21"/>
                      <w:lang w:bidi="ar"/>
                    </w:rPr>
                  </w:pPr>
                  <w:r>
                    <w:rPr>
                      <w:sz w:val="21"/>
                      <w:szCs w:val="21"/>
                      <w:lang w:bidi="ar"/>
                    </w:rPr>
                    <w:t>2个</w:t>
                  </w:r>
                </w:p>
              </w:tc>
              <w:tc>
                <w:tcPr>
                  <w:tcW w:w="899" w:type="pct"/>
                </w:tcPr>
                <w:p w14:paraId="0E34682E">
                  <w:pPr>
                    <w:widowControl/>
                    <w:wordWrap w:val="0"/>
                    <w:spacing w:line="360" w:lineRule="exact"/>
                    <w:jc w:val="center"/>
                    <w:rPr>
                      <w:sz w:val="21"/>
                      <w:szCs w:val="21"/>
                      <w:lang w:bidi="ar"/>
                    </w:rPr>
                  </w:pPr>
                  <w:r>
                    <w:rPr>
                      <w:sz w:val="21"/>
                      <w:szCs w:val="21"/>
                      <w:lang w:bidi="ar"/>
                    </w:rPr>
                    <w:t>/</w:t>
                  </w:r>
                </w:p>
              </w:tc>
            </w:tr>
            <w:tr w14:paraId="0F9018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67FA41BD">
                  <w:pPr>
                    <w:widowControl/>
                    <w:wordWrap w:val="0"/>
                    <w:spacing w:line="360" w:lineRule="exact"/>
                    <w:jc w:val="center"/>
                    <w:rPr>
                      <w:sz w:val="21"/>
                      <w:szCs w:val="21"/>
                    </w:rPr>
                  </w:pPr>
                </w:p>
              </w:tc>
              <w:tc>
                <w:tcPr>
                  <w:tcW w:w="1398" w:type="pct"/>
                  <w:noWrap/>
                  <w:vAlign w:val="center"/>
                </w:tcPr>
                <w:p w14:paraId="457F0E2B">
                  <w:pPr>
                    <w:widowControl/>
                    <w:wordWrap w:val="0"/>
                    <w:spacing w:line="360" w:lineRule="exact"/>
                    <w:jc w:val="center"/>
                    <w:rPr>
                      <w:sz w:val="21"/>
                      <w:szCs w:val="21"/>
                      <w:lang w:bidi="ar"/>
                    </w:rPr>
                  </w:pPr>
                  <w:r>
                    <w:rPr>
                      <w:sz w:val="21"/>
                      <w:szCs w:val="21"/>
                      <w:lang w:bidi="ar"/>
                    </w:rPr>
                    <w:t>药物转移铅盒</w:t>
                  </w:r>
                </w:p>
              </w:tc>
              <w:tc>
                <w:tcPr>
                  <w:tcW w:w="938" w:type="pct"/>
                  <w:noWrap/>
                  <w:vAlign w:val="center"/>
                </w:tcPr>
                <w:p w14:paraId="6CB698C1">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5</w:t>
                  </w:r>
                </w:p>
              </w:tc>
              <w:tc>
                <w:tcPr>
                  <w:tcW w:w="496" w:type="pct"/>
                  <w:vAlign w:val="center"/>
                </w:tcPr>
                <w:p w14:paraId="436CA483">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2个</w:t>
                  </w:r>
                </w:p>
              </w:tc>
              <w:tc>
                <w:tcPr>
                  <w:tcW w:w="899" w:type="pct"/>
                </w:tcPr>
                <w:p w14:paraId="1A3F5B7E">
                  <w:pPr>
                    <w:widowControl/>
                    <w:wordWrap w:val="0"/>
                    <w:spacing w:line="360" w:lineRule="exact"/>
                    <w:jc w:val="center"/>
                    <w:rPr>
                      <w:sz w:val="21"/>
                      <w:szCs w:val="21"/>
                      <w:lang w:bidi="ar"/>
                    </w:rPr>
                  </w:pPr>
                </w:p>
              </w:tc>
            </w:tr>
            <w:tr w14:paraId="0F070A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0099890">
                  <w:pPr>
                    <w:widowControl/>
                    <w:wordWrap w:val="0"/>
                    <w:spacing w:line="360" w:lineRule="exact"/>
                    <w:jc w:val="center"/>
                    <w:rPr>
                      <w:sz w:val="21"/>
                      <w:szCs w:val="21"/>
                    </w:rPr>
                  </w:pPr>
                </w:p>
              </w:tc>
              <w:tc>
                <w:tcPr>
                  <w:tcW w:w="1398" w:type="pct"/>
                  <w:noWrap/>
                  <w:vAlign w:val="center"/>
                </w:tcPr>
                <w:p w14:paraId="74F9B61E">
                  <w:pPr>
                    <w:widowControl/>
                    <w:wordWrap w:val="0"/>
                    <w:spacing w:line="360" w:lineRule="exact"/>
                    <w:jc w:val="center"/>
                    <w:rPr>
                      <w:sz w:val="21"/>
                      <w:szCs w:val="21"/>
                      <w:lang w:bidi="ar"/>
                    </w:rPr>
                  </w:pPr>
                  <w:r>
                    <w:rPr>
                      <w:sz w:val="21"/>
                      <w:szCs w:val="21"/>
                      <w:lang w:bidi="ar"/>
                    </w:rPr>
                    <w:t>固定式γ探头</w:t>
                  </w:r>
                </w:p>
              </w:tc>
              <w:tc>
                <w:tcPr>
                  <w:tcW w:w="938" w:type="pct"/>
                  <w:noWrap/>
                  <w:vAlign w:val="center"/>
                </w:tcPr>
                <w:p w14:paraId="1765ADC5">
                  <w:pPr>
                    <w:widowControl/>
                    <w:wordWrap w:val="0"/>
                    <w:spacing w:line="360" w:lineRule="exact"/>
                    <w:jc w:val="center"/>
                    <w:rPr>
                      <w:sz w:val="21"/>
                      <w:szCs w:val="21"/>
                      <w:lang w:bidi="ar"/>
                    </w:rPr>
                  </w:pPr>
                  <w:r>
                    <w:rPr>
                      <w:sz w:val="21"/>
                      <w:szCs w:val="21"/>
                      <w:lang w:bidi="ar"/>
                    </w:rPr>
                    <w:t>/</w:t>
                  </w:r>
                </w:p>
              </w:tc>
              <w:tc>
                <w:tcPr>
                  <w:tcW w:w="496" w:type="pct"/>
                  <w:vAlign w:val="center"/>
                </w:tcPr>
                <w:p w14:paraId="601DA545">
                  <w:pPr>
                    <w:widowControl/>
                    <w:wordWrap w:val="0"/>
                    <w:spacing w:line="360" w:lineRule="exact"/>
                    <w:jc w:val="center"/>
                    <w:rPr>
                      <w:sz w:val="21"/>
                      <w:szCs w:val="21"/>
                      <w:lang w:bidi="ar"/>
                    </w:rPr>
                  </w:pPr>
                  <w:r>
                    <w:rPr>
                      <w:sz w:val="21"/>
                      <w:szCs w:val="21"/>
                      <w:lang w:bidi="ar"/>
                    </w:rPr>
                    <w:t>1个</w:t>
                  </w:r>
                </w:p>
              </w:tc>
              <w:tc>
                <w:tcPr>
                  <w:tcW w:w="899" w:type="pct"/>
                </w:tcPr>
                <w:p w14:paraId="48FB7538">
                  <w:pPr>
                    <w:widowControl/>
                    <w:wordWrap w:val="0"/>
                    <w:spacing w:line="360" w:lineRule="exact"/>
                    <w:jc w:val="center"/>
                    <w:rPr>
                      <w:sz w:val="21"/>
                      <w:szCs w:val="21"/>
                      <w:lang w:bidi="ar"/>
                    </w:rPr>
                  </w:pPr>
                  <w:r>
                    <w:rPr>
                      <w:sz w:val="21"/>
                      <w:szCs w:val="21"/>
                      <w:lang w:bidi="ar"/>
                    </w:rPr>
                    <w:t>/</w:t>
                  </w:r>
                </w:p>
              </w:tc>
            </w:tr>
            <w:tr w14:paraId="3962B1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11E12D53">
                  <w:pPr>
                    <w:widowControl/>
                    <w:wordWrap w:val="0"/>
                    <w:spacing w:line="360" w:lineRule="exact"/>
                    <w:jc w:val="center"/>
                    <w:rPr>
                      <w:sz w:val="21"/>
                      <w:szCs w:val="21"/>
                    </w:rPr>
                  </w:pPr>
                </w:p>
              </w:tc>
              <w:tc>
                <w:tcPr>
                  <w:tcW w:w="1398" w:type="pct"/>
                  <w:noWrap/>
                  <w:vAlign w:val="center"/>
                </w:tcPr>
                <w:p w14:paraId="2A9B7493">
                  <w:pPr>
                    <w:widowControl/>
                    <w:wordWrap w:val="0"/>
                    <w:spacing w:line="360" w:lineRule="exact"/>
                    <w:jc w:val="center"/>
                    <w:rPr>
                      <w:sz w:val="21"/>
                      <w:szCs w:val="21"/>
                      <w:lang w:bidi="ar"/>
                    </w:rPr>
                  </w:pPr>
                  <w:r>
                    <w:rPr>
                      <w:sz w:val="21"/>
                      <w:szCs w:val="21"/>
                      <w:lang w:bidi="ar"/>
                    </w:rPr>
                    <w:t>注射器铅套</w:t>
                  </w:r>
                </w:p>
              </w:tc>
              <w:tc>
                <w:tcPr>
                  <w:tcW w:w="938" w:type="pct"/>
                  <w:noWrap/>
                  <w:vAlign w:val="center"/>
                </w:tcPr>
                <w:p w14:paraId="7A075319">
                  <w:pPr>
                    <w:widowControl/>
                    <w:wordWrap w:val="0"/>
                    <w:spacing w:line="360" w:lineRule="exact"/>
                    <w:jc w:val="center"/>
                    <w:rPr>
                      <w:sz w:val="21"/>
                      <w:szCs w:val="21"/>
                      <w:lang w:bidi="ar"/>
                    </w:rPr>
                  </w:pPr>
                  <w:r>
                    <w:rPr>
                      <w:sz w:val="21"/>
                      <w:szCs w:val="21"/>
                      <w:lang w:bidi="ar"/>
                    </w:rPr>
                    <w:t>10</w:t>
                  </w:r>
                </w:p>
              </w:tc>
              <w:tc>
                <w:tcPr>
                  <w:tcW w:w="496" w:type="pct"/>
                  <w:vAlign w:val="center"/>
                </w:tcPr>
                <w:p w14:paraId="6347099A">
                  <w:pPr>
                    <w:widowControl/>
                    <w:wordWrap w:val="0"/>
                    <w:spacing w:line="360" w:lineRule="exact"/>
                    <w:jc w:val="center"/>
                    <w:rPr>
                      <w:sz w:val="21"/>
                      <w:szCs w:val="21"/>
                      <w:lang w:bidi="ar"/>
                    </w:rPr>
                  </w:pPr>
                  <w:r>
                    <w:rPr>
                      <w:sz w:val="21"/>
                      <w:szCs w:val="21"/>
                      <w:lang w:bidi="ar"/>
                    </w:rPr>
                    <w:t>2个</w:t>
                  </w:r>
                </w:p>
              </w:tc>
              <w:tc>
                <w:tcPr>
                  <w:tcW w:w="899" w:type="pct"/>
                </w:tcPr>
                <w:p w14:paraId="3E14DEE8">
                  <w:pPr>
                    <w:widowControl/>
                    <w:wordWrap w:val="0"/>
                    <w:spacing w:line="360" w:lineRule="exact"/>
                    <w:jc w:val="center"/>
                    <w:rPr>
                      <w:sz w:val="21"/>
                      <w:szCs w:val="21"/>
                      <w:lang w:bidi="ar"/>
                    </w:rPr>
                  </w:pPr>
                  <w:r>
                    <w:rPr>
                      <w:sz w:val="21"/>
                      <w:szCs w:val="21"/>
                      <w:lang w:bidi="ar"/>
                    </w:rPr>
                    <w:t>/</w:t>
                  </w:r>
                </w:p>
              </w:tc>
            </w:tr>
            <w:tr w14:paraId="6DB7F6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EFEEB73">
                  <w:pPr>
                    <w:widowControl/>
                    <w:wordWrap w:val="0"/>
                    <w:spacing w:line="360" w:lineRule="exact"/>
                    <w:jc w:val="center"/>
                    <w:rPr>
                      <w:sz w:val="21"/>
                      <w:szCs w:val="21"/>
                    </w:rPr>
                  </w:pPr>
                </w:p>
              </w:tc>
              <w:tc>
                <w:tcPr>
                  <w:tcW w:w="1398" w:type="pct"/>
                  <w:noWrap/>
                  <w:vAlign w:val="center"/>
                </w:tcPr>
                <w:p w14:paraId="438FFDCD">
                  <w:pPr>
                    <w:widowControl/>
                    <w:wordWrap w:val="0"/>
                    <w:spacing w:line="360" w:lineRule="exact"/>
                    <w:jc w:val="center"/>
                    <w:rPr>
                      <w:sz w:val="21"/>
                      <w:szCs w:val="21"/>
                      <w:lang w:bidi="ar"/>
                    </w:rPr>
                  </w:pPr>
                  <w:r>
                    <w:rPr>
                      <w:sz w:val="21"/>
                      <w:szCs w:val="21"/>
                      <w:lang w:bidi="ar"/>
                    </w:rPr>
                    <w:t>注射器铅套</w:t>
                  </w:r>
                </w:p>
              </w:tc>
              <w:tc>
                <w:tcPr>
                  <w:tcW w:w="938" w:type="pct"/>
                  <w:noWrap/>
                  <w:vAlign w:val="center"/>
                </w:tcPr>
                <w:p w14:paraId="678F3EDC">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5</w:t>
                  </w:r>
                </w:p>
              </w:tc>
              <w:tc>
                <w:tcPr>
                  <w:tcW w:w="496" w:type="pct"/>
                  <w:vAlign w:val="center"/>
                </w:tcPr>
                <w:p w14:paraId="17D606BB">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2个</w:t>
                  </w:r>
                </w:p>
              </w:tc>
              <w:tc>
                <w:tcPr>
                  <w:tcW w:w="899" w:type="pct"/>
                </w:tcPr>
                <w:p w14:paraId="3C2749AE">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02D913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FB0781C">
                  <w:pPr>
                    <w:widowControl/>
                    <w:wordWrap w:val="0"/>
                    <w:spacing w:line="360" w:lineRule="exact"/>
                    <w:jc w:val="center"/>
                    <w:rPr>
                      <w:sz w:val="21"/>
                      <w:szCs w:val="21"/>
                    </w:rPr>
                  </w:pPr>
                </w:p>
              </w:tc>
              <w:tc>
                <w:tcPr>
                  <w:tcW w:w="1398" w:type="pct"/>
                  <w:noWrap/>
                  <w:vAlign w:val="center"/>
                </w:tcPr>
                <w:p w14:paraId="15037763">
                  <w:pPr>
                    <w:widowControl/>
                    <w:wordWrap w:val="0"/>
                    <w:spacing w:line="360" w:lineRule="exact"/>
                    <w:jc w:val="center"/>
                    <w:rPr>
                      <w:sz w:val="21"/>
                      <w:szCs w:val="21"/>
                      <w:lang w:bidi="ar"/>
                    </w:rPr>
                  </w:pPr>
                  <w:r>
                    <w:rPr>
                      <w:rFonts w:hint="eastAsia"/>
                      <w:sz w:val="21"/>
                      <w:szCs w:val="21"/>
                      <w:lang w:val="en-US" w:eastAsia="zh-CN" w:bidi="ar"/>
                    </w:rPr>
                    <w:t>PET</w:t>
                  </w:r>
                  <w:r>
                    <w:rPr>
                      <w:sz w:val="21"/>
                      <w:szCs w:val="21"/>
                      <w:lang w:bidi="ar"/>
                    </w:rPr>
                    <w:t>注射窗</w:t>
                  </w:r>
                </w:p>
              </w:tc>
              <w:tc>
                <w:tcPr>
                  <w:tcW w:w="938" w:type="pct"/>
                  <w:noWrap/>
                  <w:vAlign w:val="center"/>
                </w:tcPr>
                <w:p w14:paraId="773C458F">
                  <w:pPr>
                    <w:widowControl/>
                    <w:wordWrap w:val="0"/>
                    <w:spacing w:line="360" w:lineRule="exact"/>
                    <w:jc w:val="center"/>
                    <w:rPr>
                      <w:sz w:val="21"/>
                      <w:szCs w:val="21"/>
                      <w:lang w:bidi="ar"/>
                    </w:rPr>
                  </w:pPr>
                  <w:r>
                    <w:rPr>
                      <w:sz w:val="21"/>
                      <w:szCs w:val="21"/>
                      <w:lang w:bidi="ar"/>
                    </w:rPr>
                    <w:t>50</w:t>
                  </w:r>
                </w:p>
              </w:tc>
              <w:tc>
                <w:tcPr>
                  <w:tcW w:w="496" w:type="pct"/>
                  <w:vAlign w:val="center"/>
                </w:tcPr>
                <w:p w14:paraId="76E70B23">
                  <w:pPr>
                    <w:widowControl/>
                    <w:wordWrap w:val="0"/>
                    <w:spacing w:line="360" w:lineRule="exact"/>
                    <w:jc w:val="center"/>
                    <w:rPr>
                      <w:sz w:val="21"/>
                      <w:szCs w:val="21"/>
                      <w:lang w:bidi="ar"/>
                    </w:rPr>
                  </w:pPr>
                  <w:r>
                    <w:rPr>
                      <w:sz w:val="21"/>
                      <w:szCs w:val="21"/>
                      <w:lang w:bidi="ar"/>
                    </w:rPr>
                    <w:t>1个</w:t>
                  </w:r>
                </w:p>
              </w:tc>
              <w:tc>
                <w:tcPr>
                  <w:tcW w:w="899" w:type="pct"/>
                </w:tcPr>
                <w:p w14:paraId="4A9C32C7">
                  <w:pPr>
                    <w:widowControl/>
                    <w:wordWrap w:val="0"/>
                    <w:spacing w:line="360" w:lineRule="exact"/>
                    <w:jc w:val="center"/>
                    <w:rPr>
                      <w:sz w:val="21"/>
                      <w:szCs w:val="21"/>
                      <w:lang w:bidi="ar"/>
                    </w:rPr>
                  </w:pPr>
                  <w:r>
                    <w:rPr>
                      <w:sz w:val="21"/>
                      <w:szCs w:val="21"/>
                      <w:lang w:bidi="ar"/>
                    </w:rPr>
                    <w:t>/</w:t>
                  </w:r>
                </w:p>
              </w:tc>
            </w:tr>
            <w:tr w14:paraId="2BBB45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5BC6BB4D">
                  <w:pPr>
                    <w:widowControl/>
                    <w:wordWrap w:val="0"/>
                    <w:spacing w:line="360" w:lineRule="exact"/>
                    <w:jc w:val="center"/>
                    <w:rPr>
                      <w:sz w:val="21"/>
                      <w:szCs w:val="21"/>
                    </w:rPr>
                  </w:pPr>
                </w:p>
              </w:tc>
              <w:tc>
                <w:tcPr>
                  <w:tcW w:w="1398" w:type="pct"/>
                  <w:noWrap/>
                  <w:vAlign w:val="center"/>
                </w:tcPr>
                <w:p w14:paraId="3BBC55E6">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ECT注射窗</w:t>
                  </w:r>
                </w:p>
              </w:tc>
              <w:tc>
                <w:tcPr>
                  <w:tcW w:w="938" w:type="pct"/>
                  <w:noWrap/>
                  <w:vAlign w:val="center"/>
                </w:tcPr>
                <w:p w14:paraId="48B2FF6B">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5</w:t>
                  </w:r>
                </w:p>
              </w:tc>
              <w:tc>
                <w:tcPr>
                  <w:tcW w:w="496" w:type="pct"/>
                  <w:vAlign w:val="center"/>
                </w:tcPr>
                <w:p w14:paraId="4414BE54">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1个</w:t>
                  </w:r>
                </w:p>
              </w:tc>
              <w:tc>
                <w:tcPr>
                  <w:tcW w:w="899" w:type="pct"/>
                </w:tcPr>
                <w:p w14:paraId="32E07954">
                  <w:pPr>
                    <w:widowControl/>
                    <w:wordWrap w:val="0"/>
                    <w:spacing w:line="360" w:lineRule="exact"/>
                    <w:jc w:val="center"/>
                    <w:rPr>
                      <w:sz w:val="21"/>
                      <w:szCs w:val="21"/>
                      <w:lang w:bidi="ar"/>
                    </w:rPr>
                  </w:pPr>
                </w:p>
              </w:tc>
            </w:tr>
            <w:tr w14:paraId="72F8D7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noWrap/>
                  <w:vAlign w:val="center"/>
                </w:tcPr>
                <w:p w14:paraId="688B3BB5">
                  <w:pPr>
                    <w:widowControl/>
                    <w:wordWrap w:val="0"/>
                    <w:spacing w:line="360" w:lineRule="exact"/>
                    <w:jc w:val="center"/>
                    <w:rPr>
                      <w:rFonts w:hint="default" w:eastAsia="宋体"/>
                      <w:sz w:val="21"/>
                      <w:szCs w:val="21"/>
                      <w:lang w:val="en-US" w:eastAsia="zh-CN"/>
                    </w:rPr>
                  </w:pPr>
                  <w:r>
                    <w:rPr>
                      <w:sz w:val="21"/>
                      <w:szCs w:val="21"/>
                    </w:rPr>
                    <w:t>卫生通过间</w:t>
                  </w:r>
                  <w:r>
                    <w:rPr>
                      <w:rFonts w:hint="eastAsia"/>
                      <w:sz w:val="21"/>
                      <w:szCs w:val="21"/>
                      <w:lang w:val="en-US" w:eastAsia="zh-CN"/>
                    </w:rPr>
                    <w:t>1#</w:t>
                  </w:r>
                </w:p>
              </w:tc>
              <w:tc>
                <w:tcPr>
                  <w:tcW w:w="1398" w:type="pct"/>
                  <w:noWrap/>
                  <w:vAlign w:val="center"/>
                </w:tcPr>
                <w:p w14:paraId="1C8658AF">
                  <w:pPr>
                    <w:widowControl/>
                    <w:wordWrap w:val="0"/>
                    <w:spacing w:line="360" w:lineRule="exact"/>
                    <w:jc w:val="center"/>
                    <w:rPr>
                      <w:sz w:val="21"/>
                      <w:szCs w:val="21"/>
                      <w:lang w:bidi="ar"/>
                    </w:rPr>
                  </w:pPr>
                  <w:r>
                    <w:rPr>
                      <w:sz w:val="21"/>
                      <w:szCs w:val="21"/>
                      <w:lang w:bidi="ar"/>
                    </w:rPr>
                    <w:t>表面沾污仪</w:t>
                  </w:r>
                </w:p>
              </w:tc>
              <w:tc>
                <w:tcPr>
                  <w:tcW w:w="938" w:type="pct"/>
                  <w:noWrap/>
                  <w:vAlign w:val="center"/>
                </w:tcPr>
                <w:p w14:paraId="4CF7872E">
                  <w:pPr>
                    <w:widowControl/>
                    <w:wordWrap w:val="0"/>
                    <w:spacing w:line="360" w:lineRule="exact"/>
                    <w:jc w:val="center"/>
                    <w:rPr>
                      <w:sz w:val="21"/>
                      <w:szCs w:val="21"/>
                      <w:lang w:bidi="ar"/>
                    </w:rPr>
                  </w:pPr>
                  <w:r>
                    <w:rPr>
                      <w:sz w:val="21"/>
                      <w:szCs w:val="21"/>
                      <w:lang w:bidi="ar"/>
                    </w:rPr>
                    <w:t>/</w:t>
                  </w:r>
                </w:p>
              </w:tc>
              <w:tc>
                <w:tcPr>
                  <w:tcW w:w="496" w:type="pct"/>
                  <w:vAlign w:val="center"/>
                </w:tcPr>
                <w:p w14:paraId="752C3D1E">
                  <w:pPr>
                    <w:widowControl/>
                    <w:wordWrap w:val="0"/>
                    <w:spacing w:line="360" w:lineRule="exact"/>
                    <w:jc w:val="center"/>
                    <w:rPr>
                      <w:sz w:val="21"/>
                      <w:szCs w:val="21"/>
                      <w:lang w:bidi="ar"/>
                    </w:rPr>
                  </w:pPr>
                  <w:r>
                    <w:rPr>
                      <w:sz w:val="21"/>
                      <w:szCs w:val="21"/>
                      <w:lang w:bidi="ar"/>
                    </w:rPr>
                    <w:t>1台</w:t>
                  </w:r>
                </w:p>
              </w:tc>
              <w:tc>
                <w:tcPr>
                  <w:tcW w:w="899" w:type="pct"/>
                </w:tcPr>
                <w:p w14:paraId="13F249FF">
                  <w:pPr>
                    <w:widowControl/>
                    <w:wordWrap w:val="0"/>
                    <w:spacing w:line="360" w:lineRule="exact"/>
                    <w:jc w:val="center"/>
                    <w:rPr>
                      <w:sz w:val="21"/>
                      <w:szCs w:val="21"/>
                      <w:lang w:bidi="ar"/>
                    </w:rPr>
                  </w:pPr>
                  <w:r>
                    <w:rPr>
                      <w:sz w:val="21"/>
                      <w:szCs w:val="21"/>
                      <w:lang w:bidi="ar"/>
                    </w:rPr>
                    <w:t>/</w:t>
                  </w:r>
                </w:p>
              </w:tc>
            </w:tr>
            <w:tr w14:paraId="51CDE9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7D233817">
                  <w:pPr>
                    <w:widowControl/>
                    <w:wordWrap w:val="0"/>
                    <w:spacing w:line="360" w:lineRule="exact"/>
                    <w:jc w:val="center"/>
                    <w:rPr>
                      <w:rFonts w:hint="default" w:eastAsia="宋体"/>
                      <w:sz w:val="21"/>
                      <w:szCs w:val="21"/>
                      <w:lang w:val="en-US" w:eastAsia="zh-CN"/>
                    </w:rPr>
                  </w:pPr>
                  <w:r>
                    <w:rPr>
                      <w:sz w:val="21"/>
                      <w:szCs w:val="21"/>
                    </w:rPr>
                    <w:t>储源室</w:t>
                  </w:r>
                  <w:r>
                    <w:rPr>
                      <w:rFonts w:hint="eastAsia"/>
                      <w:sz w:val="21"/>
                      <w:szCs w:val="21"/>
                      <w:lang w:val="en-US" w:eastAsia="zh-CN"/>
                    </w:rPr>
                    <w:t>1#</w:t>
                  </w:r>
                </w:p>
              </w:tc>
              <w:tc>
                <w:tcPr>
                  <w:tcW w:w="1398" w:type="pct"/>
                  <w:noWrap/>
                  <w:vAlign w:val="center"/>
                </w:tcPr>
                <w:p w14:paraId="028F060B">
                  <w:pPr>
                    <w:widowControl/>
                    <w:wordWrap w:val="0"/>
                    <w:spacing w:line="360" w:lineRule="exact"/>
                    <w:jc w:val="center"/>
                    <w:rPr>
                      <w:sz w:val="21"/>
                      <w:szCs w:val="21"/>
                      <w:lang w:bidi="ar"/>
                    </w:rPr>
                  </w:pPr>
                  <w:r>
                    <w:rPr>
                      <w:sz w:val="21"/>
                      <w:szCs w:val="21"/>
                      <w:lang w:bidi="ar"/>
                    </w:rPr>
                    <w:t>双人双锁保险柜</w:t>
                  </w:r>
                </w:p>
              </w:tc>
              <w:tc>
                <w:tcPr>
                  <w:tcW w:w="938" w:type="pct"/>
                  <w:noWrap/>
                  <w:vAlign w:val="center"/>
                </w:tcPr>
                <w:p w14:paraId="2B13E273">
                  <w:pPr>
                    <w:widowControl/>
                    <w:wordWrap w:val="0"/>
                    <w:spacing w:line="360" w:lineRule="exact"/>
                    <w:jc w:val="center"/>
                    <w:rPr>
                      <w:sz w:val="21"/>
                      <w:szCs w:val="21"/>
                      <w:lang w:bidi="ar"/>
                    </w:rPr>
                  </w:pPr>
                  <w:r>
                    <w:rPr>
                      <w:sz w:val="21"/>
                      <w:szCs w:val="21"/>
                      <w:lang w:bidi="ar"/>
                    </w:rPr>
                    <w:t>/</w:t>
                  </w:r>
                </w:p>
              </w:tc>
              <w:tc>
                <w:tcPr>
                  <w:tcW w:w="496" w:type="pct"/>
                  <w:vAlign w:val="center"/>
                </w:tcPr>
                <w:p w14:paraId="29D06105">
                  <w:pPr>
                    <w:widowControl/>
                    <w:wordWrap w:val="0"/>
                    <w:spacing w:line="360" w:lineRule="exact"/>
                    <w:jc w:val="center"/>
                    <w:rPr>
                      <w:sz w:val="21"/>
                      <w:szCs w:val="21"/>
                      <w:lang w:bidi="ar"/>
                    </w:rPr>
                  </w:pPr>
                  <w:r>
                    <w:rPr>
                      <w:rFonts w:hint="eastAsia"/>
                      <w:sz w:val="21"/>
                      <w:szCs w:val="21"/>
                      <w:lang w:val="en-US" w:eastAsia="zh-CN" w:bidi="ar"/>
                    </w:rPr>
                    <w:t>2</w:t>
                  </w:r>
                  <w:r>
                    <w:rPr>
                      <w:sz w:val="21"/>
                      <w:szCs w:val="21"/>
                      <w:lang w:bidi="ar"/>
                    </w:rPr>
                    <w:t>个</w:t>
                  </w:r>
                </w:p>
              </w:tc>
              <w:tc>
                <w:tcPr>
                  <w:tcW w:w="899" w:type="pct"/>
                </w:tcPr>
                <w:p w14:paraId="1834921E">
                  <w:pPr>
                    <w:widowControl/>
                    <w:wordWrap w:val="0"/>
                    <w:spacing w:line="360" w:lineRule="exact"/>
                    <w:jc w:val="center"/>
                    <w:rPr>
                      <w:sz w:val="21"/>
                      <w:szCs w:val="21"/>
                      <w:lang w:bidi="ar"/>
                    </w:rPr>
                  </w:pPr>
                  <w:r>
                    <w:rPr>
                      <w:sz w:val="21"/>
                      <w:szCs w:val="21"/>
                      <w:lang w:bidi="ar"/>
                    </w:rPr>
                    <w:t>/</w:t>
                  </w:r>
                </w:p>
              </w:tc>
            </w:tr>
            <w:tr w14:paraId="2E91A4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54AF1D08">
                  <w:pPr>
                    <w:widowControl/>
                    <w:wordWrap w:val="0"/>
                    <w:spacing w:line="360" w:lineRule="exact"/>
                    <w:jc w:val="center"/>
                    <w:rPr>
                      <w:sz w:val="21"/>
                      <w:szCs w:val="21"/>
                    </w:rPr>
                  </w:pPr>
                </w:p>
              </w:tc>
              <w:tc>
                <w:tcPr>
                  <w:tcW w:w="1398" w:type="pct"/>
                  <w:noWrap/>
                  <w:vAlign w:val="center"/>
                </w:tcPr>
                <w:p w14:paraId="78479AB8">
                  <w:pPr>
                    <w:widowControl/>
                    <w:wordWrap w:val="0"/>
                    <w:spacing w:line="360" w:lineRule="exact"/>
                    <w:jc w:val="center"/>
                    <w:rPr>
                      <w:sz w:val="21"/>
                      <w:szCs w:val="21"/>
                      <w:lang w:bidi="ar"/>
                    </w:rPr>
                  </w:pPr>
                  <w:r>
                    <w:rPr>
                      <w:sz w:val="21"/>
                      <w:szCs w:val="21"/>
                      <w:lang w:bidi="ar"/>
                    </w:rPr>
                    <w:t>入侵防盗报警装置</w:t>
                  </w:r>
                </w:p>
              </w:tc>
              <w:tc>
                <w:tcPr>
                  <w:tcW w:w="938" w:type="pct"/>
                  <w:noWrap/>
                  <w:vAlign w:val="center"/>
                </w:tcPr>
                <w:p w14:paraId="012783F2">
                  <w:pPr>
                    <w:widowControl/>
                    <w:wordWrap w:val="0"/>
                    <w:spacing w:line="360" w:lineRule="exact"/>
                    <w:jc w:val="center"/>
                    <w:rPr>
                      <w:sz w:val="21"/>
                      <w:szCs w:val="21"/>
                      <w:lang w:bidi="ar"/>
                    </w:rPr>
                  </w:pPr>
                  <w:r>
                    <w:rPr>
                      <w:sz w:val="21"/>
                      <w:szCs w:val="21"/>
                      <w:lang w:bidi="ar"/>
                    </w:rPr>
                    <w:t>/</w:t>
                  </w:r>
                </w:p>
              </w:tc>
              <w:tc>
                <w:tcPr>
                  <w:tcW w:w="496" w:type="pct"/>
                  <w:vAlign w:val="center"/>
                </w:tcPr>
                <w:p w14:paraId="2C9DB28D">
                  <w:pPr>
                    <w:widowControl/>
                    <w:wordWrap w:val="0"/>
                    <w:spacing w:line="360" w:lineRule="exact"/>
                    <w:jc w:val="center"/>
                    <w:rPr>
                      <w:sz w:val="21"/>
                      <w:szCs w:val="21"/>
                      <w:lang w:bidi="ar"/>
                    </w:rPr>
                  </w:pPr>
                  <w:r>
                    <w:rPr>
                      <w:sz w:val="21"/>
                      <w:szCs w:val="21"/>
                      <w:lang w:bidi="ar"/>
                    </w:rPr>
                    <w:t>1个</w:t>
                  </w:r>
                </w:p>
              </w:tc>
              <w:tc>
                <w:tcPr>
                  <w:tcW w:w="899" w:type="pct"/>
                </w:tcPr>
                <w:p w14:paraId="612AC27F">
                  <w:pPr>
                    <w:widowControl/>
                    <w:wordWrap w:val="0"/>
                    <w:spacing w:line="360" w:lineRule="exact"/>
                    <w:jc w:val="center"/>
                    <w:rPr>
                      <w:sz w:val="21"/>
                      <w:szCs w:val="21"/>
                      <w:lang w:bidi="ar"/>
                    </w:rPr>
                  </w:pPr>
                  <w:r>
                    <w:rPr>
                      <w:sz w:val="21"/>
                      <w:szCs w:val="21"/>
                      <w:lang w:bidi="ar"/>
                    </w:rPr>
                    <w:t>/</w:t>
                  </w:r>
                </w:p>
              </w:tc>
            </w:tr>
            <w:tr w14:paraId="0C3092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1F78388">
                  <w:pPr>
                    <w:widowControl/>
                    <w:wordWrap w:val="0"/>
                    <w:spacing w:line="360" w:lineRule="exact"/>
                    <w:jc w:val="center"/>
                    <w:rPr>
                      <w:sz w:val="21"/>
                      <w:szCs w:val="21"/>
                    </w:rPr>
                  </w:pPr>
                </w:p>
              </w:tc>
              <w:tc>
                <w:tcPr>
                  <w:tcW w:w="1398" w:type="pct"/>
                  <w:noWrap/>
                  <w:vAlign w:val="center"/>
                </w:tcPr>
                <w:p w14:paraId="1A180684">
                  <w:pPr>
                    <w:widowControl/>
                    <w:wordWrap w:val="0"/>
                    <w:spacing w:line="360" w:lineRule="exact"/>
                    <w:jc w:val="center"/>
                    <w:rPr>
                      <w:sz w:val="21"/>
                      <w:szCs w:val="21"/>
                      <w:lang w:bidi="ar"/>
                    </w:rPr>
                  </w:pPr>
                  <w:r>
                    <w:rPr>
                      <w:sz w:val="21"/>
                      <w:szCs w:val="21"/>
                      <w:lang w:bidi="ar"/>
                    </w:rPr>
                    <w:t>固定式γ探头</w:t>
                  </w:r>
                </w:p>
              </w:tc>
              <w:tc>
                <w:tcPr>
                  <w:tcW w:w="938" w:type="pct"/>
                  <w:noWrap/>
                  <w:vAlign w:val="center"/>
                </w:tcPr>
                <w:p w14:paraId="5E2CA161">
                  <w:pPr>
                    <w:widowControl/>
                    <w:wordWrap w:val="0"/>
                    <w:spacing w:line="360" w:lineRule="exact"/>
                    <w:jc w:val="center"/>
                    <w:rPr>
                      <w:sz w:val="21"/>
                      <w:szCs w:val="21"/>
                      <w:lang w:bidi="ar"/>
                    </w:rPr>
                  </w:pPr>
                  <w:r>
                    <w:rPr>
                      <w:sz w:val="21"/>
                      <w:szCs w:val="21"/>
                      <w:lang w:bidi="ar"/>
                    </w:rPr>
                    <w:t>/</w:t>
                  </w:r>
                </w:p>
              </w:tc>
              <w:tc>
                <w:tcPr>
                  <w:tcW w:w="496" w:type="pct"/>
                  <w:vAlign w:val="center"/>
                </w:tcPr>
                <w:p w14:paraId="078EEEE1">
                  <w:pPr>
                    <w:widowControl/>
                    <w:wordWrap w:val="0"/>
                    <w:spacing w:line="360" w:lineRule="exact"/>
                    <w:jc w:val="center"/>
                    <w:rPr>
                      <w:sz w:val="21"/>
                      <w:szCs w:val="21"/>
                      <w:lang w:bidi="ar"/>
                    </w:rPr>
                  </w:pPr>
                  <w:r>
                    <w:rPr>
                      <w:sz w:val="21"/>
                      <w:szCs w:val="21"/>
                      <w:lang w:bidi="ar"/>
                    </w:rPr>
                    <w:t>1个</w:t>
                  </w:r>
                </w:p>
              </w:tc>
              <w:tc>
                <w:tcPr>
                  <w:tcW w:w="899" w:type="pct"/>
                </w:tcPr>
                <w:p w14:paraId="7C6E04FA">
                  <w:pPr>
                    <w:widowControl/>
                    <w:wordWrap w:val="0"/>
                    <w:spacing w:line="360" w:lineRule="exact"/>
                    <w:jc w:val="center"/>
                    <w:rPr>
                      <w:sz w:val="21"/>
                      <w:szCs w:val="21"/>
                      <w:lang w:bidi="ar"/>
                    </w:rPr>
                  </w:pPr>
                  <w:r>
                    <w:rPr>
                      <w:sz w:val="21"/>
                      <w:szCs w:val="21"/>
                      <w:lang w:bidi="ar"/>
                    </w:rPr>
                    <w:t>/</w:t>
                  </w:r>
                </w:p>
              </w:tc>
            </w:tr>
            <w:tr w14:paraId="50CD39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40FE6B8">
                  <w:pPr>
                    <w:widowControl/>
                    <w:wordWrap w:val="0"/>
                    <w:spacing w:line="360" w:lineRule="exact"/>
                    <w:jc w:val="center"/>
                    <w:rPr>
                      <w:sz w:val="21"/>
                      <w:szCs w:val="21"/>
                    </w:rPr>
                  </w:pPr>
                </w:p>
              </w:tc>
              <w:tc>
                <w:tcPr>
                  <w:tcW w:w="1398" w:type="pct"/>
                  <w:noWrap/>
                  <w:vAlign w:val="center"/>
                </w:tcPr>
                <w:p w14:paraId="39C453CB">
                  <w:pPr>
                    <w:widowControl/>
                    <w:wordWrap w:val="0"/>
                    <w:spacing w:line="360" w:lineRule="exact"/>
                    <w:jc w:val="center"/>
                    <w:rPr>
                      <w:sz w:val="21"/>
                      <w:szCs w:val="21"/>
                      <w:lang w:bidi="ar"/>
                    </w:rPr>
                  </w:pPr>
                  <w:r>
                    <w:rPr>
                      <w:sz w:val="21"/>
                      <w:szCs w:val="21"/>
                      <w:lang w:bidi="ar"/>
                    </w:rPr>
                    <w:t>监控摄像头</w:t>
                  </w:r>
                </w:p>
              </w:tc>
              <w:tc>
                <w:tcPr>
                  <w:tcW w:w="938" w:type="pct"/>
                  <w:noWrap/>
                  <w:vAlign w:val="center"/>
                </w:tcPr>
                <w:p w14:paraId="2C0B5F04">
                  <w:pPr>
                    <w:widowControl/>
                    <w:wordWrap w:val="0"/>
                    <w:spacing w:line="360" w:lineRule="exact"/>
                    <w:jc w:val="center"/>
                    <w:rPr>
                      <w:sz w:val="21"/>
                      <w:szCs w:val="21"/>
                      <w:lang w:bidi="ar"/>
                    </w:rPr>
                  </w:pPr>
                  <w:r>
                    <w:rPr>
                      <w:sz w:val="21"/>
                      <w:szCs w:val="21"/>
                      <w:lang w:bidi="ar"/>
                    </w:rPr>
                    <w:t>/</w:t>
                  </w:r>
                </w:p>
              </w:tc>
              <w:tc>
                <w:tcPr>
                  <w:tcW w:w="496" w:type="pct"/>
                  <w:vAlign w:val="center"/>
                </w:tcPr>
                <w:p w14:paraId="4FF66214">
                  <w:pPr>
                    <w:widowControl/>
                    <w:wordWrap w:val="0"/>
                    <w:spacing w:line="360" w:lineRule="exact"/>
                    <w:jc w:val="center"/>
                    <w:rPr>
                      <w:sz w:val="21"/>
                      <w:szCs w:val="21"/>
                      <w:lang w:bidi="ar"/>
                    </w:rPr>
                  </w:pPr>
                  <w:r>
                    <w:rPr>
                      <w:sz w:val="21"/>
                      <w:szCs w:val="21"/>
                      <w:lang w:bidi="ar"/>
                    </w:rPr>
                    <w:t>1个</w:t>
                  </w:r>
                </w:p>
              </w:tc>
              <w:tc>
                <w:tcPr>
                  <w:tcW w:w="899" w:type="pct"/>
                </w:tcPr>
                <w:p w14:paraId="46F15D62">
                  <w:pPr>
                    <w:widowControl/>
                    <w:wordWrap w:val="0"/>
                    <w:spacing w:line="360" w:lineRule="exact"/>
                    <w:jc w:val="center"/>
                    <w:rPr>
                      <w:sz w:val="21"/>
                      <w:szCs w:val="21"/>
                      <w:lang w:bidi="ar"/>
                    </w:rPr>
                  </w:pPr>
                  <w:r>
                    <w:rPr>
                      <w:sz w:val="21"/>
                      <w:szCs w:val="21"/>
                      <w:lang w:bidi="ar"/>
                    </w:rPr>
                    <w:t>/</w:t>
                  </w:r>
                </w:p>
              </w:tc>
            </w:tr>
            <w:tr w14:paraId="39A83C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41124251">
                  <w:pPr>
                    <w:widowControl/>
                    <w:wordWrap w:val="0"/>
                    <w:spacing w:line="360" w:lineRule="exact"/>
                    <w:jc w:val="center"/>
                    <w:rPr>
                      <w:sz w:val="21"/>
                      <w:szCs w:val="21"/>
                    </w:rPr>
                  </w:pPr>
                  <w:r>
                    <w:rPr>
                      <w:sz w:val="21"/>
                      <w:szCs w:val="21"/>
                    </w:rPr>
                    <w:t>放废暂存间</w:t>
                  </w:r>
                </w:p>
              </w:tc>
              <w:tc>
                <w:tcPr>
                  <w:tcW w:w="1398" w:type="pct"/>
                  <w:noWrap/>
                  <w:vAlign w:val="center"/>
                </w:tcPr>
                <w:p w14:paraId="77DA395F">
                  <w:pPr>
                    <w:widowControl/>
                    <w:wordWrap w:val="0"/>
                    <w:spacing w:line="360" w:lineRule="exact"/>
                    <w:jc w:val="center"/>
                    <w:rPr>
                      <w:sz w:val="21"/>
                      <w:szCs w:val="21"/>
                      <w:lang w:bidi="ar"/>
                    </w:rPr>
                  </w:pPr>
                  <w:r>
                    <w:rPr>
                      <w:sz w:val="21"/>
                      <w:szCs w:val="21"/>
                      <w:lang w:bidi="ar"/>
                    </w:rPr>
                    <w:t>放射性固废暂存容器</w:t>
                  </w:r>
                </w:p>
              </w:tc>
              <w:tc>
                <w:tcPr>
                  <w:tcW w:w="938" w:type="pct"/>
                  <w:noWrap/>
                  <w:vAlign w:val="center"/>
                </w:tcPr>
                <w:p w14:paraId="0B41361B">
                  <w:pPr>
                    <w:widowControl/>
                    <w:wordWrap w:val="0"/>
                    <w:spacing w:line="360" w:lineRule="exact"/>
                    <w:jc w:val="center"/>
                    <w:rPr>
                      <w:sz w:val="21"/>
                      <w:szCs w:val="21"/>
                      <w:lang w:bidi="ar"/>
                    </w:rPr>
                  </w:pPr>
                  <w:r>
                    <w:rPr>
                      <w:sz w:val="21"/>
                      <w:szCs w:val="21"/>
                      <w:lang w:bidi="ar"/>
                    </w:rPr>
                    <w:t>10</w:t>
                  </w:r>
                </w:p>
              </w:tc>
              <w:tc>
                <w:tcPr>
                  <w:tcW w:w="496" w:type="pct"/>
                  <w:vAlign w:val="center"/>
                </w:tcPr>
                <w:p w14:paraId="2469B01D">
                  <w:pPr>
                    <w:widowControl/>
                    <w:wordWrap w:val="0"/>
                    <w:spacing w:line="360" w:lineRule="exact"/>
                    <w:jc w:val="center"/>
                    <w:rPr>
                      <w:sz w:val="21"/>
                      <w:szCs w:val="21"/>
                      <w:lang w:bidi="ar"/>
                    </w:rPr>
                  </w:pPr>
                  <w:r>
                    <w:rPr>
                      <w:rFonts w:hint="eastAsia"/>
                      <w:sz w:val="21"/>
                      <w:szCs w:val="21"/>
                      <w:lang w:val="en-US" w:eastAsia="zh-CN" w:bidi="ar"/>
                    </w:rPr>
                    <w:t>3</w:t>
                  </w:r>
                  <w:r>
                    <w:rPr>
                      <w:sz w:val="21"/>
                      <w:szCs w:val="21"/>
                      <w:lang w:bidi="ar"/>
                    </w:rPr>
                    <w:t>个</w:t>
                  </w:r>
                </w:p>
              </w:tc>
              <w:tc>
                <w:tcPr>
                  <w:tcW w:w="899" w:type="pct"/>
                </w:tcPr>
                <w:p w14:paraId="3F5449FE">
                  <w:pPr>
                    <w:widowControl/>
                    <w:wordWrap w:val="0"/>
                    <w:spacing w:line="360" w:lineRule="exact"/>
                    <w:jc w:val="center"/>
                    <w:rPr>
                      <w:sz w:val="21"/>
                      <w:szCs w:val="21"/>
                      <w:lang w:bidi="ar"/>
                    </w:rPr>
                  </w:pPr>
                  <w:r>
                    <w:rPr>
                      <w:rFonts w:hint="eastAsia"/>
                      <w:sz w:val="21"/>
                      <w:szCs w:val="21"/>
                      <w:lang w:val="en-US" w:eastAsia="zh-CN" w:bidi="ar"/>
                    </w:rPr>
                    <w:t>两</w:t>
                  </w:r>
                  <w:r>
                    <w:rPr>
                      <w:sz w:val="21"/>
                      <w:szCs w:val="21"/>
                      <w:lang w:bidi="ar"/>
                    </w:rPr>
                    <w:t>收一储</w:t>
                  </w:r>
                </w:p>
              </w:tc>
            </w:tr>
            <w:tr w14:paraId="2A98F2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35D69F6">
                  <w:pPr>
                    <w:widowControl/>
                    <w:wordWrap w:val="0"/>
                    <w:spacing w:line="360" w:lineRule="exact"/>
                    <w:jc w:val="center"/>
                    <w:rPr>
                      <w:sz w:val="21"/>
                      <w:szCs w:val="21"/>
                    </w:rPr>
                  </w:pPr>
                </w:p>
              </w:tc>
              <w:tc>
                <w:tcPr>
                  <w:tcW w:w="1398" w:type="pct"/>
                  <w:noWrap/>
                  <w:vAlign w:val="center"/>
                </w:tcPr>
                <w:p w14:paraId="24951EF7">
                  <w:pPr>
                    <w:widowControl/>
                    <w:wordWrap w:val="0"/>
                    <w:spacing w:line="360" w:lineRule="exact"/>
                    <w:jc w:val="center"/>
                    <w:rPr>
                      <w:sz w:val="21"/>
                      <w:szCs w:val="21"/>
                      <w:lang w:bidi="ar"/>
                    </w:rPr>
                  </w:pPr>
                  <w:r>
                    <w:rPr>
                      <w:sz w:val="21"/>
                      <w:szCs w:val="21"/>
                      <w:lang w:bidi="ar"/>
                    </w:rPr>
                    <w:t>放射性固废暂存容器</w:t>
                  </w:r>
                </w:p>
              </w:tc>
              <w:tc>
                <w:tcPr>
                  <w:tcW w:w="938" w:type="pct"/>
                  <w:noWrap/>
                  <w:vAlign w:val="center"/>
                </w:tcPr>
                <w:p w14:paraId="034B11BD">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5</w:t>
                  </w:r>
                </w:p>
              </w:tc>
              <w:tc>
                <w:tcPr>
                  <w:tcW w:w="496" w:type="pct"/>
                  <w:vAlign w:val="center"/>
                </w:tcPr>
                <w:p w14:paraId="28DC3566">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3个</w:t>
                  </w:r>
                </w:p>
              </w:tc>
              <w:tc>
                <w:tcPr>
                  <w:tcW w:w="899" w:type="pct"/>
                </w:tcPr>
                <w:p w14:paraId="78D419C6">
                  <w:pPr>
                    <w:widowControl/>
                    <w:wordWrap w:val="0"/>
                    <w:spacing w:line="360" w:lineRule="exact"/>
                    <w:jc w:val="center"/>
                    <w:rPr>
                      <w:sz w:val="21"/>
                      <w:szCs w:val="21"/>
                      <w:lang w:bidi="ar"/>
                    </w:rPr>
                  </w:pPr>
                  <w:r>
                    <w:rPr>
                      <w:rFonts w:hint="eastAsia"/>
                      <w:sz w:val="21"/>
                      <w:szCs w:val="21"/>
                      <w:lang w:val="en-US" w:eastAsia="zh-CN" w:bidi="ar"/>
                    </w:rPr>
                    <w:t>两</w:t>
                  </w:r>
                  <w:r>
                    <w:rPr>
                      <w:sz w:val="21"/>
                      <w:szCs w:val="21"/>
                      <w:lang w:bidi="ar"/>
                    </w:rPr>
                    <w:t>收一储</w:t>
                  </w:r>
                </w:p>
              </w:tc>
            </w:tr>
            <w:tr w14:paraId="0D6732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6BFC26F">
                  <w:pPr>
                    <w:widowControl/>
                    <w:wordWrap w:val="0"/>
                    <w:spacing w:line="360" w:lineRule="exact"/>
                    <w:jc w:val="center"/>
                    <w:rPr>
                      <w:sz w:val="21"/>
                      <w:szCs w:val="21"/>
                    </w:rPr>
                  </w:pPr>
                </w:p>
              </w:tc>
              <w:tc>
                <w:tcPr>
                  <w:tcW w:w="1398" w:type="pct"/>
                  <w:noWrap/>
                  <w:vAlign w:val="center"/>
                </w:tcPr>
                <w:p w14:paraId="53C98BCF">
                  <w:pPr>
                    <w:widowControl/>
                    <w:wordWrap w:val="0"/>
                    <w:spacing w:line="360" w:lineRule="exact"/>
                    <w:jc w:val="center"/>
                    <w:rPr>
                      <w:sz w:val="21"/>
                      <w:szCs w:val="21"/>
                      <w:lang w:bidi="ar"/>
                    </w:rPr>
                  </w:pPr>
                  <w:r>
                    <w:rPr>
                      <w:sz w:val="21"/>
                      <w:szCs w:val="21"/>
                      <w:lang w:bidi="ar"/>
                    </w:rPr>
                    <w:t>监控摄像头</w:t>
                  </w:r>
                </w:p>
              </w:tc>
              <w:tc>
                <w:tcPr>
                  <w:tcW w:w="938" w:type="pct"/>
                  <w:noWrap/>
                  <w:vAlign w:val="center"/>
                </w:tcPr>
                <w:p w14:paraId="282A4294">
                  <w:pPr>
                    <w:widowControl/>
                    <w:wordWrap w:val="0"/>
                    <w:spacing w:line="360" w:lineRule="exact"/>
                    <w:jc w:val="center"/>
                    <w:rPr>
                      <w:sz w:val="21"/>
                      <w:szCs w:val="21"/>
                      <w:lang w:bidi="ar"/>
                    </w:rPr>
                  </w:pPr>
                  <w:r>
                    <w:rPr>
                      <w:sz w:val="21"/>
                      <w:szCs w:val="21"/>
                      <w:lang w:bidi="ar"/>
                    </w:rPr>
                    <w:t>/</w:t>
                  </w:r>
                </w:p>
              </w:tc>
              <w:tc>
                <w:tcPr>
                  <w:tcW w:w="496" w:type="pct"/>
                  <w:vAlign w:val="center"/>
                </w:tcPr>
                <w:p w14:paraId="15A6DA16">
                  <w:pPr>
                    <w:widowControl/>
                    <w:wordWrap w:val="0"/>
                    <w:spacing w:line="360" w:lineRule="exact"/>
                    <w:jc w:val="center"/>
                    <w:rPr>
                      <w:sz w:val="21"/>
                      <w:szCs w:val="21"/>
                      <w:lang w:bidi="ar"/>
                    </w:rPr>
                  </w:pPr>
                  <w:r>
                    <w:rPr>
                      <w:sz w:val="21"/>
                      <w:szCs w:val="21"/>
                      <w:lang w:bidi="ar"/>
                    </w:rPr>
                    <w:t>1个</w:t>
                  </w:r>
                </w:p>
              </w:tc>
              <w:tc>
                <w:tcPr>
                  <w:tcW w:w="899" w:type="pct"/>
                </w:tcPr>
                <w:p w14:paraId="6BCAFC0B">
                  <w:pPr>
                    <w:widowControl/>
                    <w:wordWrap w:val="0"/>
                    <w:spacing w:line="360" w:lineRule="exact"/>
                    <w:jc w:val="center"/>
                    <w:rPr>
                      <w:sz w:val="21"/>
                      <w:szCs w:val="21"/>
                      <w:lang w:bidi="ar"/>
                    </w:rPr>
                  </w:pPr>
                  <w:r>
                    <w:rPr>
                      <w:sz w:val="21"/>
                      <w:szCs w:val="21"/>
                      <w:lang w:bidi="ar"/>
                    </w:rPr>
                    <w:t>/</w:t>
                  </w:r>
                </w:p>
              </w:tc>
            </w:tr>
            <w:tr w14:paraId="62560F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6571CD6A">
                  <w:pPr>
                    <w:widowControl/>
                    <w:wordWrap w:val="0"/>
                    <w:spacing w:line="360" w:lineRule="exact"/>
                    <w:jc w:val="center"/>
                    <w:rPr>
                      <w:rFonts w:hint="default" w:eastAsia="宋体"/>
                      <w:sz w:val="21"/>
                      <w:szCs w:val="21"/>
                      <w:lang w:val="en-US" w:eastAsia="zh-CN"/>
                    </w:rPr>
                  </w:pPr>
                  <w:r>
                    <w:rPr>
                      <w:rFonts w:hint="eastAsia"/>
                      <w:sz w:val="21"/>
                      <w:szCs w:val="21"/>
                      <w:lang w:val="en-US" w:eastAsia="zh-CN"/>
                    </w:rPr>
                    <w:t>敷贴室1#、2#</w:t>
                  </w:r>
                </w:p>
              </w:tc>
              <w:tc>
                <w:tcPr>
                  <w:tcW w:w="1398" w:type="pct"/>
                  <w:noWrap/>
                  <w:vAlign w:val="center"/>
                </w:tcPr>
                <w:p w14:paraId="25E31452">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保险箱</w:t>
                  </w:r>
                </w:p>
              </w:tc>
              <w:tc>
                <w:tcPr>
                  <w:tcW w:w="938" w:type="pct"/>
                  <w:noWrap/>
                  <w:vAlign w:val="center"/>
                </w:tcPr>
                <w:p w14:paraId="35C33BC7">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c>
                <w:tcPr>
                  <w:tcW w:w="496" w:type="pct"/>
                  <w:vAlign w:val="center"/>
                </w:tcPr>
                <w:p w14:paraId="0E013068">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2个</w:t>
                  </w:r>
                </w:p>
              </w:tc>
              <w:tc>
                <w:tcPr>
                  <w:tcW w:w="899" w:type="pct"/>
                </w:tcPr>
                <w:p w14:paraId="28999FCA">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一室一个</w:t>
                  </w:r>
                </w:p>
              </w:tc>
            </w:tr>
            <w:tr w14:paraId="1BB597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4C41708">
                  <w:pPr>
                    <w:widowControl/>
                    <w:wordWrap w:val="0"/>
                    <w:spacing w:line="360" w:lineRule="exact"/>
                    <w:jc w:val="center"/>
                    <w:rPr>
                      <w:rFonts w:hint="eastAsia"/>
                      <w:sz w:val="21"/>
                      <w:szCs w:val="21"/>
                      <w:lang w:val="en-US" w:eastAsia="zh-CN"/>
                    </w:rPr>
                  </w:pPr>
                </w:p>
              </w:tc>
              <w:tc>
                <w:tcPr>
                  <w:tcW w:w="1398" w:type="pct"/>
                  <w:shd w:val="clear" w:color="auto" w:fill="auto"/>
                  <w:noWrap/>
                  <w:vAlign w:val="center"/>
                </w:tcPr>
                <w:p w14:paraId="4B3F2C95">
                  <w:pPr>
                    <w:widowControl/>
                    <w:wordWrap w:val="0"/>
                    <w:spacing w:line="360" w:lineRule="exact"/>
                    <w:jc w:val="center"/>
                    <w:rPr>
                      <w:rFonts w:hint="eastAsia" w:ascii="Times New Roman" w:hAnsi="Times New Roman" w:eastAsia="宋体" w:cs="Times New Roman"/>
                      <w:sz w:val="21"/>
                      <w:szCs w:val="21"/>
                      <w:lang w:val="en-US" w:eastAsia="zh-CN" w:bidi="ar"/>
                    </w:rPr>
                  </w:pPr>
                  <w:r>
                    <w:rPr>
                      <w:sz w:val="21"/>
                      <w:szCs w:val="21"/>
                      <w:lang w:bidi="ar"/>
                    </w:rPr>
                    <w:t>病人隔离铅屏风</w:t>
                  </w:r>
                </w:p>
              </w:tc>
              <w:tc>
                <w:tcPr>
                  <w:tcW w:w="938" w:type="pct"/>
                  <w:shd w:val="clear" w:color="auto" w:fill="auto"/>
                  <w:noWrap/>
                  <w:vAlign w:val="center"/>
                </w:tcPr>
                <w:p w14:paraId="468F2EEF">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2</w:t>
                  </w:r>
                </w:p>
              </w:tc>
              <w:tc>
                <w:tcPr>
                  <w:tcW w:w="496" w:type="pct"/>
                  <w:shd w:val="clear" w:color="auto" w:fill="auto"/>
                  <w:vAlign w:val="center"/>
                </w:tcPr>
                <w:p w14:paraId="7070C4FB">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2</w:t>
                  </w:r>
                  <w:r>
                    <w:rPr>
                      <w:sz w:val="21"/>
                      <w:szCs w:val="21"/>
                      <w:lang w:bidi="ar"/>
                    </w:rPr>
                    <w:t>个</w:t>
                  </w:r>
                </w:p>
              </w:tc>
              <w:tc>
                <w:tcPr>
                  <w:tcW w:w="899" w:type="pct"/>
                </w:tcPr>
                <w:p w14:paraId="183C9643">
                  <w:pPr>
                    <w:widowControl/>
                    <w:wordWrap w:val="0"/>
                    <w:spacing w:line="360" w:lineRule="exact"/>
                    <w:jc w:val="center"/>
                    <w:rPr>
                      <w:rFonts w:hint="eastAsia"/>
                      <w:sz w:val="21"/>
                      <w:szCs w:val="21"/>
                      <w:lang w:val="en-US" w:eastAsia="zh-CN" w:bidi="ar"/>
                    </w:rPr>
                  </w:pPr>
                  <w:r>
                    <w:rPr>
                      <w:rFonts w:hint="eastAsia"/>
                      <w:sz w:val="21"/>
                      <w:szCs w:val="21"/>
                      <w:lang w:val="en-US" w:eastAsia="zh-CN" w:bidi="ar"/>
                    </w:rPr>
                    <w:t>一室一个</w:t>
                  </w:r>
                </w:p>
              </w:tc>
            </w:tr>
            <w:tr w14:paraId="1A85A5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8E0AB9E">
                  <w:pPr>
                    <w:widowControl/>
                    <w:wordWrap w:val="0"/>
                    <w:spacing w:line="360" w:lineRule="exact"/>
                    <w:jc w:val="center"/>
                    <w:rPr>
                      <w:rFonts w:hint="eastAsia"/>
                      <w:sz w:val="21"/>
                      <w:szCs w:val="21"/>
                      <w:lang w:val="en-US" w:eastAsia="zh-CN"/>
                    </w:rPr>
                  </w:pPr>
                </w:p>
              </w:tc>
              <w:tc>
                <w:tcPr>
                  <w:tcW w:w="1398" w:type="pct"/>
                  <w:shd w:val="clear" w:color="auto" w:fill="auto"/>
                  <w:noWrap/>
                  <w:vAlign w:val="center"/>
                </w:tcPr>
                <w:p w14:paraId="77EA7C88">
                  <w:pPr>
                    <w:widowControl/>
                    <w:wordWrap w:val="0"/>
                    <w:spacing w:line="360" w:lineRule="exact"/>
                    <w:jc w:val="center"/>
                    <w:rPr>
                      <w:rFonts w:hint="eastAsia"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77A38087">
                  <w:pPr>
                    <w:widowControl/>
                    <w:wordWrap w:val="0"/>
                    <w:spacing w:line="360" w:lineRule="exact"/>
                    <w:jc w:val="center"/>
                    <w:rPr>
                      <w:rFonts w:hint="eastAsia"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79890A6C">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2</w:t>
                  </w:r>
                  <w:r>
                    <w:rPr>
                      <w:sz w:val="21"/>
                      <w:szCs w:val="21"/>
                      <w:lang w:bidi="ar"/>
                    </w:rPr>
                    <w:t>个</w:t>
                  </w:r>
                </w:p>
              </w:tc>
              <w:tc>
                <w:tcPr>
                  <w:tcW w:w="899" w:type="pct"/>
                </w:tcPr>
                <w:p w14:paraId="4CCDDCAC">
                  <w:pPr>
                    <w:widowControl/>
                    <w:wordWrap w:val="0"/>
                    <w:spacing w:line="360" w:lineRule="exact"/>
                    <w:jc w:val="center"/>
                    <w:rPr>
                      <w:rFonts w:hint="eastAsia"/>
                      <w:sz w:val="21"/>
                      <w:szCs w:val="21"/>
                      <w:lang w:val="en-US" w:eastAsia="zh-CN" w:bidi="ar"/>
                    </w:rPr>
                  </w:pPr>
                  <w:r>
                    <w:rPr>
                      <w:rFonts w:hint="eastAsia"/>
                      <w:sz w:val="21"/>
                      <w:szCs w:val="21"/>
                      <w:lang w:val="en-US" w:eastAsia="zh-CN" w:bidi="ar"/>
                    </w:rPr>
                    <w:t>一室一个</w:t>
                  </w:r>
                </w:p>
              </w:tc>
            </w:tr>
            <w:tr w14:paraId="14C4F4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15EE383B">
                  <w:pPr>
                    <w:widowControl/>
                    <w:wordWrap w:val="0"/>
                    <w:spacing w:line="360" w:lineRule="exact"/>
                    <w:jc w:val="center"/>
                    <w:rPr>
                      <w:sz w:val="21"/>
                      <w:szCs w:val="21"/>
                    </w:rPr>
                  </w:pPr>
                </w:p>
              </w:tc>
              <w:tc>
                <w:tcPr>
                  <w:tcW w:w="1398" w:type="pct"/>
                  <w:shd w:val="clear" w:color="auto" w:fill="auto"/>
                  <w:noWrap/>
                  <w:vAlign w:val="center"/>
                </w:tcPr>
                <w:p w14:paraId="41C3E76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放射性固废暂存容器</w:t>
                  </w:r>
                </w:p>
              </w:tc>
              <w:tc>
                <w:tcPr>
                  <w:tcW w:w="938" w:type="pct"/>
                  <w:shd w:val="clear" w:color="auto" w:fill="auto"/>
                  <w:noWrap/>
                  <w:vAlign w:val="center"/>
                </w:tcPr>
                <w:p w14:paraId="1B2DBAD6">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5</w:t>
                  </w:r>
                </w:p>
              </w:tc>
              <w:tc>
                <w:tcPr>
                  <w:tcW w:w="496" w:type="pct"/>
                  <w:shd w:val="clear" w:color="auto" w:fill="auto"/>
                  <w:vAlign w:val="center"/>
                </w:tcPr>
                <w:p w14:paraId="7CCDCC28">
                  <w:pPr>
                    <w:widowControl/>
                    <w:wordWrap w:val="0"/>
                    <w:spacing w:line="360" w:lineRule="exact"/>
                    <w:jc w:val="center"/>
                    <w:rPr>
                      <w:rFonts w:hint="default" w:ascii="Times New Roman" w:hAnsi="Times New Roman" w:eastAsia="宋体" w:cs="Times New Roman"/>
                      <w:sz w:val="21"/>
                      <w:szCs w:val="21"/>
                      <w:lang w:val="en-US" w:eastAsia="zh-CN" w:bidi="ar"/>
                    </w:rPr>
                  </w:pPr>
                  <w:r>
                    <w:rPr>
                      <w:rFonts w:hint="eastAsia"/>
                      <w:sz w:val="21"/>
                      <w:szCs w:val="21"/>
                      <w:lang w:val="en-US" w:eastAsia="zh-CN" w:bidi="ar"/>
                    </w:rPr>
                    <w:t>2个</w:t>
                  </w:r>
                </w:p>
              </w:tc>
              <w:tc>
                <w:tcPr>
                  <w:tcW w:w="899" w:type="pct"/>
                </w:tcPr>
                <w:p w14:paraId="3249CC70">
                  <w:pPr>
                    <w:widowControl/>
                    <w:wordWrap w:val="0"/>
                    <w:spacing w:line="360" w:lineRule="exact"/>
                    <w:jc w:val="center"/>
                    <w:rPr>
                      <w:sz w:val="21"/>
                      <w:szCs w:val="21"/>
                      <w:lang w:bidi="ar"/>
                    </w:rPr>
                  </w:pPr>
                  <w:r>
                    <w:rPr>
                      <w:rFonts w:hint="eastAsia"/>
                      <w:sz w:val="21"/>
                      <w:szCs w:val="21"/>
                      <w:lang w:val="en-US" w:eastAsia="zh-CN" w:bidi="ar"/>
                    </w:rPr>
                    <w:t>一室一个</w:t>
                  </w:r>
                </w:p>
              </w:tc>
            </w:tr>
            <w:tr w14:paraId="01F154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noWrap/>
                  <w:vAlign w:val="center"/>
                </w:tcPr>
                <w:p w14:paraId="366339BA">
                  <w:pPr>
                    <w:widowControl/>
                    <w:wordWrap w:val="0"/>
                    <w:spacing w:line="360" w:lineRule="exact"/>
                    <w:jc w:val="center"/>
                    <w:rPr>
                      <w:rFonts w:hint="default" w:eastAsia="宋体"/>
                      <w:sz w:val="21"/>
                      <w:szCs w:val="21"/>
                      <w:lang w:val="en-US" w:eastAsia="zh-CN"/>
                    </w:rPr>
                  </w:pPr>
                  <w:r>
                    <w:rPr>
                      <w:rFonts w:hint="eastAsia"/>
                      <w:sz w:val="21"/>
                      <w:szCs w:val="21"/>
                      <w:lang w:val="en-US" w:eastAsia="zh-CN"/>
                    </w:rPr>
                    <w:t>甲功室</w:t>
                  </w:r>
                </w:p>
              </w:tc>
              <w:tc>
                <w:tcPr>
                  <w:tcW w:w="1398" w:type="pct"/>
                  <w:shd w:val="clear" w:color="auto" w:fill="auto"/>
                  <w:noWrap/>
                  <w:vAlign w:val="center"/>
                </w:tcPr>
                <w:p w14:paraId="7B9E8AB6">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病人隔离铅屏风</w:t>
                  </w:r>
                </w:p>
              </w:tc>
              <w:tc>
                <w:tcPr>
                  <w:tcW w:w="938" w:type="pct"/>
                  <w:shd w:val="clear" w:color="auto" w:fill="auto"/>
                  <w:noWrap/>
                  <w:vAlign w:val="center"/>
                </w:tcPr>
                <w:p w14:paraId="122A21C1">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2</w:t>
                  </w:r>
                </w:p>
              </w:tc>
              <w:tc>
                <w:tcPr>
                  <w:tcW w:w="496" w:type="pct"/>
                  <w:shd w:val="clear" w:color="auto" w:fill="auto"/>
                  <w:vAlign w:val="center"/>
                </w:tcPr>
                <w:p w14:paraId="1D44865F">
                  <w:pPr>
                    <w:widowControl/>
                    <w:wordWrap w:val="0"/>
                    <w:spacing w:line="360" w:lineRule="exact"/>
                    <w:jc w:val="center"/>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899" w:type="pct"/>
                </w:tcPr>
                <w:p w14:paraId="18BB9535">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632F61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24178F72">
                  <w:pPr>
                    <w:widowControl/>
                    <w:wordWrap w:val="0"/>
                    <w:spacing w:line="360" w:lineRule="exact"/>
                    <w:jc w:val="center"/>
                    <w:rPr>
                      <w:sz w:val="21"/>
                      <w:szCs w:val="21"/>
                    </w:rPr>
                  </w:pPr>
                  <w:r>
                    <w:rPr>
                      <w:rFonts w:hint="eastAsia"/>
                      <w:sz w:val="21"/>
                      <w:szCs w:val="21"/>
                      <w:lang w:val="en-US" w:eastAsia="zh-CN"/>
                    </w:rPr>
                    <w:t>PET</w:t>
                  </w:r>
                  <w:r>
                    <w:rPr>
                      <w:sz w:val="21"/>
                      <w:szCs w:val="21"/>
                    </w:rPr>
                    <w:t>注射后等候室</w:t>
                  </w:r>
                </w:p>
              </w:tc>
              <w:tc>
                <w:tcPr>
                  <w:tcW w:w="1398" w:type="pct"/>
                  <w:noWrap/>
                  <w:vAlign w:val="center"/>
                </w:tcPr>
                <w:p w14:paraId="470DF682">
                  <w:pPr>
                    <w:widowControl/>
                    <w:wordWrap w:val="0"/>
                    <w:spacing w:line="360" w:lineRule="exact"/>
                    <w:jc w:val="center"/>
                    <w:rPr>
                      <w:sz w:val="21"/>
                      <w:szCs w:val="21"/>
                      <w:lang w:bidi="ar"/>
                    </w:rPr>
                  </w:pPr>
                  <w:r>
                    <w:rPr>
                      <w:sz w:val="21"/>
                      <w:szCs w:val="21"/>
                      <w:lang w:bidi="ar"/>
                    </w:rPr>
                    <w:t>病人隔离铅屏风</w:t>
                  </w:r>
                </w:p>
              </w:tc>
              <w:tc>
                <w:tcPr>
                  <w:tcW w:w="938" w:type="pct"/>
                  <w:noWrap/>
                  <w:vAlign w:val="center"/>
                </w:tcPr>
                <w:p w14:paraId="6C775D85">
                  <w:pPr>
                    <w:widowControl/>
                    <w:wordWrap w:val="0"/>
                    <w:spacing w:line="360" w:lineRule="exact"/>
                    <w:jc w:val="center"/>
                    <w:rPr>
                      <w:sz w:val="21"/>
                      <w:szCs w:val="21"/>
                      <w:lang w:bidi="ar"/>
                    </w:rPr>
                  </w:pPr>
                  <w:r>
                    <w:rPr>
                      <w:sz w:val="21"/>
                      <w:szCs w:val="21"/>
                      <w:lang w:bidi="ar"/>
                    </w:rPr>
                    <w:t>10</w:t>
                  </w:r>
                </w:p>
              </w:tc>
              <w:tc>
                <w:tcPr>
                  <w:tcW w:w="496" w:type="pct"/>
                  <w:vAlign w:val="center"/>
                </w:tcPr>
                <w:p w14:paraId="2A1117F6">
                  <w:pPr>
                    <w:widowControl/>
                    <w:wordWrap w:val="0"/>
                    <w:spacing w:line="360" w:lineRule="exact"/>
                    <w:jc w:val="center"/>
                    <w:rPr>
                      <w:sz w:val="21"/>
                      <w:szCs w:val="21"/>
                      <w:lang w:bidi="ar"/>
                    </w:rPr>
                  </w:pPr>
                  <w:r>
                    <w:rPr>
                      <w:rFonts w:hint="eastAsia"/>
                      <w:sz w:val="21"/>
                      <w:szCs w:val="21"/>
                      <w:lang w:val="en-US" w:eastAsia="zh-CN" w:bidi="ar"/>
                    </w:rPr>
                    <w:t>1</w:t>
                  </w:r>
                  <w:r>
                    <w:rPr>
                      <w:sz w:val="21"/>
                      <w:szCs w:val="21"/>
                      <w:lang w:bidi="ar"/>
                    </w:rPr>
                    <w:t>个</w:t>
                  </w:r>
                </w:p>
              </w:tc>
              <w:tc>
                <w:tcPr>
                  <w:tcW w:w="899" w:type="pct"/>
                </w:tcPr>
                <w:p w14:paraId="78FB7A1B">
                  <w:pPr>
                    <w:widowControl/>
                    <w:wordWrap w:val="0"/>
                    <w:spacing w:line="360" w:lineRule="exact"/>
                    <w:jc w:val="center"/>
                    <w:rPr>
                      <w:rFonts w:hint="eastAsia" w:eastAsia="宋体"/>
                      <w:sz w:val="21"/>
                      <w:szCs w:val="21"/>
                      <w:lang w:eastAsia="zh-CN" w:bidi="ar"/>
                    </w:rPr>
                  </w:pPr>
                  <w:r>
                    <w:rPr>
                      <w:rFonts w:hint="eastAsia"/>
                      <w:sz w:val="21"/>
                      <w:szCs w:val="21"/>
                      <w:lang w:eastAsia="zh-CN" w:bidi="ar"/>
                    </w:rPr>
                    <w:t>/</w:t>
                  </w:r>
                </w:p>
              </w:tc>
            </w:tr>
            <w:tr w14:paraId="0B781C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5B39DCE">
                  <w:pPr>
                    <w:widowControl/>
                    <w:wordWrap w:val="0"/>
                    <w:spacing w:line="360" w:lineRule="exact"/>
                    <w:jc w:val="center"/>
                    <w:rPr>
                      <w:sz w:val="21"/>
                      <w:szCs w:val="21"/>
                    </w:rPr>
                  </w:pPr>
                </w:p>
              </w:tc>
              <w:tc>
                <w:tcPr>
                  <w:tcW w:w="1398" w:type="pct"/>
                  <w:noWrap/>
                  <w:vAlign w:val="center"/>
                </w:tcPr>
                <w:p w14:paraId="2B0BB78D">
                  <w:pPr>
                    <w:widowControl/>
                    <w:wordWrap w:val="0"/>
                    <w:spacing w:line="360" w:lineRule="exact"/>
                    <w:jc w:val="center"/>
                    <w:rPr>
                      <w:sz w:val="21"/>
                      <w:szCs w:val="21"/>
                      <w:lang w:bidi="ar"/>
                    </w:rPr>
                  </w:pPr>
                  <w:r>
                    <w:rPr>
                      <w:sz w:val="21"/>
                      <w:szCs w:val="21"/>
                      <w:lang w:bidi="ar"/>
                    </w:rPr>
                    <w:t>监控摄像头</w:t>
                  </w:r>
                </w:p>
              </w:tc>
              <w:tc>
                <w:tcPr>
                  <w:tcW w:w="938" w:type="pct"/>
                  <w:noWrap/>
                  <w:vAlign w:val="center"/>
                </w:tcPr>
                <w:p w14:paraId="4BDBFE10">
                  <w:pPr>
                    <w:widowControl/>
                    <w:wordWrap w:val="0"/>
                    <w:spacing w:line="360" w:lineRule="exact"/>
                    <w:jc w:val="center"/>
                    <w:rPr>
                      <w:sz w:val="21"/>
                      <w:szCs w:val="21"/>
                      <w:lang w:bidi="ar"/>
                    </w:rPr>
                  </w:pPr>
                  <w:r>
                    <w:rPr>
                      <w:sz w:val="21"/>
                      <w:szCs w:val="21"/>
                      <w:lang w:bidi="ar"/>
                    </w:rPr>
                    <w:t>/</w:t>
                  </w:r>
                </w:p>
              </w:tc>
              <w:tc>
                <w:tcPr>
                  <w:tcW w:w="496" w:type="pct"/>
                  <w:vAlign w:val="center"/>
                </w:tcPr>
                <w:p w14:paraId="1BCD8AA8">
                  <w:pPr>
                    <w:widowControl/>
                    <w:wordWrap w:val="0"/>
                    <w:spacing w:line="360" w:lineRule="exact"/>
                    <w:jc w:val="center"/>
                    <w:rPr>
                      <w:sz w:val="21"/>
                      <w:szCs w:val="21"/>
                      <w:lang w:bidi="ar"/>
                    </w:rPr>
                  </w:pPr>
                  <w:r>
                    <w:rPr>
                      <w:rFonts w:hint="eastAsia"/>
                      <w:sz w:val="21"/>
                      <w:szCs w:val="21"/>
                      <w:lang w:val="en-US" w:eastAsia="zh-CN" w:bidi="ar"/>
                    </w:rPr>
                    <w:t>1</w:t>
                  </w:r>
                  <w:r>
                    <w:rPr>
                      <w:sz w:val="21"/>
                      <w:szCs w:val="21"/>
                      <w:lang w:bidi="ar"/>
                    </w:rPr>
                    <w:t>个</w:t>
                  </w:r>
                </w:p>
              </w:tc>
              <w:tc>
                <w:tcPr>
                  <w:tcW w:w="899" w:type="pct"/>
                </w:tcPr>
                <w:p w14:paraId="56A84BCB">
                  <w:pPr>
                    <w:widowControl/>
                    <w:wordWrap w:val="0"/>
                    <w:spacing w:line="360" w:lineRule="exact"/>
                    <w:jc w:val="center"/>
                    <w:rPr>
                      <w:rFonts w:hint="eastAsia" w:eastAsia="宋体"/>
                      <w:sz w:val="21"/>
                      <w:szCs w:val="21"/>
                      <w:lang w:eastAsia="zh-CN" w:bidi="ar"/>
                    </w:rPr>
                  </w:pPr>
                  <w:r>
                    <w:rPr>
                      <w:rFonts w:hint="eastAsia"/>
                      <w:sz w:val="21"/>
                      <w:szCs w:val="21"/>
                      <w:lang w:val="en-US" w:eastAsia="zh-CN" w:bidi="ar"/>
                    </w:rPr>
                    <w:t>/</w:t>
                  </w:r>
                </w:p>
              </w:tc>
            </w:tr>
            <w:tr w14:paraId="3823DF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0BBFA982">
                  <w:pPr>
                    <w:widowControl/>
                    <w:wordWrap w:val="0"/>
                    <w:spacing w:line="360" w:lineRule="exact"/>
                    <w:jc w:val="center"/>
                    <w:rPr>
                      <w:sz w:val="21"/>
                      <w:szCs w:val="21"/>
                    </w:rPr>
                  </w:pPr>
                </w:p>
              </w:tc>
              <w:tc>
                <w:tcPr>
                  <w:tcW w:w="1398" w:type="pct"/>
                  <w:noWrap/>
                  <w:vAlign w:val="center"/>
                </w:tcPr>
                <w:p w14:paraId="5D78A2A2">
                  <w:pPr>
                    <w:widowControl/>
                    <w:wordWrap w:val="0"/>
                    <w:spacing w:line="360" w:lineRule="exact"/>
                    <w:jc w:val="center"/>
                    <w:rPr>
                      <w:sz w:val="21"/>
                      <w:szCs w:val="21"/>
                      <w:lang w:bidi="ar"/>
                    </w:rPr>
                  </w:pPr>
                  <w:r>
                    <w:rPr>
                      <w:sz w:val="21"/>
                      <w:szCs w:val="21"/>
                      <w:lang w:bidi="ar"/>
                    </w:rPr>
                    <w:t>放射性固废收集容器</w:t>
                  </w:r>
                </w:p>
              </w:tc>
              <w:tc>
                <w:tcPr>
                  <w:tcW w:w="938" w:type="pct"/>
                  <w:noWrap/>
                  <w:vAlign w:val="center"/>
                </w:tcPr>
                <w:p w14:paraId="36FFF375">
                  <w:pPr>
                    <w:widowControl/>
                    <w:wordWrap w:val="0"/>
                    <w:spacing w:line="360" w:lineRule="exact"/>
                    <w:jc w:val="center"/>
                    <w:rPr>
                      <w:sz w:val="21"/>
                      <w:szCs w:val="21"/>
                      <w:lang w:bidi="ar"/>
                    </w:rPr>
                  </w:pPr>
                  <w:r>
                    <w:rPr>
                      <w:sz w:val="21"/>
                      <w:szCs w:val="21"/>
                      <w:lang w:bidi="ar"/>
                    </w:rPr>
                    <w:t>10</w:t>
                  </w:r>
                </w:p>
              </w:tc>
              <w:tc>
                <w:tcPr>
                  <w:tcW w:w="496" w:type="pct"/>
                  <w:vAlign w:val="center"/>
                </w:tcPr>
                <w:p w14:paraId="4DA8F0FD">
                  <w:pPr>
                    <w:widowControl/>
                    <w:wordWrap w:val="0"/>
                    <w:spacing w:line="360" w:lineRule="exact"/>
                    <w:jc w:val="center"/>
                    <w:rPr>
                      <w:sz w:val="21"/>
                      <w:szCs w:val="21"/>
                      <w:lang w:bidi="ar"/>
                    </w:rPr>
                  </w:pPr>
                  <w:r>
                    <w:rPr>
                      <w:rFonts w:hint="eastAsia"/>
                      <w:sz w:val="21"/>
                      <w:szCs w:val="21"/>
                      <w:lang w:val="en-US" w:eastAsia="zh-CN" w:bidi="ar"/>
                    </w:rPr>
                    <w:t>1</w:t>
                  </w:r>
                  <w:r>
                    <w:rPr>
                      <w:sz w:val="21"/>
                      <w:szCs w:val="21"/>
                      <w:lang w:bidi="ar"/>
                    </w:rPr>
                    <w:t>个</w:t>
                  </w:r>
                </w:p>
              </w:tc>
              <w:tc>
                <w:tcPr>
                  <w:tcW w:w="899" w:type="pct"/>
                </w:tcPr>
                <w:p w14:paraId="10ABBCF7">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22E2A3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3C53D77A">
                  <w:pPr>
                    <w:widowControl/>
                    <w:wordWrap w:val="0"/>
                    <w:spacing w:line="360" w:lineRule="exact"/>
                    <w:jc w:val="center"/>
                    <w:rPr>
                      <w:sz w:val="21"/>
                      <w:szCs w:val="21"/>
                    </w:rPr>
                  </w:pPr>
                  <w:r>
                    <w:rPr>
                      <w:rFonts w:hint="eastAsia"/>
                      <w:sz w:val="21"/>
                      <w:szCs w:val="21"/>
                      <w:lang w:val="en-US" w:eastAsia="zh-CN"/>
                    </w:rPr>
                    <w:t>ECT</w:t>
                  </w:r>
                  <w:r>
                    <w:rPr>
                      <w:sz w:val="21"/>
                      <w:szCs w:val="21"/>
                    </w:rPr>
                    <w:t>注射后等候室</w:t>
                  </w:r>
                </w:p>
              </w:tc>
              <w:tc>
                <w:tcPr>
                  <w:tcW w:w="1398" w:type="pct"/>
                  <w:noWrap/>
                  <w:vAlign w:val="center"/>
                </w:tcPr>
                <w:p w14:paraId="1C32FE3E">
                  <w:pPr>
                    <w:widowControl/>
                    <w:wordWrap w:val="0"/>
                    <w:spacing w:line="360" w:lineRule="exact"/>
                    <w:jc w:val="center"/>
                    <w:rPr>
                      <w:sz w:val="21"/>
                      <w:szCs w:val="21"/>
                      <w:lang w:bidi="ar"/>
                    </w:rPr>
                  </w:pPr>
                  <w:r>
                    <w:rPr>
                      <w:sz w:val="21"/>
                      <w:szCs w:val="21"/>
                      <w:lang w:bidi="ar"/>
                    </w:rPr>
                    <w:t>病人隔离铅屏风</w:t>
                  </w:r>
                </w:p>
              </w:tc>
              <w:tc>
                <w:tcPr>
                  <w:tcW w:w="938" w:type="pct"/>
                  <w:noWrap/>
                  <w:vAlign w:val="center"/>
                </w:tcPr>
                <w:p w14:paraId="0FAB061C">
                  <w:pPr>
                    <w:widowControl/>
                    <w:wordWrap w:val="0"/>
                    <w:spacing w:line="360" w:lineRule="exact"/>
                    <w:jc w:val="center"/>
                    <w:rPr>
                      <w:rFonts w:hint="eastAsia" w:eastAsia="宋体"/>
                      <w:sz w:val="21"/>
                      <w:szCs w:val="21"/>
                      <w:lang w:eastAsia="zh-CN" w:bidi="ar"/>
                    </w:rPr>
                  </w:pPr>
                  <w:r>
                    <w:rPr>
                      <w:rFonts w:hint="eastAsia"/>
                      <w:sz w:val="21"/>
                      <w:szCs w:val="21"/>
                      <w:lang w:val="en-US" w:eastAsia="zh-CN" w:bidi="ar"/>
                    </w:rPr>
                    <w:t>3</w:t>
                  </w:r>
                </w:p>
              </w:tc>
              <w:tc>
                <w:tcPr>
                  <w:tcW w:w="496" w:type="pct"/>
                  <w:vAlign w:val="center"/>
                </w:tcPr>
                <w:p w14:paraId="46C7CB8D">
                  <w:pPr>
                    <w:widowControl/>
                    <w:wordWrap w:val="0"/>
                    <w:spacing w:line="360" w:lineRule="exact"/>
                    <w:jc w:val="center"/>
                    <w:rPr>
                      <w:sz w:val="21"/>
                      <w:szCs w:val="21"/>
                      <w:lang w:bidi="ar"/>
                    </w:rPr>
                  </w:pPr>
                  <w:r>
                    <w:rPr>
                      <w:sz w:val="21"/>
                      <w:szCs w:val="21"/>
                      <w:lang w:bidi="ar"/>
                    </w:rPr>
                    <w:t>1个</w:t>
                  </w:r>
                </w:p>
              </w:tc>
              <w:tc>
                <w:tcPr>
                  <w:tcW w:w="899" w:type="pct"/>
                </w:tcPr>
                <w:p w14:paraId="0CB9DEEA">
                  <w:pPr>
                    <w:widowControl/>
                    <w:wordWrap w:val="0"/>
                    <w:spacing w:line="360" w:lineRule="exact"/>
                    <w:jc w:val="center"/>
                    <w:rPr>
                      <w:sz w:val="21"/>
                      <w:szCs w:val="21"/>
                      <w:lang w:bidi="ar"/>
                    </w:rPr>
                  </w:pPr>
                  <w:r>
                    <w:rPr>
                      <w:sz w:val="21"/>
                      <w:szCs w:val="21"/>
                      <w:lang w:bidi="ar"/>
                    </w:rPr>
                    <w:t>/</w:t>
                  </w:r>
                </w:p>
              </w:tc>
            </w:tr>
            <w:tr w14:paraId="62D248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1746BE90">
                  <w:pPr>
                    <w:widowControl/>
                    <w:wordWrap w:val="0"/>
                    <w:spacing w:line="360" w:lineRule="exact"/>
                    <w:jc w:val="center"/>
                    <w:rPr>
                      <w:sz w:val="21"/>
                      <w:szCs w:val="21"/>
                    </w:rPr>
                  </w:pPr>
                </w:p>
              </w:tc>
              <w:tc>
                <w:tcPr>
                  <w:tcW w:w="1398" w:type="pct"/>
                  <w:noWrap/>
                  <w:vAlign w:val="center"/>
                </w:tcPr>
                <w:p w14:paraId="4DF02525">
                  <w:pPr>
                    <w:widowControl/>
                    <w:wordWrap w:val="0"/>
                    <w:spacing w:line="360" w:lineRule="exact"/>
                    <w:jc w:val="center"/>
                    <w:rPr>
                      <w:sz w:val="21"/>
                      <w:szCs w:val="21"/>
                      <w:lang w:bidi="ar"/>
                    </w:rPr>
                  </w:pPr>
                  <w:r>
                    <w:rPr>
                      <w:sz w:val="21"/>
                      <w:szCs w:val="21"/>
                      <w:lang w:bidi="ar"/>
                    </w:rPr>
                    <w:t>监控摄像头</w:t>
                  </w:r>
                </w:p>
              </w:tc>
              <w:tc>
                <w:tcPr>
                  <w:tcW w:w="938" w:type="pct"/>
                  <w:noWrap/>
                  <w:vAlign w:val="center"/>
                </w:tcPr>
                <w:p w14:paraId="2879C625">
                  <w:pPr>
                    <w:widowControl/>
                    <w:wordWrap w:val="0"/>
                    <w:spacing w:line="360" w:lineRule="exact"/>
                    <w:jc w:val="center"/>
                    <w:rPr>
                      <w:sz w:val="21"/>
                      <w:szCs w:val="21"/>
                      <w:lang w:bidi="ar"/>
                    </w:rPr>
                  </w:pPr>
                  <w:r>
                    <w:rPr>
                      <w:sz w:val="21"/>
                      <w:szCs w:val="21"/>
                      <w:lang w:bidi="ar"/>
                    </w:rPr>
                    <w:t>/</w:t>
                  </w:r>
                </w:p>
              </w:tc>
              <w:tc>
                <w:tcPr>
                  <w:tcW w:w="496" w:type="pct"/>
                  <w:vAlign w:val="center"/>
                </w:tcPr>
                <w:p w14:paraId="7BBDD043">
                  <w:pPr>
                    <w:widowControl/>
                    <w:wordWrap w:val="0"/>
                    <w:spacing w:line="360" w:lineRule="exact"/>
                    <w:jc w:val="center"/>
                    <w:rPr>
                      <w:sz w:val="21"/>
                      <w:szCs w:val="21"/>
                      <w:lang w:bidi="ar"/>
                    </w:rPr>
                  </w:pPr>
                  <w:r>
                    <w:rPr>
                      <w:sz w:val="21"/>
                      <w:szCs w:val="21"/>
                      <w:lang w:bidi="ar"/>
                    </w:rPr>
                    <w:t>1个</w:t>
                  </w:r>
                </w:p>
              </w:tc>
              <w:tc>
                <w:tcPr>
                  <w:tcW w:w="899" w:type="pct"/>
                </w:tcPr>
                <w:p w14:paraId="1E3DE98B">
                  <w:pPr>
                    <w:widowControl/>
                    <w:wordWrap w:val="0"/>
                    <w:spacing w:line="360" w:lineRule="exact"/>
                    <w:jc w:val="center"/>
                    <w:rPr>
                      <w:sz w:val="21"/>
                      <w:szCs w:val="21"/>
                      <w:lang w:bidi="ar"/>
                    </w:rPr>
                  </w:pPr>
                  <w:r>
                    <w:rPr>
                      <w:sz w:val="21"/>
                      <w:szCs w:val="21"/>
                      <w:lang w:bidi="ar"/>
                    </w:rPr>
                    <w:t>/</w:t>
                  </w:r>
                </w:p>
              </w:tc>
            </w:tr>
            <w:tr w14:paraId="7FD216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47E44261">
                  <w:pPr>
                    <w:widowControl/>
                    <w:wordWrap w:val="0"/>
                    <w:spacing w:line="360" w:lineRule="exact"/>
                    <w:jc w:val="center"/>
                    <w:rPr>
                      <w:sz w:val="21"/>
                      <w:szCs w:val="21"/>
                    </w:rPr>
                  </w:pPr>
                </w:p>
              </w:tc>
              <w:tc>
                <w:tcPr>
                  <w:tcW w:w="1398" w:type="pct"/>
                  <w:noWrap/>
                  <w:vAlign w:val="center"/>
                </w:tcPr>
                <w:p w14:paraId="667E1215">
                  <w:pPr>
                    <w:widowControl/>
                    <w:wordWrap w:val="0"/>
                    <w:spacing w:line="360" w:lineRule="exact"/>
                    <w:jc w:val="center"/>
                    <w:rPr>
                      <w:sz w:val="21"/>
                      <w:szCs w:val="21"/>
                      <w:lang w:bidi="ar"/>
                    </w:rPr>
                  </w:pPr>
                  <w:r>
                    <w:rPr>
                      <w:sz w:val="21"/>
                      <w:szCs w:val="21"/>
                      <w:lang w:bidi="ar"/>
                    </w:rPr>
                    <w:t>放射性固废收集容器</w:t>
                  </w:r>
                </w:p>
              </w:tc>
              <w:tc>
                <w:tcPr>
                  <w:tcW w:w="938" w:type="pct"/>
                  <w:noWrap/>
                  <w:vAlign w:val="center"/>
                </w:tcPr>
                <w:p w14:paraId="545EAC18">
                  <w:pPr>
                    <w:widowControl/>
                    <w:wordWrap w:val="0"/>
                    <w:spacing w:line="360" w:lineRule="exact"/>
                    <w:jc w:val="center"/>
                    <w:rPr>
                      <w:rFonts w:hint="eastAsia" w:eastAsia="宋体"/>
                      <w:sz w:val="21"/>
                      <w:szCs w:val="21"/>
                      <w:lang w:eastAsia="zh-CN" w:bidi="ar"/>
                    </w:rPr>
                  </w:pPr>
                  <w:r>
                    <w:rPr>
                      <w:rFonts w:hint="eastAsia"/>
                      <w:sz w:val="21"/>
                      <w:szCs w:val="21"/>
                      <w:lang w:val="en-US" w:eastAsia="zh-CN" w:bidi="ar"/>
                    </w:rPr>
                    <w:t>5</w:t>
                  </w:r>
                </w:p>
              </w:tc>
              <w:tc>
                <w:tcPr>
                  <w:tcW w:w="496" w:type="pct"/>
                  <w:vAlign w:val="center"/>
                </w:tcPr>
                <w:p w14:paraId="4EED09A9">
                  <w:pPr>
                    <w:widowControl/>
                    <w:wordWrap w:val="0"/>
                    <w:spacing w:line="360" w:lineRule="exact"/>
                    <w:jc w:val="center"/>
                    <w:rPr>
                      <w:sz w:val="21"/>
                      <w:szCs w:val="21"/>
                      <w:lang w:bidi="ar"/>
                    </w:rPr>
                  </w:pPr>
                  <w:r>
                    <w:rPr>
                      <w:sz w:val="21"/>
                      <w:szCs w:val="21"/>
                      <w:lang w:bidi="ar"/>
                    </w:rPr>
                    <w:t>1个</w:t>
                  </w:r>
                </w:p>
              </w:tc>
              <w:tc>
                <w:tcPr>
                  <w:tcW w:w="899" w:type="pct"/>
                </w:tcPr>
                <w:p w14:paraId="772E9671">
                  <w:pPr>
                    <w:widowControl/>
                    <w:wordWrap w:val="0"/>
                    <w:spacing w:line="360" w:lineRule="exact"/>
                    <w:jc w:val="center"/>
                    <w:rPr>
                      <w:sz w:val="21"/>
                      <w:szCs w:val="21"/>
                      <w:lang w:bidi="ar"/>
                    </w:rPr>
                  </w:pPr>
                </w:p>
              </w:tc>
            </w:tr>
            <w:tr w14:paraId="73AA35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3B2F4272">
                  <w:pPr>
                    <w:widowControl/>
                    <w:wordWrap w:val="0"/>
                    <w:spacing w:line="360" w:lineRule="exact"/>
                    <w:jc w:val="center"/>
                    <w:rPr>
                      <w:sz w:val="21"/>
                      <w:szCs w:val="21"/>
                    </w:rPr>
                  </w:pPr>
                  <w:r>
                    <w:rPr>
                      <w:spacing w:val="-6"/>
                      <w:sz w:val="21"/>
                      <w:szCs w:val="21"/>
                    </w:rPr>
                    <w:t>PET/CT机房</w:t>
                  </w:r>
                </w:p>
              </w:tc>
              <w:tc>
                <w:tcPr>
                  <w:tcW w:w="1398" w:type="pct"/>
                  <w:noWrap/>
                  <w:vAlign w:val="center"/>
                </w:tcPr>
                <w:p w14:paraId="6EFE3AD8">
                  <w:pPr>
                    <w:widowControl/>
                    <w:wordWrap w:val="0"/>
                    <w:spacing w:line="360" w:lineRule="exact"/>
                    <w:jc w:val="center"/>
                    <w:rPr>
                      <w:sz w:val="21"/>
                      <w:szCs w:val="21"/>
                      <w:lang w:bidi="ar"/>
                    </w:rPr>
                  </w:pPr>
                  <w:r>
                    <w:rPr>
                      <w:sz w:val="21"/>
                      <w:szCs w:val="21"/>
                      <w:lang w:bidi="ar"/>
                    </w:rPr>
                    <w:t>摆位铅屏风</w:t>
                  </w:r>
                </w:p>
              </w:tc>
              <w:tc>
                <w:tcPr>
                  <w:tcW w:w="938" w:type="pct"/>
                  <w:noWrap/>
                  <w:vAlign w:val="center"/>
                </w:tcPr>
                <w:p w14:paraId="57A75D5A">
                  <w:pPr>
                    <w:widowControl/>
                    <w:wordWrap w:val="0"/>
                    <w:spacing w:line="360" w:lineRule="exact"/>
                    <w:jc w:val="center"/>
                    <w:rPr>
                      <w:sz w:val="21"/>
                      <w:szCs w:val="21"/>
                      <w:lang w:bidi="ar"/>
                    </w:rPr>
                  </w:pPr>
                  <w:r>
                    <w:rPr>
                      <w:sz w:val="21"/>
                      <w:szCs w:val="21"/>
                      <w:lang w:bidi="ar"/>
                    </w:rPr>
                    <w:t>8</w:t>
                  </w:r>
                </w:p>
              </w:tc>
              <w:tc>
                <w:tcPr>
                  <w:tcW w:w="496" w:type="pct"/>
                  <w:vAlign w:val="center"/>
                </w:tcPr>
                <w:p w14:paraId="71F0E67D">
                  <w:pPr>
                    <w:widowControl/>
                    <w:wordWrap w:val="0"/>
                    <w:spacing w:line="360" w:lineRule="exact"/>
                    <w:jc w:val="center"/>
                    <w:rPr>
                      <w:sz w:val="21"/>
                      <w:szCs w:val="21"/>
                      <w:lang w:bidi="ar"/>
                    </w:rPr>
                  </w:pPr>
                  <w:r>
                    <w:rPr>
                      <w:rFonts w:hint="eastAsia"/>
                      <w:sz w:val="21"/>
                      <w:szCs w:val="21"/>
                      <w:lang w:val="en-US" w:eastAsia="zh-CN" w:bidi="ar"/>
                    </w:rPr>
                    <w:t>1</w:t>
                  </w:r>
                  <w:r>
                    <w:rPr>
                      <w:sz w:val="21"/>
                      <w:szCs w:val="21"/>
                      <w:lang w:bidi="ar"/>
                    </w:rPr>
                    <w:t>个</w:t>
                  </w:r>
                </w:p>
              </w:tc>
              <w:tc>
                <w:tcPr>
                  <w:tcW w:w="899" w:type="pct"/>
                  <w:vAlign w:val="center"/>
                </w:tcPr>
                <w:p w14:paraId="5FD7EA4A">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1AE64C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6" w:type="pct"/>
                  <w:vMerge w:val="continue"/>
                  <w:noWrap/>
                  <w:vAlign w:val="center"/>
                </w:tcPr>
                <w:p w14:paraId="4DED48F4">
                  <w:pPr>
                    <w:widowControl/>
                    <w:wordWrap w:val="0"/>
                    <w:spacing w:line="360" w:lineRule="exact"/>
                    <w:jc w:val="center"/>
                    <w:rPr>
                      <w:spacing w:val="-6"/>
                      <w:sz w:val="21"/>
                      <w:szCs w:val="21"/>
                    </w:rPr>
                  </w:pPr>
                </w:p>
              </w:tc>
              <w:tc>
                <w:tcPr>
                  <w:tcW w:w="1398" w:type="pct"/>
                  <w:noWrap/>
                  <w:vAlign w:val="center"/>
                </w:tcPr>
                <w:p w14:paraId="2B725DC1">
                  <w:pPr>
                    <w:widowControl/>
                    <w:wordWrap w:val="0"/>
                    <w:spacing w:line="360" w:lineRule="exact"/>
                    <w:jc w:val="center"/>
                    <w:rPr>
                      <w:sz w:val="21"/>
                      <w:szCs w:val="21"/>
                      <w:lang w:bidi="ar"/>
                    </w:rPr>
                  </w:pPr>
                  <w:r>
                    <w:rPr>
                      <w:sz w:val="21"/>
                      <w:szCs w:val="21"/>
                      <w:lang w:bidi="ar"/>
                    </w:rPr>
                    <w:t>监控摄像头</w:t>
                  </w:r>
                </w:p>
              </w:tc>
              <w:tc>
                <w:tcPr>
                  <w:tcW w:w="938" w:type="pct"/>
                  <w:noWrap/>
                  <w:vAlign w:val="center"/>
                </w:tcPr>
                <w:p w14:paraId="375EABFE">
                  <w:pPr>
                    <w:widowControl/>
                    <w:wordWrap w:val="0"/>
                    <w:spacing w:line="360" w:lineRule="exact"/>
                    <w:jc w:val="center"/>
                    <w:rPr>
                      <w:sz w:val="21"/>
                      <w:szCs w:val="21"/>
                      <w:lang w:bidi="ar"/>
                    </w:rPr>
                  </w:pPr>
                  <w:r>
                    <w:rPr>
                      <w:sz w:val="21"/>
                      <w:szCs w:val="21"/>
                      <w:lang w:bidi="ar"/>
                    </w:rPr>
                    <w:t>/</w:t>
                  </w:r>
                </w:p>
              </w:tc>
              <w:tc>
                <w:tcPr>
                  <w:tcW w:w="496" w:type="pct"/>
                  <w:vAlign w:val="center"/>
                </w:tcPr>
                <w:p w14:paraId="6A96E585">
                  <w:pPr>
                    <w:widowControl/>
                    <w:wordWrap w:val="0"/>
                    <w:spacing w:line="360" w:lineRule="exact"/>
                    <w:jc w:val="center"/>
                    <w:rPr>
                      <w:sz w:val="21"/>
                      <w:szCs w:val="21"/>
                      <w:lang w:bidi="ar"/>
                    </w:rPr>
                  </w:pPr>
                  <w:r>
                    <w:rPr>
                      <w:rFonts w:hint="eastAsia"/>
                      <w:sz w:val="21"/>
                      <w:szCs w:val="21"/>
                      <w:lang w:val="en-US" w:eastAsia="zh-CN" w:bidi="ar"/>
                    </w:rPr>
                    <w:t>1</w:t>
                  </w:r>
                  <w:r>
                    <w:rPr>
                      <w:sz w:val="21"/>
                      <w:szCs w:val="21"/>
                      <w:lang w:bidi="ar"/>
                    </w:rPr>
                    <w:t>个</w:t>
                  </w:r>
                </w:p>
              </w:tc>
              <w:tc>
                <w:tcPr>
                  <w:tcW w:w="899" w:type="pct"/>
                </w:tcPr>
                <w:p w14:paraId="763FEC04">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42FE12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6" w:type="pct"/>
                  <w:vMerge w:val="restart"/>
                  <w:noWrap/>
                  <w:vAlign w:val="center"/>
                </w:tcPr>
                <w:p w14:paraId="1A248328">
                  <w:pPr>
                    <w:widowControl/>
                    <w:wordWrap w:val="0"/>
                    <w:spacing w:line="360" w:lineRule="exact"/>
                    <w:jc w:val="center"/>
                    <w:rPr>
                      <w:spacing w:val="-6"/>
                      <w:sz w:val="21"/>
                      <w:szCs w:val="21"/>
                    </w:rPr>
                  </w:pPr>
                  <w:r>
                    <w:rPr>
                      <w:rFonts w:hint="eastAsia"/>
                      <w:spacing w:val="-6"/>
                      <w:sz w:val="21"/>
                      <w:szCs w:val="21"/>
                      <w:lang w:val="en-US" w:eastAsia="zh-CN"/>
                    </w:rPr>
                    <w:t>SPECT/CT</w:t>
                  </w:r>
                  <w:r>
                    <w:rPr>
                      <w:spacing w:val="-6"/>
                      <w:sz w:val="21"/>
                      <w:szCs w:val="21"/>
                    </w:rPr>
                    <w:t>机房</w:t>
                  </w:r>
                </w:p>
              </w:tc>
              <w:tc>
                <w:tcPr>
                  <w:tcW w:w="1398" w:type="pct"/>
                  <w:shd w:val="clear" w:color="auto" w:fill="auto"/>
                  <w:noWrap/>
                  <w:vAlign w:val="center"/>
                </w:tcPr>
                <w:p w14:paraId="3EEC96C3">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摆位铅屏风</w:t>
                  </w:r>
                </w:p>
              </w:tc>
              <w:tc>
                <w:tcPr>
                  <w:tcW w:w="938" w:type="pct"/>
                  <w:shd w:val="clear" w:color="auto" w:fill="auto"/>
                  <w:noWrap/>
                  <w:vAlign w:val="center"/>
                </w:tcPr>
                <w:p w14:paraId="7D384328">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3</w:t>
                  </w:r>
                </w:p>
              </w:tc>
              <w:tc>
                <w:tcPr>
                  <w:tcW w:w="496" w:type="pct"/>
                  <w:shd w:val="clear" w:color="auto" w:fill="auto"/>
                  <w:vAlign w:val="center"/>
                </w:tcPr>
                <w:p w14:paraId="6D2A0DF8">
                  <w:pPr>
                    <w:widowControl/>
                    <w:wordWrap w:val="0"/>
                    <w:spacing w:line="360" w:lineRule="exact"/>
                    <w:jc w:val="center"/>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899" w:type="pct"/>
                  <w:shd w:val="clear" w:color="auto" w:fill="auto"/>
                  <w:vAlign w:val="center"/>
                </w:tcPr>
                <w:p w14:paraId="56373650">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w:t>
                  </w:r>
                </w:p>
              </w:tc>
            </w:tr>
            <w:tr w14:paraId="2E6958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6" w:type="pct"/>
                  <w:vMerge w:val="continue"/>
                  <w:noWrap/>
                  <w:vAlign w:val="center"/>
                </w:tcPr>
                <w:p w14:paraId="3DE58B44">
                  <w:pPr>
                    <w:widowControl/>
                    <w:wordWrap w:val="0"/>
                    <w:spacing w:line="360" w:lineRule="exact"/>
                    <w:jc w:val="center"/>
                    <w:rPr>
                      <w:spacing w:val="-6"/>
                      <w:sz w:val="21"/>
                      <w:szCs w:val="21"/>
                    </w:rPr>
                  </w:pPr>
                </w:p>
              </w:tc>
              <w:tc>
                <w:tcPr>
                  <w:tcW w:w="1398" w:type="pct"/>
                  <w:shd w:val="clear" w:color="auto" w:fill="auto"/>
                  <w:noWrap/>
                  <w:vAlign w:val="center"/>
                </w:tcPr>
                <w:p w14:paraId="59D4BB6B">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3344C590">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2474094E">
                  <w:pPr>
                    <w:widowControl/>
                    <w:wordWrap w:val="0"/>
                    <w:spacing w:line="360" w:lineRule="exact"/>
                    <w:jc w:val="center"/>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899" w:type="pct"/>
                  <w:shd w:val="clear" w:color="auto" w:fill="auto"/>
                  <w:vAlign w:val="top"/>
                </w:tcPr>
                <w:p w14:paraId="42ABB636">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w:t>
                  </w:r>
                </w:p>
              </w:tc>
            </w:tr>
            <w:tr w14:paraId="1E64AA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6" w:type="pct"/>
                  <w:vMerge w:val="restart"/>
                  <w:shd w:val="clear" w:color="auto" w:fill="auto"/>
                  <w:noWrap/>
                  <w:vAlign w:val="center"/>
                </w:tcPr>
                <w:p w14:paraId="60353711">
                  <w:pPr>
                    <w:widowControl/>
                    <w:wordWrap w:val="0"/>
                    <w:spacing w:line="360" w:lineRule="exact"/>
                    <w:jc w:val="center"/>
                    <w:rPr>
                      <w:rFonts w:ascii="Times New Roman" w:hAnsi="Times New Roman" w:eastAsia="宋体" w:cs="Times New Roman"/>
                      <w:sz w:val="21"/>
                      <w:szCs w:val="21"/>
                      <w:lang w:val="en-US" w:eastAsia="zh-CN" w:bidi="ar-SA"/>
                    </w:rPr>
                  </w:pPr>
                  <w:r>
                    <w:rPr>
                      <w:rFonts w:hint="eastAsia"/>
                      <w:sz w:val="21"/>
                      <w:szCs w:val="21"/>
                      <w:lang w:val="en-US" w:eastAsia="zh-CN"/>
                    </w:rPr>
                    <w:t>PET留观</w:t>
                  </w:r>
                  <w:r>
                    <w:rPr>
                      <w:sz w:val="21"/>
                      <w:szCs w:val="21"/>
                    </w:rPr>
                    <w:t>室</w:t>
                  </w:r>
                </w:p>
              </w:tc>
              <w:tc>
                <w:tcPr>
                  <w:tcW w:w="1398" w:type="pct"/>
                  <w:shd w:val="clear" w:color="auto" w:fill="auto"/>
                  <w:noWrap/>
                  <w:vAlign w:val="center"/>
                </w:tcPr>
                <w:p w14:paraId="213FCB27">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病人隔离铅屏风</w:t>
                  </w:r>
                </w:p>
              </w:tc>
              <w:tc>
                <w:tcPr>
                  <w:tcW w:w="938" w:type="pct"/>
                  <w:shd w:val="clear" w:color="auto" w:fill="auto"/>
                  <w:noWrap/>
                  <w:vAlign w:val="center"/>
                </w:tcPr>
                <w:p w14:paraId="70EE11BA">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10</w:t>
                  </w:r>
                </w:p>
              </w:tc>
              <w:tc>
                <w:tcPr>
                  <w:tcW w:w="496" w:type="pct"/>
                  <w:shd w:val="clear" w:color="auto" w:fill="auto"/>
                  <w:vAlign w:val="center"/>
                </w:tcPr>
                <w:p w14:paraId="488EFB86">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899" w:type="pct"/>
                  <w:shd w:val="clear" w:color="auto" w:fill="auto"/>
                  <w:vAlign w:val="top"/>
                </w:tcPr>
                <w:p w14:paraId="4FC7B7A4">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eastAsia="zh-CN" w:bidi="ar"/>
                    </w:rPr>
                    <w:t>/</w:t>
                  </w:r>
                </w:p>
              </w:tc>
            </w:tr>
            <w:tr w14:paraId="71E3EB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DA1D12E">
                  <w:pPr>
                    <w:widowControl/>
                    <w:wordWrap w:val="0"/>
                    <w:spacing w:line="360" w:lineRule="exact"/>
                    <w:jc w:val="center"/>
                    <w:rPr>
                      <w:sz w:val="21"/>
                      <w:szCs w:val="21"/>
                    </w:rPr>
                  </w:pPr>
                </w:p>
              </w:tc>
              <w:tc>
                <w:tcPr>
                  <w:tcW w:w="1398" w:type="pct"/>
                  <w:shd w:val="clear" w:color="auto" w:fill="auto"/>
                  <w:noWrap/>
                  <w:vAlign w:val="center"/>
                </w:tcPr>
                <w:p w14:paraId="23E65F75">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53F7CD50">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79DC1BE6">
                  <w:pPr>
                    <w:widowControl/>
                    <w:wordWrap w:val="0"/>
                    <w:spacing w:line="360" w:lineRule="exact"/>
                    <w:jc w:val="center"/>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899" w:type="pct"/>
                  <w:shd w:val="clear" w:color="auto" w:fill="auto"/>
                  <w:vAlign w:val="top"/>
                </w:tcPr>
                <w:p w14:paraId="0711C7C6">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w:t>
                  </w:r>
                </w:p>
              </w:tc>
            </w:tr>
            <w:tr w14:paraId="7392F9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5C494413">
                  <w:pPr>
                    <w:widowControl/>
                    <w:wordWrap w:val="0"/>
                    <w:spacing w:line="360" w:lineRule="exact"/>
                    <w:jc w:val="center"/>
                    <w:rPr>
                      <w:sz w:val="21"/>
                      <w:szCs w:val="21"/>
                    </w:rPr>
                  </w:pPr>
                </w:p>
              </w:tc>
              <w:tc>
                <w:tcPr>
                  <w:tcW w:w="1398" w:type="pct"/>
                  <w:shd w:val="clear" w:color="auto" w:fill="auto"/>
                  <w:noWrap/>
                  <w:vAlign w:val="center"/>
                </w:tcPr>
                <w:p w14:paraId="5DC853BD">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放射性固废收集容器</w:t>
                  </w:r>
                </w:p>
              </w:tc>
              <w:tc>
                <w:tcPr>
                  <w:tcW w:w="938" w:type="pct"/>
                  <w:shd w:val="clear" w:color="auto" w:fill="auto"/>
                  <w:noWrap/>
                  <w:vAlign w:val="center"/>
                </w:tcPr>
                <w:p w14:paraId="5096319A">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10</w:t>
                  </w:r>
                </w:p>
              </w:tc>
              <w:tc>
                <w:tcPr>
                  <w:tcW w:w="496" w:type="pct"/>
                  <w:shd w:val="clear" w:color="auto" w:fill="auto"/>
                  <w:vAlign w:val="center"/>
                </w:tcPr>
                <w:p w14:paraId="1C81968E">
                  <w:pPr>
                    <w:widowControl/>
                    <w:wordWrap w:val="0"/>
                    <w:spacing w:line="360" w:lineRule="exact"/>
                    <w:jc w:val="center"/>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899" w:type="pct"/>
                  <w:shd w:val="clear" w:color="auto" w:fill="auto"/>
                  <w:vAlign w:val="top"/>
                </w:tcPr>
                <w:p w14:paraId="53140DF8">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w:t>
                  </w:r>
                </w:p>
              </w:tc>
            </w:tr>
            <w:tr w14:paraId="08A05E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shd w:val="clear" w:color="auto" w:fill="auto"/>
                  <w:noWrap/>
                  <w:vAlign w:val="center"/>
                </w:tcPr>
                <w:p w14:paraId="28B2EF17">
                  <w:pPr>
                    <w:widowControl/>
                    <w:wordWrap w:val="0"/>
                    <w:spacing w:line="360" w:lineRule="exact"/>
                    <w:jc w:val="center"/>
                    <w:rPr>
                      <w:rFonts w:ascii="Times New Roman" w:hAnsi="Times New Roman" w:eastAsia="宋体" w:cs="Times New Roman"/>
                      <w:sz w:val="21"/>
                      <w:szCs w:val="21"/>
                      <w:lang w:val="en-US" w:eastAsia="zh-CN" w:bidi="ar-SA"/>
                    </w:rPr>
                  </w:pPr>
                  <w:r>
                    <w:rPr>
                      <w:rFonts w:hint="eastAsia"/>
                      <w:sz w:val="21"/>
                      <w:szCs w:val="21"/>
                      <w:lang w:val="en-US" w:eastAsia="zh-CN"/>
                    </w:rPr>
                    <w:t>ECT留观</w:t>
                  </w:r>
                  <w:r>
                    <w:rPr>
                      <w:sz w:val="21"/>
                      <w:szCs w:val="21"/>
                    </w:rPr>
                    <w:t>室</w:t>
                  </w:r>
                </w:p>
              </w:tc>
              <w:tc>
                <w:tcPr>
                  <w:tcW w:w="1398" w:type="pct"/>
                  <w:shd w:val="clear" w:color="auto" w:fill="auto"/>
                  <w:noWrap/>
                  <w:vAlign w:val="center"/>
                </w:tcPr>
                <w:p w14:paraId="51EF4176">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病人隔离铅屏风</w:t>
                  </w:r>
                </w:p>
              </w:tc>
              <w:tc>
                <w:tcPr>
                  <w:tcW w:w="938" w:type="pct"/>
                  <w:shd w:val="clear" w:color="auto" w:fill="auto"/>
                  <w:noWrap/>
                  <w:vAlign w:val="center"/>
                </w:tcPr>
                <w:p w14:paraId="0F30D32E">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3</w:t>
                  </w:r>
                </w:p>
              </w:tc>
              <w:tc>
                <w:tcPr>
                  <w:tcW w:w="496" w:type="pct"/>
                  <w:shd w:val="clear" w:color="auto" w:fill="auto"/>
                  <w:vAlign w:val="center"/>
                </w:tcPr>
                <w:p w14:paraId="05C0E42A">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33293629">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1021E1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3BFE9905">
                  <w:pPr>
                    <w:widowControl/>
                    <w:wordWrap w:val="0"/>
                    <w:spacing w:line="360" w:lineRule="exact"/>
                    <w:jc w:val="center"/>
                    <w:rPr>
                      <w:sz w:val="21"/>
                      <w:szCs w:val="21"/>
                    </w:rPr>
                  </w:pPr>
                </w:p>
              </w:tc>
              <w:tc>
                <w:tcPr>
                  <w:tcW w:w="1398" w:type="pct"/>
                  <w:shd w:val="clear" w:color="auto" w:fill="auto"/>
                  <w:noWrap/>
                  <w:vAlign w:val="center"/>
                </w:tcPr>
                <w:p w14:paraId="79F80CC7">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661E5932">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3ABDDFFF">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78697BFE">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6F4944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52276B58">
                  <w:pPr>
                    <w:widowControl/>
                    <w:wordWrap w:val="0"/>
                    <w:spacing w:line="360" w:lineRule="exact"/>
                    <w:jc w:val="center"/>
                    <w:rPr>
                      <w:sz w:val="21"/>
                      <w:szCs w:val="21"/>
                    </w:rPr>
                  </w:pPr>
                </w:p>
              </w:tc>
              <w:tc>
                <w:tcPr>
                  <w:tcW w:w="1398" w:type="pct"/>
                  <w:shd w:val="clear" w:color="auto" w:fill="auto"/>
                  <w:noWrap/>
                  <w:vAlign w:val="center"/>
                </w:tcPr>
                <w:p w14:paraId="4F45A17F">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放射性固废收集容器</w:t>
                  </w:r>
                </w:p>
              </w:tc>
              <w:tc>
                <w:tcPr>
                  <w:tcW w:w="938" w:type="pct"/>
                  <w:shd w:val="clear" w:color="auto" w:fill="auto"/>
                  <w:noWrap/>
                  <w:vAlign w:val="center"/>
                </w:tcPr>
                <w:p w14:paraId="721CB02C">
                  <w:pPr>
                    <w:widowControl/>
                    <w:wordWrap w:val="0"/>
                    <w:spacing w:line="360" w:lineRule="exact"/>
                    <w:jc w:val="center"/>
                    <w:rPr>
                      <w:rFonts w:hint="eastAsia" w:ascii="Times New Roman" w:hAnsi="Times New Roman" w:eastAsia="宋体" w:cs="Times New Roman"/>
                      <w:sz w:val="21"/>
                      <w:szCs w:val="21"/>
                      <w:lang w:val="en-US" w:eastAsia="zh-CN" w:bidi="ar"/>
                    </w:rPr>
                  </w:pPr>
                  <w:r>
                    <w:rPr>
                      <w:rFonts w:hint="eastAsia"/>
                      <w:sz w:val="21"/>
                      <w:szCs w:val="21"/>
                      <w:lang w:val="en-US" w:eastAsia="zh-CN" w:bidi="ar"/>
                    </w:rPr>
                    <w:t>5</w:t>
                  </w:r>
                </w:p>
              </w:tc>
              <w:tc>
                <w:tcPr>
                  <w:tcW w:w="496" w:type="pct"/>
                  <w:shd w:val="clear" w:color="auto" w:fill="auto"/>
                  <w:vAlign w:val="center"/>
                </w:tcPr>
                <w:p w14:paraId="011A2CC7">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115D56D7">
                  <w:pPr>
                    <w:widowControl/>
                    <w:wordWrap w:val="0"/>
                    <w:spacing w:line="360" w:lineRule="exact"/>
                    <w:jc w:val="center"/>
                    <w:rPr>
                      <w:rFonts w:ascii="Times New Roman" w:hAnsi="Times New Roman" w:eastAsia="宋体" w:cs="Times New Roman"/>
                      <w:sz w:val="21"/>
                      <w:szCs w:val="21"/>
                      <w:lang w:val="en-US" w:eastAsia="zh-CN" w:bidi="ar"/>
                    </w:rPr>
                  </w:pPr>
                </w:p>
              </w:tc>
            </w:tr>
            <w:tr w14:paraId="04D109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327EBDD0">
                  <w:pPr>
                    <w:widowControl/>
                    <w:wordWrap w:val="0"/>
                    <w:spacing w:line="360" w:lineRule="exact"/>
                    <w:jc w:val="center"/>
                    <w:rPr>
                      <w:rFonts w:hint="eastAsia" w:eastAsia="宋体"/>
                      <w:sz w:val="21"/>
                      <w:szCs w:val="21"/>
                      <w:lang w:val="en-US" w:eastAsia="zh-CN"/>
                    </w:rPr>
                  </w:pPr>
                  <w:r>
                    <w:rPr>
                      <w:rFonts w:hint="eastAsia"/>
                      <w:sz w:val="21"/>
                      <w:szCs w:val="21"/>
                      <w:lang w:val="en-US" w:eastAsia="zh-CN"/>
                    </w:rPr>
                    <w:t>抢救室</w:t>
                  </w:r>
                </w:p>
              </w:tc>
              <w:tc>
                <w:tcPr>
                  <w:tcW w:w="1398" w:type="pct"/>
                  <w:shd w:val="clear" w:color="auto" w:fill="auto"/>
                  <w:noWrap/>
                  <w:vAlign w:val="center"/>
                </w:tcPr>
                <w:p w14:paraId="630EB1CD">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275F8155">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7A28617A">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1EFC840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38CC0C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358164B6">
                  <w:pPr>
                    <w:widowControl/>
                    <w:wordWrap w:val="0"/>
                    <w:spacing w:line="360" w:lineRule="exact"/>
                    <w:jc w:val="center"/>
                    <w:rPr>
                      <w:sz w:val="21"/>
                      <w:szCs w:val="21"/>
                    </w:rPr>
                  </w:pPr>
                </w:p>
              </w:tc>
              <w:tc>
                <w:tcPr>
                  <w:tcW w:w="1398" w:type="pct"/>
                  <w:shd w:val="clear" w:color="auto" w:fill="auto"/>
                  <w:noWrap/>
                  <w:vAlign w:val="center"/>
                </w:tcPr>
                <w:p w14:paraId="047056F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放射性固废收集容器</w:t>
                  </w:r>
                </w:p>
              </w:tc>
              <w:tc>
                <w:tcPr>
                  <w:tcW w:w="938" w:type="pct"/>
                  <w:shd w:val="clear" w:color="auto" w:fill="auto"/>
                  <w:noWrap/>
                  <w:vAlign w:val="center"/>
                </w:tcPr>
                <w:p w14:paraId="56437F40">
                  <w:pPr>
                    <w:widowControl/>
                    <w:wordWrap w:val="0"/>
                    <w:spacing w:line="360" w:lineRule="exact"/>
                    <w:jc w:val="center"/>
                    <w:rPr>
                      <w:rFonts w:hint="default" w:ascii="Times New Roman" w:hAnsi="Times New Roman" w:eastAsia="宋体" w:cs="Times New Roman"/>
                      <w:sz w:val="21"/>
                      <w:szCs w:val="21"/>
                      <w:lang w:val="en-US" w:eastAsia="zh-CN" w:bidi="ar"/>
                    </w:rPr>
                  </w:pPr>
                  <w:r>
                    <w:rPr>
                      <w:rFonts w:hint="eastAsia"/>
                      <w:sz w:val="21"/>
                      <w:szCs w:val="21"/>
                      <w:lang w:val="en-US" w:eastAsia="zh-CN" w:bidi="ar"/>
                    </w:rPr>
                    <w:t>10</w:t>
                  </w:r>
                </w:p>
              </w:tc>
              <w:tc>
                <w:tcPr>
                  <w:tcW w:w="496" w:type="pct"/>
                  <w:shd w:val="clear" w:color="auto" w:fill="auto"/>
                  <w:vAlign w:val="center"/>
                </w:tcPr>
                <w:p w14:paraId="25EDBF7F">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29C4E78F">
                  <w:pPr>
                    <w:widowControl/>
                    <w:wordWrap w:val="0"/>
                    <w:spacing w:line="360" w:lineRule="exact"/>
                    <w:jc w:val="center"/>
                    <w:rPr>
                      <w:rFonts w:ascii="Times New Roman" w:hAnsi="Times New Roman" w:eastAsia="宋体" w:cs="Times New Roman"/>
                      <w:sz w:val="21"/>
                      <w:szCs w:val="21"/>
                      <w:lang w:val="en-US" w:eastAsia="zh-CN" w:bidi="ar"/>
                    </w:rPr>
                  </w:pPr>
                </w:p>
              </w:tc>
            </w:tr>
            <w:tr w14:paraId="722EFC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049F157F">
                  <w:pPr>
                    <w:widowControl/>
                    <w:wordWrap w:val="0"/>
                    <w:spacing w:line="360" w:lineRule="exact"/>
                    <w:jc w:val="center"/>
                    <w:rPr>
                      <w:rFonts w:hint="default" w:eastAsia="宋体"/>
                      <w:sz w:val="21"/>
                      <w:szCs w:val="21"/>
                      <w:lang w:val="en-US" w:eastAsia="zh-CN"/>
                    </w:rPr>
                  </w:pPr>
                  <w:r>
                    <w:rPr>
                      <w:rFonts w:hint="eastAsia"/>
                      <w:sz w:val="21"/>
                      <w:szCs w:val="21"/>
                      <w:lang w:val="en-US" w:eastAsia="zh-CN"/>
                    </w:rPr>
                    <w:t>分装室2#</w:t>
                  </w:r>
                </w:p>
              </w:tc>
              <w:tc>
                <w:tcPr>
                  <w:tcW w:w="1398" w:type="pct"/>
                  <w:noWrap/>
                  <w:vAlign w:val="center"/>
                </w:tcPr>
                <w:p w14:paraId="18E97967">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Sr分药手套箱</w:t>
                  </w:r>
                </w:p>
              </w:tc>
              <w:tc>
                <w:tcPr>
                  <w:tcW w:w="938" w:type="pct"/>
                  <w:noWrap/>
                  <w:vAlign w:val="center"/>
                </w:tcPr>
                <w:p w14:paraId="56337ED8">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10</w:t>
                  </w:r>
                </w:p>
              </w:tc>
              <w:tc>
                <w:tcPr>
                  <w:tcW w:w="496" w:type="pct"/>
                  <w:vAlign w:val="center"/>
                </w:tcPr>
                <w:p w14:paraId="60FFAD49">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1套</w:t>
                  </w:r>
                </w:p>
              </w:tc>
              <w:tc>
                <w:tcPr>
                  <w:tcW w:w="899" w:type="pct"/>
                </w:tcPr>
                <w:p w14:paraId="1C32ED6C">
                  <w:pPr>
                    <w:widowControl/>
                    <w:wordWrap w:val="0"/>
                    <w:spacing w:line="360" w:lineRule="exact"/>
                    <w:jc w:val="center"/>
                    <w:rPr>
                      <w:sz w:val="21"/>
                      <w:szCs w:val="21"/>
                      <w:lang w:bidi="ar"/>
                    </w:rPr>
                  </w:pPr>
                </w:p>
              </w:tc>
            </w:tr>
            <w:tr w14:paraId="320B96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266" w:type="pct"/>
                  <w:vMerge w:val="continue"/>
                  <w:noWrap/>
                  <w:vAlign w:val="center"/>
                </w:tcPr>
                <w:p w14:paraId="7324E919">
                  <w:pPr>
                    <w:widowControl/>
                    <w:wordWrap w:val="0"/>
                    <w:spacing w:line="360" w:lineRule="exact"/>
                    <w:jc w:val="center"/>
                    <w:rPr>
                      <w:sz w:val="21"/>
                      <w:szCs w:val="21"/>
                    </w:rPr>
                  </w:pPr>
                </w:p>
              </w:tc>
              <w:tc>
                <w:tcPr>
                  <w:tcW w:w="1398" w:type="pct"/>
                  <w:shd w:val="clear" w:color="auto" w:fill="auto"/>
                  <w:noWrap/>
                  <w:vAlign w:val="center"/>
                </w:tcPr>
                <w:p w14:paraId="1F6E0408">
                  <w:pPr>
                    <w:spacing w:line="360" w:lineRule="exact"/>
                    <w:jc w:val="center"/>
                    <w:rPr>
                      <w:rFonts w:hint="default" w:ascii="Times New Roman" w:hAnsi="Times New Roman" w:eastAsia="宋体" w:cs="Times New Roman"/>
                      <w:sz w:val="21"/>
                      <w:szCs w:val="21"/>
                      <w:lang w:val="en-US" w:eastAsia="zh-CN" w:bidi="ar-SA"/>
                    </w:rPr>
                  </w:pPr>
                  <w:r>
                    <w:rPr>
                      <w:sz w:val="21"/>
                      <w:szCs w:val="21"/>
                    </w:rPr>
                    <w:t>自动分药</w:t>
                  </w:r>
                  <w:r>
                    <w:rPr>
                      <w:rFonts w:hint="eastAsia"/>
                      <w:sz w:val="21"/>
                      <w:szCs w:val="21"/>
                      <w:lang w:val="en-US" w:eastAsia="zh-CN"/>
                    </w:rPr>
                    <w:t>手套箱</w:t>
                  </w:r>
                </w:p>
              </w:tc>
              <w:tc>
                <w:tcPr>
                  <w:tcW w:w="938" w:type="pct"/>
                  <w:shd w:val="clear" w:color="auto" w:fill="auto"/>
                  <w:noWrap/>
                  <w:vAlign w:val="center"/>
                </w:tcPr>
                <w:p w14:paraId="683C9774">
                  <w:pPr>
                    <w:spacing w:line="360" w:lineRule="exact"/>
                    <w:jc w:val="center"/>
                    <w:rPr>
                      <w:rFonts w:ascii="Times New Roman" w:hAnsi="Times New Roman" w:eastAsia="宋体" w:cs="Times New Roman"/>
                      <w:sz w:val="21"/>
                      <w:szCs w:val="21"/>
                      <w:lang w:val="en-US" w:eastAsia="zh-CN" w:bidi="ar-SA"/>
                    </w:rPr>
                  </w:pPr>
                  <w:r>
                    <w:rPr>
                      <w:sz w:val="21"/>
                      <w:szCs w:val="21"/>
                    </w:rPr>
                    <w:t>40</w:t>
                  </w:r>
                </w:p>
              </w:tc>
              <w:tc>
                <w:tcPr>
                  <w:tcW w:w="496" w:type="pct"/>
                  <w:shd w:val="clear" w:color="auto" w:fill="auto"/>
                  <w:vAlign w:val="center"/>
                </w:tcPr>
                <w:p w14:paraId="01E6741A">
                  <w:pPr>
                    <w:spacing w:line="360" w:lineRule="exact"/>
                    <w:jc w:val="center"/>
                    <w:rPr>
                      <w:rFonts w:ascii="Times New Roman" w:hAnsi="Times New Roman" w:eastAsia="宋体" w:cs="Times New Roman"/>
                      <w:sz w:val="21"/>
                      <w:szCs w:val="21"/>
                      <w:lang w:val="en-US" w:eastAsia="zh-CN" w:bidi="ar-SA"/>
                    </w:rPr>
                  </w:pPr>
                  <w:r>
                    <w:rPr>
                      <w:sz w:val="21"/>
                      <w:szCs w:val="21"/>
                    </w:rPr>
                    <w:t>1套</w:t>
                  </w:r>
                </w:p>
              </w:tc>
              <w:tc>
                <w:tcPr>
                  <w:tcW w:w="899" w:type="pct"/>
                </w:tcPr>
                <w:p w14:paraId="173259DC">
                  <w:pPr>
                    <w:widowControl/>
                    <w:wordWrap w:val="0"/>
                    <w:spacing w:line="360" w:lineRule="exact"/>
                    <w:jc w:val="center"/>
                    <w:rPr>
                      <w:sz w:val="21"/>
                      <w:szCs w:val="21"/>
                      <w:lang w:bidi="ar"/>
                    </w:rPr>
                  </w:pPr>
                </w:p>
              </w:tc>
            </w:tr>
            <w:tr w14:paraId="46E712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39B49FBF">
                  <w:pPr>
                    <w:widowControl/>
                    <w:wordWrap w:val="0"/>
                    <w:spacing w:line="360" w:lineRule="exact"/>
                    <w:jc w:val="center"/>
                    <w:rPr>
                      <w:sz w:val="21"/>
                      <w:szCs w:val="21"/>
                    </w:rPr>
                  </w:pPr>
                </w:p>
              </w:tc>
              <w:tc>
                <w:tcPr>
                  <w:tcW w:w="1398" w:type="pct"/>
                  <w:shd w:val="clear" w:color="auto" w:fill="auto"/>
                  <w:noWrap/>
                  <w:vAlign w:val="center"/>
                </w:tcPr>
                <w:p w14:paraId="38C44C3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放射性固废收集容器</w:t>
                  </w:r>
                </w:p>
              </w:tc>
              <w:tc>
                <w:tcPr>
                  <w:tcW w:w="938" w:type="pct"/>
                  <w:shd w:val="clear" w:color="auto" w:fill="auto"/>
                  <w:noWrap/>
                  <w:vAlign w:val="center"/>
                </w:tcPr>
                <w:p w14:paraId="40F63049">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10</w:t>
                  </w:r>
                </w:p>
              </w:tc>
              <w:tc>
                <w:tcPr>
                  <w:tcW w:w="496" w:type="pct"/>
                  <w:shd w:val="clear" w:color="auto" w:fill="auto"/>
                  <w:vAlign w:val="center"/>
                </w:tcPr>
                <w:p w14:paraId="3EEECF0E">
                  <w:pPr>
                    <w:widowControl/>
                    <w:wordWrap w:val="0"/>
                    <w:spacing w:line="360" w:lineRule="exact"/>
                    <w:jc w:val="center"/>
                    <w:rPr>
                      <w:rFonts w:ascii="Times New Roman" w:hAnsi="Times New Roman" w:eastAsia="宋体" w:cs="Times New Roman"/>
                      <w:sz w:val="21"/>
                      <w:szCs w:val="21"/>
                      <w:lang w:val="en-US" w:eastAsia="zh-CN" w:bidi="ar"/>
                    </w:rPr>
                  </w:pPr>
                  <w:r>
                    <w:rPr>
                      <w:rFonts w:hint="eastAsia"/>
                      <w:sz w:val="21"/>
                      <w:szCs w:val="21"/>
                      <w:lang w:val="en-US" w:eastAsia="zh-CN" w:bidi="ar"/>
                    </w:rPr>
                    <w:t>2</w:t>
                  </w:r>
                  <w:r>
                    <w:rPr>
                      <w:sz w:val="21"/>
                      <w:szCs w:val="21"/>
                      <w:lang w:bidi="ar"/>
                    </w:rPr>
                    <w:t>个</w:t>
                  </w:r>
                </w:p>
              </w:tc>
              <w:tc>
                <w:tcPr>
                  <w:tcW w:w="899" w:type="pct"/>
                </w:tcPr>
                <w:p w14:paraId="045D588E">
                  <w:pPr>
                    <w:widowControl/>
                    <w:wordWrap w:val="0"/>
                    <w:spacing w:line="360" w:lineRule="exact"/>
                    <w:jc w:val="center"/>
                    <w:rPr>
                      <w:sz w:val="21"/>
                      <w:szCs w:val="21"/>
                      <w:lang w:bidi="ar"/>
                    </w:rPr>
                  </w:pPr>
                </w:p>
              </w:tc>
            </w:tr>
            <w:tr w14:paraId="67F2F3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1D9F4957">
                  <w:pPr>
                    <w:widowControl/>
                    <w:wordWrap w:val="0"/>
                    <w:spacing w:line="360" w:lineRule="exact"/>
                    <w:jc w:val="center"/>
                    <w:rPr>
                      <w:sz w:val="21"/>
                      <w:szCs w:val="21"/>
                    </w:rPr>
                  </w:pPr>
                </w:p>
              </w:tc>
              <w:tc>
                <w:tcPr>
                  <w:tcW w:w="1398" w:type="pct"/>
                  <w:shd w:val="clear" w:color="auto" w:fill="auto"/>
                  <w:noWrap/>
                  <w:vAlign w:val="center"/>
                </w:tcPr>
                <w:p w14:paraId="67D116B2">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固定式γ探头</w:t>
                  </w:r>
                </w:p>
              </w:tc>
              <w:tc>
                <w:tcPr>
                  <w:tcW w:w="938" w:type="pct"/>
                  <w:shd w:val="clear" w:color="auto" w:fill="auto"/>
                  <w:noWrap/>
                  <w:vAlign w:val="center"/>
                </w:tcPr>
                <w:p w14:paraId="569DD2A7">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13B737DC">
                  <w:pPr>
                    <w:widowControl/>
                    <w:wordWrap w:val="0"/>
                    <w:spacing w:line="360" w:lineRule="exact"/>
                    <w:jc w:val="center"/>
                    <w:rPr>
                      <w:rFonts w:hint="eastAsia"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3505814B">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3CA59A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39A2798D">
                  <w:pPr>
                    <w:widowControl/>
                    <w:wordWrap w:val="0"/>
                    <w:spacing w:line="360" w:lineRule="exact"/>
                    <w:jc w:val="center"/>
                    <w:rPr>
                      <w:sz w:val="21"/>
                      <w:szCs w:val="21"/>
                    </w:rPr>
                  </w:pPr>
                </w:p>
              </w:tc>
              <w:tc>
                <w:tcPr>
                  <w:tcW w:w="1398" w:type="pct"/>
                  <w:shd w:val="clear" w:color="auto" w:fill="auto"/>
                  <w:noWrap/>
                  <w:vAlign w:val="center"/>
                </w:tcPr>
                <w:p w14:paraId="4F52F1C4">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药物转移铅盒</w:t>
                  </w:r>
                </w:p>
              </w:tc>
              <w:tc>
                <w:tcPr>
                  <w:tcW w:w="938" w:type="pct"/>
                  <w:shd w:val="clear" w:color="auto" w:fill="auto"/>
                  <w:noWrap/>
                  <w:vAlign w:val="center"/>
                </w:tcPr>
                <w:p w14:paraId="1393DE82">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10</w:t>
                  </w:r>
                </w:p>
              </w:tc>
              <w:tc>
                <w:tcPr>
                  <w:tcW w:w="496" w:type="pct"/>
                  <w:shd w:val="clear" w:color="auto" w:fill="auto"/>
                  <w:vAlign w:val="center"/>
                </w:tcPr>
                <w:p w14:paraId="6C2F1996">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2个</w:t>
                  </w:r>
                </w:p>
              </w:tc>
              <w:tc>
                <w:tcPr>
                  <w:tcW w:w="899" w:type="pct"/>
                </w:tcPr>
                <w:p w14:paraId="3D0E0A6B">
                  <w:pPr>
                    <w:widowControl/>
                    <w:wordWrap w:val="0"/>
                    <w:spacing w:line="360" w:lineRule="exact"/>
                    <w:jc w:val="center"/>
                    <w:rPr>
                      <w:sz w:val="21"/>
                      <w:szCs w:val="21"/>
                      <w:lang w:bidi="ar"/>
                    </w:rPr>
                  </w:pPr>
                </w:p>
              </w:tc>
            </w:tr>
            <w:tr w14:paraId="30A0B7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C6A74D2">
                  <w:pPr>
                    <w:widowControl/>
                    <w:wordWrap w:val="0"/>
                    <w:spacing w:line="360" w:lineRule="exact"/>
                    <w:jc w:val="center"/>
                    <w:rPr>
                      <w:sz w:val="21"/>
                      <w:szCs w:val="21"/>
                    </w:rPr>
                  </w:pPr>
                </w:p>
              </w:tc>
              <w:tc>
                <w:tcPr>
                  <w:tcW w:w="1398" w:type="pct"/>
                  <w:shd w:val="clear" w:color="auto" w:fill="auto"/>
                  <w:noWrap/>
                  <w:vAlign w:val="center"/>
                </w:tcPr>
                <w:p w14:paraId="26541ED3">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注射器铅套</w:t>
                  </w:r>
                </w:p>
              </w:tc>
              <w:tc>
                <w:tcPr>
                  <w:tcW w:w="938" w:type="pct"/>
                  <w:shd w:val="clear" w:color="auto" w:fill="auto"/>
                  <w:noWrap/>
                  <w:vAlign w:val="center"/>
                </w:tcPr>
                <w:p w14:paraId="129E0FFE">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10</w:t>
                  </w:r>
                </w:p>
              </w:tc>
              <w:tc>
                <w:tcPr>
                  <w:tcW w:w="496" w:type="pct"/>
                  <w:shd w:val="clear" w:color="auto" w:fill="auto"/>
                  <w:vAlign w:val="center"/>
                </w:tcPr>
                <w:p w14:paraId="6686ADC3">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2个</w:t>
                  </w:r>
                </w:p>
              </w:tc>
              <w:tc>
                <w:tcPr>
                  <w:tcW w:w="899" w:type="pct"/>
                </w:tcPr>
                <w:p w14:paraId="0A28F800">
                  <w:pPr>
                    <w:widowControl/>
                    <w:wordWrap w:val="0"/>
                    <w:spacing w:line="360" w:lineRule="exact"/>
                    <w:jc w:val="center"/>
                    <w:rPr>
                      <w:sz w:val="21"/>
                      <w:szCs w:val="21"/>
                      <w:lang w:bidi="ar"/>
                    </w:rPr>
                  </w:pPr>
                </w:p>
              </w:tc>
            </w:tr>
            <w:tr w14:paraId="4C7A90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1B48047B">
                  <w:pPr>
                    <w:widowControl/>
                    <w:wordWrap w:val="0"/>
                    <w:spacing w:line="360" w:lineRule="exact"/>
                    <w:jc w:val="center"/>
                    <w:rPr>
                      <w:sz w:val="21"/>
                      <w:szCs w:val="21"/>
                    </w:rPr>
                  </w:pPr>
                </w:p>
              </w:tc>
              <w:tc>
                <w:tcPr>
                  <w:tcW w:w="1398" w:type="pct"/>
                  <w:shd w:val="clear" w:color="auto" w:fill="auto"/>
                  <w:noWrap/>
                  <w:vAlign w:val="center"/>
                </w:tcPr>
                <w:p w14:paraId="793B62A1">
                  <w:pPr>
                    <w:widowControl/>
                    <w:wordWrap w:val="0"/>
                    <w:spacing w:line="360" w:lineRule="exact"/>
                    <w:jc w:val="center"/>
                    <w:rPr>
                      <w:rFonts w:hint="default" w:ascii="Times New Roman" w:hAnsi="Times New Roman" w:eastAsia="宋体" w:cs="Times New Roman"/>
                      <w:sz w:val="21"/>
                      <w:szCs w:val="21"/>
                      <w:lang w:val="en-US" w:eastAsia="zh-CN" w:bidi="ar"/>
                    </w:rPr>
                  </w:pPr>
                  <w:r>
                    <w:rPr>
                      <w:rFonts w:hint="eastAsia"/>
                      <w:sz w:val="21"/>
                      <w:szCs w:val="21"/>
                      <w:lang w:val="en-US" w:eastAsia="zh-CN" w:bidi="ar"/>
                    </w:rPr>
                    <w:t>Sr-89注射窗</w:t>
                  </w:r>
                </w:p>
              </w:tc>
              <w:tc>
                <w:tcPr>
                  <w:tcW w:w="938" w:type="pct"/>
                  <w:shd w:val="clear" w:color="auto" w:fill="auto"/>
                  <w:noWrap/>
                  <w:vAlign w:val="center"/>
                </w:tcPr>
                <w:p w14:paraId="34DEB5E6">
                  <w:pPr>
                    <w:widowControl/>
                    <w:wordWrap w:val="0"/>
                    <w:spacing w:line="360" w:lineRule="exact"/>
                    <w:jc w:val="center"/>
                    <w:rPr>
                      <w:rFonts w:hint="default" w:ascii="Times New Roman" w:hAnsi="Times New Roman" w:eastAsia="宋体" w:cs="Times New Roman"/>
                      <w:sz w:val="21"/>
                      <w:szCs w:val="21"/>
                      <w:lang w:val="en-US" w:eastAsia="zh-CN" w:bidi="ar"/>
                    </w:rPr>
                  </w:pPr>
                  <w:r>
                    <w:rPr>
                      <w:rFonts w:hint="eastAsia"/>
                      <w:sz w:val="21"/>
                      <w:szCs w:val="21"/>
                      <w:lang w:val="en-US" w:eastAsia="zh-CN" w:bidi="ar"/>
                    </w:rPr>
                    <w:t>10</w:t>
                  </w:r>
                </w:p>
              </w:tc>
              <w:tc>
                <w:tcPr>
                  <w:tcW w:w="496" w:type="pct"/>
                  <w:shd w:val="clear" w:color="auto" w:fill="auto"/>
                  <w:vAlign w:val="center"/>
                </w:tcPr>
                <w:p w14:paraId="0E2BFBED">
                  <w:pPr>
                    <w:widowControl/>
                    <w:wordWrap w:val="0"/>
                    <w:spacing w:line="360" w:lineRule="exact"/>
                    <w:jc w:val="center"/>
                    <w:rPr>
                      <w:rFonts w:hint="default" w:ascii="Times New Roman" w:hAnsi="Times New Roman" w:eastAsia="宋体" w:cs="Times New Roman"/>
                      <w:sz w:val="21"/>
                      <w:szCs w:val="21"/>
                      <w:lang w:val="en-US" w:eastAsia="zh-CN" w:bidi="ar"/>
                    </w:rPr>
                  </w:pPr>
                  <w:r>
                    <w:rPr>
                      <w:rFonts w:hint="eastAsia"/>
                      <w:sz w:val="21"/>
                      <w:szCs w:val="21"/>
                      <w:lang w:val="en-US" w:eastAsia="zh-CN" w:bidi="ar"/>
                    </w:rPr>
                    <w:t>1个</w:t>
                  </w:r>
                </w:p>
              </w:tc>
              <w:tc>
                <w:tcPr>
                  <w:tcW w:w="899" w:type="pct"/>
                </w:tcPr>
                <w:p w14:paraId="3B2E7C73">
                  <w:pPr>
                    <w:widowControl/>
                    <w:wordWrap w:val="0"/>
                    <w:spacing w:line="360" w:lineRule="exact"/>
                    <w:jc w:val="center"/>
                    <w:rPr>
                      <w:sz w:val="21"/>
                      <w:szCs w:val="21"/>
                      <w:lang w:bidi="ar"/>
                    </w:rPr>
                  </w:pPr>
                </w:p>
              </w:tc>
            </w:tr>
            <w:tr w14:paraId="156445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shd w:val="clear" w:color="auto" w:fill="auto"/>
                  <w:noWrap/>
                  <w:vAlign w:val="center"/>
                </w:tcPr>
                <w:p w14:paraId="7B5AE615">
                  <w:pPr>
                    <w:widowControl/>
                    <w:wordWrap w:val="0"/>
                    <w:spacing w:line="360" w:lineRule="exact"/>
                    <w:jc w:val="center"/>
                    <w:rPr>
                      <w:rFonts w:hint="default" w:ascii="Times New Roman" w:hAnsi="Times New Roman" w:eastAsia="宋体" w:cs="Times New Roman"/>
                      <w:sz w:val="21"/>
                      <w:szCs w:val="21"/>
                      <w:lang w:val="en-US" w:eastAsia="zh-CN" w:bidi="ar-SA"/>
                    </w:rPr>
                  </w:pPr>
                  <w:r>
                    <w:rPr>
                      <w:sz w:val="21"/>
                      <w:szCs w:val="21"/>
                    </w:rPr>
                    <w:t>卫生通过间</w:t>
                  </w:r>
                  <w:r>
                    <w:rPr>
                      <w:rFonts w:hint="eastAsia"/>
                      <w:sz w:val="21"/>
                      <w:szCs w:val="21"/>
                      <w:lang w:val="en-US" w:eastAsia="zh-CN"/>
                    </w:rPr>
                    <w:t>2#</w:t>
                  </w:r>
                </w:p>
              </w:tc>
              <w:tc>
                <w:tcPr>
                  <w:tcW w:w="1398" w:type="pct"/>
                  <w:shd w:val="clear" w:color="auto" w:fill="auto"/>
                  <w:noWrap/>
                  <w:vAlign w:val="center"/>
                </w:tcPr>
                <w:p w14:paraId="14CDF5FB">
                  <w:pPr>
                    <w:widowControl/>
                    <w:wordWrap w:val="0"/>
                    <w:spacing w:line="360" w:lineRule="exact"/>
                    <w:jc w:val="center"/>
                    <w:rPr>
                      <w:rFonts w:hint="default" w:ascii="Times New Roman" w:hAnsi="Times New Roman" w:eastAsia="宋体" w:cs="Times New Roman"/>
                      <w:sz w:val="21"/>
                      <w:szCs w:val="21"/>
                      <w:lang w:val="en-US" w:eastAsia="zh-CN" w:bidi="ar"/>
                    </w:rPr>
                  </w:pPr>
                  <w:r>
                    <w:rPr>
                      <w:sz w:val="21"/>
                      <w:szCs w:val="21"/>
                      <w:lang w:bidi="ar"/>
                    </w:rPr>
                    <w:t>表面沾污仪</w:t>
                  </w:r>
                </w:p>
              </w:tc>
              <w:tc>
                <w:tcPr>
                  <w:tcW w:w="938" w:type="pct"/>
                  <w:shd w:val="clear" w:color="auto" w:fill="auto"/>
                  <w:noWrap/>
                  <w:vAlign w:val="center"/>
                </w:tcPr>
                <w:p w14:paraId="1BE14FE5">
                  <w:pPr>
                    <w:widowControl/>
                    <w:wordWrap w:val="0"/>
                    <w:spacing w:line="360" w:lineRule="exact"/>
                    <w:jc w:val="center"/>
                    <w:rPr>
                      <w:rFonts w:hint="default"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1E57A8AE">
                  <w:pPr>
                    <w:widowControl/>
                    <w:wordWrap w:val="0"/>
                    <w:spacing w:line="360" w:lineRule="exact"/>
                    <w:jc w:val="center"/>
                    <w:rPr>
                      <w:rFonts w:hint="default" w:ascii="Times New Roman" w:hAnsi="Times New Roman" w:eastAsia="宋体" w:cs="Times New Roman"/>
                      <w:sz w:val="21"/>
                      <w:szCs w:val="21"/>
                      <w:lang w:val="en-US" w:eastAsia="zh-CN" w:bidi="ar"/>
                    </w:rPr>
                  </w:pPr>
                  <w:r>
                    <w:rPr>
                      <w:sz w:val="21"/>
                      <w:szCs w:val="21"/>
                      <w:lang w:bidi="ar"/>
                    </w:rPr>
                    <w:t>1台</w:t>
                  </w:r>
                </w:p>
              </w:tc>
              <w:tc>
                <w:tcPr>
                  <w:tcW w:w="899" w:type="pct"/>
                  <w:shd w:val="clear" w:color="auto" w:fill="auto"/>
                  <w:vAlign w:val="top"/>
                </w:tcPr>
                <w:p w14:paraId="62A1391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4F0844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shd w:val="clear" w:color="auto" w:fill="auto"/>
                  <w:noWrap/>
                  <w:vAlign w:val="center"/>
                </w:tcPr>
                <w:p w14:paraId="5A9E36F4">
                  <w:pPr>
                    <w:widowControl/>
                    <w:wordWrap w:val="0"/>
                    <w:spacing w:line="360" w:lineRule="exact"/>
                    <w:jc w:val="center"/>
                    <w:rPr>
                      <w:rFonts w:hint="default" w:ascii="Times New Roman" w:hAnsi="Times New Roman" w:eastAsia="宋体" w:cs="Times New Roman"/>
                      <w:sz w:val="21"/>
                      <w:szCs w:val="21"/>
                      <w:lang w:val="en-US" w:eastAsia="zh-CN" w:bidi="ar-SA"/>
                    </w:rPr>
                  </w:pPr>
                  <w:r>
                    <w:rPr>
                      <w:sz w:val="21"/>
                      <w:szCs w:val="21"/>
                    </w:rPr>
                    <w:t>储源室</w:t>
                  </w:r>
                  <w:r>
                    <w:rPr>
                      <w:rFonts w:hint="eastAsia"/>
                      <w:sz w:val="21"/>
                      <w:szCs w:val="21"/>
                      <w:lang w:val="en-US" w:eastAsia="zh-CN"/>
                    </w:rPr>
                    <w:t>2#</w:t>
                  </w:r>
                </w:p>
              </w:tc>
              <w:tc>
                <w:tcPr>
                  <w:tcW w:w="1398" w:type="pct"/>
                  <w:shd w:val="clear" w:color="auto" w:fill="auto"/>
                  <w:noWrap/>
                  <w:vAlign w:val="center"/>
                </w:tcPr>
                <w:p w14:paraId="5CB9D317">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双人双锁保险柜</w:t>
                  </w:r>
                </w:p>
              </w:tc>
              <w:tc>
                <w:tcPr>
                  <w:tcW w:w="938" w:type="pct"/>
                  <w:shd w:val="clear" w:color="auto" w:fill="auto"/>
                  <w:noWrap/>
                  <w:vAlign w:val="center"/>
                </w:tcPr>
                <w:p w14:paraId="4BCF2DD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3BF63656">
                  <w:pPr>
                    <w:widowControl/>
                    <w:wordWrap w:val="0"/>
                    <w:spacing w:line="360" w:lineRule="exact"/>
                    <w:jc w:val="center"/>
                    <w:rPr>
                      <w:rFonts w:ascii="Times New Roman" w:hAnsi="Times New Roman" w:eastAsia="宋体" w:cs="Times New Roman"/>
                      <w:sz w:val="21"/>
                      <w:szCs w:val="21"/>
                      <w:lang w:val="en-US" w:eastAsia="zh-CN" w:bidi="ar"/>
                    </w:rPr>
                  </w:pPr>
                  <w:r>
                    <w:rPr>
                      <w:rFonts w:hint="eastAsia"/>
                      <w:sz w:val="21"/>
                      <w:szCs w:val="21"/>
                      <w:lang w:val="en-US" w:eastAsia="zh-CN" w:bidi="ar"/>
                    </w:rPr>
                    <w:t>2</w:t>
                  </w:r>
                  <w:r>
                    <w:rPr>
                      <w:sz w:val="21"/>
                      <w:szCs w:val="21"/>
                      <w:lang w:bidi="ar"/>
                    </w:rPr>
                    <w:t>个</w:t>
                  </w:r>
                </w:p>
              </w:tc>
              <w:tc>
                <w:tcPr>
                  <w:tcW w:w="899" w:type="pct"/>
                  <w:shd w:val="clear" w:color="auto" w:fill="auto"/>
                  <w:vAlign w:val="top"/>
                </w:tcPr>
                <w:p w14:paraId="036B16F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31AA1D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09332E8A">
                  <w:pPr>
                    <w:widowControl/>
                    <w:wordWrap w:val="0"/>
                    <w:spacing w:line="360" w:lineRule="exact"/>
                    <w:jc w:val="center"/>
                    <w:rPr>
                      <w:sz w:val="21"/>
                      <w:szCs w:val="21"/>
                    </w:rPr>
                  </w:pPr>
                </w:p>
              </w:tc>
              <w:tc>
                <w:tcPr>
                  <w:tcW w:w="1398" w:type="pct"/>
                  <w:shd w:val="clear" w:color="auto" w:fill="auto"/>
                  <w:noWrap/>
                  <w:vAlign w:val="center"/>
                </w:tcPr>
                <w:p w14:paraId="31E2DA41">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入侵防盗报警装置</w:t>
                  </w:r>
                </w:p>
              </w:tc>
              <w:tc>
                <w:tcPr>
                  <w:tcW w:w="938" w:type="pct"/>
                  <w:shd w:val="clear" w:color="auto" w:fill="auto"/>
                  <w:noWrap/>
                  <w:vAlign w:val="center"/>
                </w:tcPr>
                <w:p w14:paraId="49DAB0B2">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39B922AC">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509BE0B9">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162DA7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49FB761">
                  <w:pPr>
                    <w:widowControl/>
                    <w:wordWrap w:val="0"/>
                    <w:spacing w:line="360" w:lineRule="exact"/>
                    <w:jc w:val="center"/>
                    <w:rPr>
                      <w:sz w:val="21"/>
                      <w:szCs w:val="21"/>
                    </w:rPr>
                  </w:pPr>
                </w:p>
              </w:tc>
              <w:tc>
                <w:tcPr>
                  <w:tcW w:w="1398" w:type="pct"/>
                  <w:shd w:val="clear" w:color="auto" w:fill="auto"/>
                  <w:noWrap/>
                  <w:vAlign w:val="center"/>
                </w:tcPr>
                <w:p w14:paraId="5BB6A09F">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固定式γ探头</w:t>
                  </w:r>
                </w:p>
              </w:tc>
              <w:tc>
                <w:tcPr>
                  <w:tcW w:w="938" w:type="pct"/>
                  <w:shd w:val="clear" w:color="auto" w:fill="auto"/>
                  <w:noWrap/>
                  <w:vAlign w:val="center"/>
                </w:tcPr>
                <w:p w14:paraId="709586A9">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5BA56BED">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48C2B029">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4090E6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D9C46AB">
                  <w:pPr>
                    <w:widowControl/>
                    <w:wordWrap w:val="0"/>
                    <w:spacing w:line="360" w:lineRule="exact"/>
                    <w:jc w:val="center"/>
                    <w:rPr>
                      <w:sz w:val="21"/>
                      <w:szCs w:val="21"/>
                    </w:rPr>
                  </w:pPr>
                </w:p>
              </w:tc>
              <w:tc>
                <w:tcPr>
                  <w:tcW w:w="1398" w:type="pct"/>
                  <w:shd w:val="clear" w:color="auto" w:fill="auto"/>
                  <w:noWrap/>
                  <w:vAlign w:val="center"/>
                </w:tcPr>
                <w:p w14:paraId="059CC59A">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1BE6E765">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53E4B1CF">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top"/>
                </w:tcPr>
                <w:p w14:paraId="06BE3C53">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6279DA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503C879D">
                  <w:pPr>
                    <w:widowControl/>
                    <w:wordWrap w:val="0"/>
                    <w:spacing w:line="360" w:lineRule="exact"/>
                    <w:jc w:val="center"/>
                    <w:rPr>
                      <w:rFonts w:hint="default" w:eastAsia="宋体"/>
                      <w:sz w:val="21"/>
                      <w:szCs w:val="21"/>
                      <w:lang w:val="en-US" w:eastAsia="zh-CN"/>
                    </w:rPr>
                  </w:pPr>
                  <w:r>
                    <w:rPr>
                      <w:rFonts w:hint="eastAsia"/>
                      <w:sz w:val="21"/>
                      <w:szCs w:val="21"/>
                      <w:lang w:val="en-US" w:eastAsia="zh-CN"/>
                    </w:rPr>
                    <w:t>I-131服药室</w:t>
                  </w:r>
                </w:p>
              </w:tc>
              <w:tc>
                <w:tcPr>
                  <w:tcW w:w="1398" w:type="pct"/>
                  <w:shd w:val="clear" w:color="auto" w:fill="auto"/>
                  <w:noWrap/>
                  <w:vAlign w:val="center"/>
                </w:tcPr>
                <w:p w14:paraId="03192EF4">
                  <w:pPr>
                    <w:spacing w:line="360" w:lineRule="exact"/>
                    <w:jc w:val="center"/>
                    <w:rPr>
                      <w:rFonts w:ascii="Times New Roman" w:hAnsi="Times New Roman" w:eastAsia="宋体" w:cs="Times New Roman"/>
                      <w:sz w:val="21"/>
                      <w:szCs w:val="21"/>
                      <w:lang w:val="en-US" w:eastAsia="zh-CN" w:bidi="ar"/>
                    </w:rPr>
                  </w:pPr>
                  <w:r>
                    <w:rPr>
                      <w:sz w:val="21"/>
                      <w:szCs w:val="21"/>
                      <w:lang w:bidi="ar"/>
                    </w:rPr>
                    <w:t>对讲装置</w:t>
                  </w:r>
                </w:p>
              </w:tc>
              <w:tc>
                <w:tcPr>
                  <w:tcW w:w="938" w:type="pct"/>
                  <w:shd w:val="clear" w:color="auto" w:fill="auto"/>
                  <w:noWrap/>
                  <w:vAlign w:val="center"/>
                </w:tcPr>
                <w:p w14:paraId="124A05BC">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14D98958">
                  <w:pPr>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center"/>
                </w:tcPr>
                <w:p w14:paraId="0195B1A0">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05061B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2C29F5AF">
                  <w:pPr>
                    <w:widowControl/>
                    <w:wordWrap w:val="0"/>
                    <w:spacing w:line="360" w:lineRule="exact"/>
                    <w:jc w:val="center"/>
                    <w:rPr>
                      <w:sz w:val="21"/>
                      <w:szCs w:val="21"/>
                    </w:rPr>
                  </w:pPr>
                </w:p>
              </w:tc>
              <w:tc>
                <w:tcPr>
                  <w:tcW w:w="1398" w:type="pct"/>
                  <w:shd w:val="clear" w:color="auto" w:fill="auto"/>
                  <w:noWrap/>
                  <w:vAlign w:val="center"/>
                </w:tcPr>
                <w:p w14:paraId="0CA7AFDC">
                  <w:pPr>
                    <w:spacing w:line="360" w:lineRule="exact"/>
                    <w:jc w:val="center"/>
                    <w:rPr>
                      <w:rFonts w:ascii="Times New Roman" w:hAnsi="Times New Roman" w:eastAsia="宋体" w:cs="Times New Roman"/>
                      <w:sz w:val="21"/>
                      <w:szCs w:val="21"/>
                      <w:lang w:val="en-US" w:eastAsia="zh-CN" w:bidi="ar"/>
                    </w:rPr>
                  </w:pPr>
                  <w:r>
                    <w:rPr>
                      <w:sz w:val="21"/>
                      <w:szCs w:val="21"/>
                      <w:lang w:bidi="ar"/>
                    </w:rPr>
                    <w:t>固定式γ探头</w:t>
                  </w:r>
                </w:p>
              </w:tc>
              <w:tc>
                <w:tcPr>
                  <w:tcW w:w="938" w:type="pct"/>
                  <w:shd w:val="clear" w:color="auto" w:fill="auto"/>
                  <w:noWrap/>
                  <w:vAlign w:val="center"/>
                </w:tcPr>
                <w:p w14:paraId="63E60544">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6F163D0A">
                  <w:pPr>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center"/>
                </w:tcPr>
                <w:p w14:paraId="751C489B">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16921D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3539C87D">
                  <w:pPr>
                    <w:widowControl/>
                    <w:wordWrap w:val="0"/>
                    <w:spacing w:line="360" w:lineRule="exact"/>
                    <w:jc w:val="center"/>
                    <w:rPr>
                      <w:sz w:val="21"/>
                      <w:szCs w:val="21"/>
                    </w:rPr>
                  </w:pPr>
                </w:p>
              </w:tc>
              <w:tc>
                <w:tcPr>
                  <w:tcW w:w="1398" w:type="pct"/>
                  <w:shd w:val="clear" w:color="auto" w:fill="auto"/>
                  <w:noWrap/>
                  <w:vAlign w:val="center"/>
                </w:tcPr>
                <w:p w14:paraId="68886815">
                  <w:pPr>
                    <w:spacing w:line="360" w:lineRule="exact"/>
                    <w:jc w:val="center"/>
                    <w:rPr>
                      <w:rFonts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79EF0F8C">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2138F914">
                  <w:pPr>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center"/>
                </w:tcPr>
                <w:p w14:paraId="1EE1B8BA">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493C43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7E932930">
                  <w:pPr>
                    <w:widowControl/>
                    <w:wordWrap w:val="0"/>
                    <w:spacing w:line="360" w:lineRule="exact"/>
                    <w:jc w:val="center"/>
                    <w:rPr>
                      <w:sz w:val="21"/>
                      <w:szCs w:val="21"/>
                    </w:rPr>
                  </w:pPr>
                </w:p>
              </w:tc>
              <w:tc>
                <w:tcPr>
                  <w:tcW w:w="1398" w:type="pct"/>
                  <w:shd w:val="clear" w:color="auto" w:fill="auto"/>
                  <w:noWrap/>
                  <w:vAlign w:val="center"/>
                </w:tcPr>
                <w:p w14:paraId="2795EFC7">
                  <w:pPr>
                    <w:spacing w:line="360" w:lineRule="exact"/>
                    <w:jc w:val="center"/>
                    <w:rPr>
                      <w:rFonts w:ascii="Times New Roman" w:hAnsi="Times New Roman" w:eastAsia="宋体" w:cs="Times New Roman"/>
                      <w:sz w:val="21"/>
                      <w:szCs w:val="21"/>
                      <w:lang w:val="en-US" w:eastAsia="zh-CN" w:bidi="ar"/>
                    </w:rPr>
                  </w:pPr>
                  <w:r>
                    <w:rPr>
                      <w:sz w:val="21"/>
                      <w:szCs w:val="21"/>
                      <w:lang w:bidi="ar"/>
                    </w:rPr>
                    <w:t>放射性固废收集容器</w:t>
                  </w:r>
                </w:p>
              </w:tc>
              <w:tc>
                <w:tcPr>
                  <w:tcW w:w="938" w:type="pct"/>
                  <w:shd w:val="clear" w:color="auto" w:fill="auto"/>
                  <w:noWrap/>
                  <w:vAlign w:val="center"/>
                </w:tcPr>
                <w:p w14:paraId="4AB05BED">
                  <w:pPr>
                    <w:spacing w:line="360" w:lineRule="exact"/>
                    <w:jc w:val="center"/>
                    <w:rPr>
                      <w:rFonts w:ascii="Times New Roman" w:hAnsi="Times New Roman" w:eastAsia="宋体" w:cs="Times New Roman"/>
                      <w:sz w:val="21"/>
                      <w:szCs w:val="21"/>
                      <w:lang w:val="en-US" w:eastAsia="zh-CN" w:bidi="ar"/>
                    </w:rPr>
                  </w:pPr>
                  <w:r>
                    <w:rPr>
                      <w:sz w:val="21"/>
                      <w:szCs w:val="21"/>
                      <w:lang w:bidi="ar"/>
                    </w:rPr>
                    <w:t>10</w:t>
                  </w:r>
                </w:p>
              </w:tc>
              <w:tc>
                <w:tcPr>
                  <w:tcW w:w="496" w:type="pct"/>
                  <w:shd w:val="clear" w:color="auto" w:fill="auto"/>
                  <w:vAlign w:val="center"/>
                </w:tcPr>
                <w:p w14:paraId="242C4D97">
                  <w:pPr>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center"/>
                </w:tcPr>
                <w:p w14:paraId="50F5E354">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670F97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restart"/>
                  <w:noWrap/>
                  <w:vAlign w:val="center"/>
                </w:tcPr>
                <w:p w14:paraId="33B13724">
                  <w:pPr>
                    <w:widowControl/>
                    <w:wordWrap w:val="0"/>
                    <w:spacing w:line="360" w:lineRule="exact"/>
                    <w:jc w:val="center"/>
                    <w:rPr>
                      <w:rFonts w:hint="default" w:eastAsia="宋体"/>
                      <w:sz w:val="21"/>
                      <w:szCs w:val="21"/>
                      <w:lang w:val="en-US" w:eastAsia="zh-CN"/>
                    </w:rPr>
                  </w:pPr>
                  <w:r>
                    <w:rPr>
                      <w:rFonts w:hint="eastAsia"/>
                      <w:sz w:val="21"/>
                      <w:szCs w:val="21"/>
                      <w:lang w:val="en-US" w:eastAsia="zh-CN"/>
                    </w:rPr>
                    <w:t>日间留观室</w:t>
                  </w:r>
                </w:p>
              </w:tc>
              <w:tc>
                <w:tcPr>
                  <w:tcW w:w="1398" w:type="pct"/>
                  <w:shd w:val="clear" w:color="auto" w:fill="auto"/>
                  <w:noWrap/>
                  <w:vAlign w:val="center"/>
                </w:tcPr>
                <w:p w14:paraId="5561480C">
                  <w:pPr>
                    <w:spacing w:line="360" w:lineRule="exact"/>
                    <w:jc w:val="center"/>
                    <w:rPr>
                      <w:rFonts w:ascii="Times New Roman" w:hAnsi="Times New Roman" w:eastAsia="宋体" w:cs="Times New Roman"/>
                      <w:sz w:val="21"/>
                      <w:szCs w:val="21"/>
                      <w:lang w:val="en-US" w:eastAsia="zh-CN" w:bidi="ar"/>
                    </w:rPr>
                  </w:pPr>
                  <w:r>
                    <w:rPr>
                      <w:sz w:val="21"/>
                      <w:szCs w:val="21"/>
                      <w:lang w:bidi="ar"/>
                    </w:rPr>
                    <w:t>监控摄像头</w:t>
                  </w:r>
                </w:p>
              </w:tc>
              <w:tc>
                <w:tcPr>
                  <w:tcW w:w="938" w:type="pct"/>
                  <w:shd w:val="clear" w:color="auto" w:fill="auto"/>
                  <w:noWrap/>
                  <w:vAlign w:val="center"/>
                </w:tcPr>
                <w:p w14:paraId="3BCBB6C2">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53583410">
                  <w:pPr>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center"/>
                </w:tcPr>
                <w:p w14:paraId="5BA99B0E">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325519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5DE3653E">
                  <w:pPr>
                    <w:widowControl/>
                    <w:wordWrap w:val="0"/>
                    <w:spacing w:line="360" w:lineRule="exact"/>
                    <w:jc w:val="center"/>
                    <w:rPr>
                      <w:rFonts w:hint="eastAsia"/>
                      <w:sz w:val="21"/>
                      <w:szCs w:val="21"/>
                      <w:lang w:val="en-US" w:eastAsia="zh-CN"/>
                    </w:rPr>
                  </w:pPr>
                </w:p>
              </w:tc>
              <w:tc>
                <w:tcPr>
                  <w:tcW w:w="1398" w:type="pct"/>
                  <w:shd w:val="clear" w:color="auto" w:fill="auto"/>
                  <w:noWrap/>
                  <w:vAlign w:val="center"/>
                </w:tcPr>
                <w:p w14:paraId="1DD291C6">
                  <w:pPr>
                    <w:spacing w:line="360" w:lineRule="exact"/>
                    <w:jc w:val="center"/>
                    <w:rPr>
                      <w:sz w:val="21"/>
                      <w:szCs w:val="21"/>
                      <w:lang w:bidi="ar"/>
                    </w:rPr>
                  </w:pPr>
                  <w:r>
                    <w:rPr>
                      <w:sz w:val="21"/>
                      <w:szCs w:val="21"/>
                      <w:lang w:bidi="ar"/>
                    </w:rPr>
                    <w:t>病人隔离铅屏风</w:t>
                  </w:r>
                </w:p>
              </w:tc>
              <w:tc>
                <w:tcPr>
                  <w:tcW w:w="938" w:type="pct"/>
                  <w:shd w:val="clear" w:color="auto" w:fill="auto"/>
                  <w:noWrap/>
                  <w:vAlign w:val="center"/>
                </w:tcPr>
                <w:p w14:paraId="7FF6DFB7">
                  <w:pPr>
                    <w:spacing w:line="360" w:lineRule="exact"/>
                    <w:jc w:val="center"/>
                    <w:rPr>
                      <w:rFonts w:hint="default" w:eastAsia="宋体"/>
                      <w:sz w:val="21"/>
                      <w:szCs w:val="21"/>
                      <w:lang w:val="en-US" w:eastAsia="zh-CN" w:bidi="ar"/>
                    </w:rPr>
                  </w:pPr>
                  <w:r>
                    <w:rPr>
                      <w:rFonts w:hint="eastAsia"/>
                      <w:sz w:val="21"/>
                      <w:szCs w:val="21"/>
                      <w:lang w:val="en-US" w:eastAsia="zh-CN" w:bidi="ar"/>
                    </w:rPr>
                    <w:t>10</w:t>
                  </w:r>
                </w:p>
              </w:tc>
              <w:tc>
                <w:tcPr>
                  <w:tcW w:w="496" w:type="pct"/>
                  <w:shd w:val="clear" w:color="auto" w:fill="auto"/>
                  <w:vAlign w:val="center"/>
                </w:tcPr>
                <w:p w14:paraId="2DD91162">
                  <w:pPr>
                    <w:spacing w:line="360" w:lineRule="exact"/>
                    <w:jc w:val="center"/>
                    <w:rPr>
                      <w:rFonts w:hint="default" w:eastAsia="宋体"/>
                      <w:sz w:val="21"/>
                      <w:szCs w:val="21"/>
                      <w:lang w:val="en-US" w:eastAsia="zh-CN" w:bidi="ar"/>
                    </w:rPr>
                  </w:pPr>
                  <w:r>
                    <w:rPr>
                      <w:rFonts w:hint="eastAsia"/>
                      <w:sz w:val="21"/>
                      <w:szCs w:val="21"/>
                      <w:lang w:val="en-US" w:eastAsia="zh-CN" w:bidi="ar"/>
                    </w:rPr>
                    <w:t>2个</w:t>
                  </w:r>
                </w:p>
              </w:tc>
              <w:tc>
                <w:tcPr>
                  <w:tcW w:w="899" w:type="pct"/>
                  <w:shd w:val="clear" w:color="auto" w:fill="auto"/>
                  <w:vAlign w:val="center"/>
                </w:tcPr>
                <w:p w14:paraId="44445EA6">
                  <w:pPr>
                    <w:spacing w:line="360" w:lineRule="exact"/>
                    <w:jc w:val="center"/>
                    <w:rPr>
                      <w:sz w:val="21"/>
                      <w:szCs w:val="21"/>
                      <w:lang w:bidi="ar"/>
                    </w:rPr>
                  </w:pPr>
                </w:p>
              </w:tc>
            </w:tr>
            <w:tr w14:paraId="06D0C5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vMerge w:val="continue"/>
                  <w:noWrap/>
                  <w:vAlign w:val="center"/>
                </w:tcPr>
                <w:p w14:paraId="0B6EDB97">
                  <w:pPr>
                    <w:widowControl/>
                    <w:wordWrap w:val="0"/>
                    <w:spacing w:line="360" w:lineRule="exact"/>
                    <w:jc w:val="center"/>
                    <w:rPr>
                      <w:sz w:val="21"/>
                      <w:szCs w:val="21"/>
                    </w:rPr>
                  </w:pPr>
                </w:p>
              </w:tc>
              <w:tc>
                <w:tcPr>
                  <w:tcW w:w="1398" w:type="pct"/>
                  <w:shd w:val="clear" w:color="auto" w:fill="auto"/>
                  <w:noWrap/>
                  <w:vAlign w:val="center"/>
                </w:tcPr>
                <w:p w14:paraId="1FAC180F">
                  <w:pPr>
                    <w:spacing w:line="360" w:lineRule="exact"/>
                    <w:jc w:val="center"/>
                    <w:rPr>
                      <w:rFonts w:ascii="Times New Roman" w:hAnsi="Times New Roman" w:eastAsia="宋体" w:cs="Times New Roman"/>
                      <w:sz w:val="21"/>
                      <w:szCs w:val="21"/>
                      <w:lang w:val="en-US" w:eastAsia="zh-CN" w:bidi="ar"/>
                    </w:rPr>
                  </w:pPr>
                  <w:r>
                    <w:rPr>
                      <w:sz w:val="21"/>
                      <w:szCs w:val="21"/>
                      <w:lang w:bidi="ar"/>
                    </w:rPr>
                    <w:t>放射性固废收集容器</w:t>
                  </w:r>
                </w:p>
              </w:tc>
              <w:tc>
                <w:tcPr>
                  <w:tcW w:w="938" w:type="pct"/>
                  <w:shd w:val="clear" w:color="auto" w:fill="auto"/>
                  <w:noWrap/>
                  <w:vAlign w:val="center"/>
                </w:tcPr>
                <w:p w14:paraId="26F19669">
                  <w:pPr>
                    <w:spacing w:line="360" w:lineRule="exact"/>
                    <w:jc w:val="center"/>
                    <w:rPr>
                      <w:rFonts w:ascii="Times New Roman" w:hAnsi="Times New Roman" w:eastAsia="宋体" w:cs="Times New Roman"/>
                      <w:sz w:val="21"/>
                      <w:szCs w:val="21"/>
                      <w:lang w:val="en-US" w:eastAsia="zh-CN" w:bidi="ar"/>
                    </w:rPr>
                  </w:pPr>
                  <w:r>
                    <w:rPr>
                      <w:sz w:val="21"/>
                      <w:szCs w:val="21"/>
                      <w:lang w:bidi="ar"/>
                    </w:rPr>
                    <w:t>10</w:t>
                  </w:r>
                </w:p>
              </w:tc>
              <w:tc>
                <w:tcPr>
                  <w:tcW w:w="496" w:type="pct"/>
                  <w:shd w:val="clear" w:color="auto" w:fill="auto"/>
                  <w:vAlign w:val="center"/>
                </w:tcPr>
                <w:p w14:paraId="1400E21F">
                  <w:pPr>
                    <w:spacing w:line="360" w:lineRule="exact"/>
                    <w:jc w:val="center"/>
                    <w:rPr>
                      <w:rFonts w:ascii="Times New Roman" w:hAnsi="Times New Roman" w:eastAsia="宋体" w:cs="Times New Roman"/>
                      <w:sz w:val="21"/>
                      <w:szCs w:val="21"/>
                      <w:lang w:val="en-US" w:eastAsia="zh-CN" w:bidi="ar"/>
                    </w:rPr>
                  </w:pPr>
                  <w:r>
                    <w:rPr>
                      <w:sz w:val="21"/>
                      <w:szCs w:val="21"/>
                      <w:lang w:bidi="ar"/>
                    </w:rPr>
                    <w:t>1个</w:t>
                  </w:r>
                </w:p>
              </w:tc>
              <w:tc>
                <w:tcPr>
                  <w:tcW w:w="899" w:type="pct"/>
                  <w:shd w:val="clear" w:color="auto" w:fill="auto"/>
                  <w:vAlign w:val="center"/>
                </w:tcPr>
                <w:p w14:paraId="7D70D454">
                  <w:pPr>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r>
            <w:tr w14:paraId="1F30C8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noWrap/>
                  <w:vAlign w:val="center"/>
                </w:tcPr>
                <w:p w14:paraId="5D66CEF3">
                  <w:pPr>
                    <w:widowControl/>
                    <w:wordWrap w:val="0"/>
                    <w:spacing w:line="360" w:lineRule="exact"/>
                    <w:jc w:val="center"/>
                    <w:rPr>
                      <w:rFonts w:hint="default" w:eastAsia="宋体"/>
                      <w:sz w:val="21"/>
                      <w:szCs w:val="21"/>
                      <w:lang w:val="en-US" w:eastAsia="zh-CN"/>
                    </w:rPr>
                  </w:pPr>
                  <w:r>
                    <w:rPr>
                      <w:rFonts w:hint="eastAsia"/>
                      <w:sz w:val="21"/>
                      <w:szCs w:val="21"/>
                      <w:lang w:val="en-US" w:eastAsia="zh-CN"/>
                    </w:rPr>
                    <w:t>病人出入口缓冲区</w:t>
                  </w:r>
                </w:p>
              </w:tc>
              <w:tc>
                <w:tcPr>
                  <w:tcW w:w="1398" w:type="pct"/>
                  <w:noWrap/>
                  <w:vAlign w:val="center"/>
                </w:tcPr>
                <w:p w14:paraId="5D28B33F">
                  <w:pPr>
                    <w:widowControl/>
                    <w:wordWrap w:val="0"/>
                    <w:spacing w:line="360" w:lineRule="exact"/>
                    <w:jc w:val="center"/>
                    <w:rPr>
                      <w:sz w:val="21"/>
                      <w:szCs w:val="21"/>
                      <w:lang w:bidi="ar"/>
                    </w:rPr>
                  </w:pPr>
                  <w:r>
                    <w:rPr>
                      <w:sz w:val="21"/>
                      <w:szCs w:val="21"/>
                      <w:lang w:bidi="ar"/>
                    </w:rPr>
                    <w:t>固定式γ探头</w:t>
                  </w:r>
                </w:p>
              </w:tc>
              <w:tc>
                <w:tcPr>
                  <w:tcW w:w="938" w:type="pct"/>
                  <w:noWrap/>
                  <w:vAlign w:val="center"/>
                </w:tcPr>
                <w:p w14:paraId="598A4615">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c>
                <w:tcPr>
                  <w:tcW w:w="496" w:type="pct"/>
                  <w:vAlign w:val="center"/>
                </w:tcPr>
                <w:p w14:paraId="30F655A3">
                  <w:pPr>
                    <w:widowControl/>
                    <w:wordWrap w:val="0"/>
                    <w:spacing w:line="360" w:lineRule="exact"/>
                    <w:jc w:val="center"/>
                    <w:rPr>
                      <w:rFonts w:hint="default" w:eastAsia="宋体"/>
                      <w:sz w:val="21"/>
                      <w:szCs w:val="21"/>
                      <w:lang w:val="en-US" w:eastAsia="zh-CN" w:bidi="ar"/>
                    </w:rPr>
                  </w:pPr>
                  <w:r>
                    <w:rPr>
                      <w:rFonts w:hint="eastAsia"/>
                      <w:sz w:val="21"/>
                      <w:szCs w:val="21"/>
                      <w:lang w:val="en-US" w:eastAsia="zh-CN" w:bidi="ar"/>
                    </w:rPr>
                    <w:t>3个</w:t>
                  </w:r>
                </w:p>
              </w:tc>
              <w:tc>
                <w:tcPr>
                  <w:tcW w:w="899" w:type="pct"/>
                </w:tcPr>
                <w:p w14:paraId="62AA0FD1">
                  <w:pPr>
                    <w:widowControl/>
                    <w:wordWrap w:val="0"/>
                    <w:spacing w:line="360" w:lineRule="exact"/>
                    <w:jc w:val="center"/>
                    <w:rPr>
                      <w:rFonts w:hint="eastAsia" w:eastAsia="宋体"/>
                      <w:sz w:val="21"/>
                      <w:szCs w:val="21"/>
                      <w:lang w:val="en-US" w:eastAsia="zh-CN" w:bidi="ar"/>
                    </w:rPr>
                  </w:pPr>
                  <w:r>
                    <w:rPr>
                      <w:rFonts w:hint="eastAsia"/>
                      <w:sz w:val="21"/>
                      <w:szCs w:val="21"/>
                      <w:lang w:val="en-US" w:eastAsia="zh-CN" w:bidi="ar"/>
                    </w:rPr>
                    <w:t>/</w:t>
                  </w:r>
                </w:p>
              </w:tc>
            </w:tr>
            <w:tr w14:paraId="0B630B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6" w:type="pct"/>
                  <w:shd w:val="clear" w:color="auto" w:fill="auto"/>
                  <w:noWrap/>
                  <w:vAlign w:val="center"/>
                </w:tcPr>
                <w:p w14:paraId="0E6B8025">
                  <w:pPr>
                    <w:widowControl/>
                    <w:wordWrap w:val="0"/>
                    <w:spacing w:line="360" w:lineRule="exact"/>
                    <w:jc w:val="center"/>
                    <w:rPr>
                      <w:rFonts w:ascii="Times New Roman" w:hAnsi="Times New Roman" w:eastAsia="宋体" w:cs="Times New Roman"/>
                      <w:sz w:val="21"/>
                      <w:szCs w:val="21"/>
                      <w:lang w:val="en-US" w:eastAsia="zh-CN" w:bidi="ar-SA"/>
                    </w:rPr>
                  </w:pPr>
                  <w:r>
                    <w:rPr>
                      <w:sz w:val="21"/>
                      <w:szCs w:val="21"/>
                    </w:rPr>
                    <w:t>病人入口、出口</w:t>
                  </w:r>
                </w:p>
              </w:tc>
              <w:tc>
                <w:tcPr>
                  <w:tcW w:w="1398" w:type="pct"/>
                  <w:shd w:val="clear" w:color="auto" w:fill="auto"/>
                  <w:noWrap/>
                  <w:vAlign w:val="center"/>
                </w:tcPr>
                <w:p w14:paraId="6D65B058">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病人流通单向门禁</w:t>
                  </w:r>
                </w:p>
              </w:tc>
              <w:tc>
                <w:tcPr>
                  <w:tcW w:w="938" w:type="pct"/>
                  <w:shd w:val="clear" w:color="auto" w:fill="auto"/>
                  <w:noWrap/>
                  <w:vAlign w:val="center"/>
                </w:tcPr>
                <w:p w14:paraId="5D32E50E">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w:t>
                  </w:r>
                </w:p>
              </w:tc>
              <w:tc>
                <w:tcPr>
                  <w:tcW w:w="496" w:type="pct"/>
                  <w:shd w:val="clear" w:color="auto" w:fill="auto"/>
                  <w:vAlign w:val="center"/>
                </w:tcPr>
                <w:p w14:paraId="3910C826">
                  <w:pPr>
                    <w:widowControl/>
                    <w:wordWrap w:val="0"/>
                    <w:spacing w:line="360" w:lineRule="exact"/>
                    <w:jc w:val="center"/>
                    <w:rPr>
                      <w:rFonts w:ascii="Times New Roman" w:hAnsi="Times New Roman" w:eastAsia="宋体" w:cs="Times New Roman"/>
                      <w:sz w:val="21"/>
                      <w:szCs w:val="21"/>
                      <w:lang w:val="en-US" w:eastAsia="zh-CN" w:bidi="ar"/>
                    </w:rPr>
                  </w:pPr>
                  <w:r>
                    <w:rPr>
                      <w:sz w:val="21"/>
                      <w:szCs w:val="21"/>
                      <w:lang w:bidi="ar"/>
                    </w:rPr>
                    <w:t>1套</w:t>
                  </w:r>
                </w:p>
              </w:tc>
              <w:tc>
                <w:tcPr>
                  <w:tcW w:w="899" w:type="pct"/>
                </w:tcPr>
                <w:p w14:paraId="00F5A026">
                  <w:pPr>
                    <w:widowControl/>
                    <w:wordWrap w:val="0"/>
                    <w:spacing w:line="360" w:lineRule="exact"/>
                    <w:jc w:val="center"/>
                    <w:rPr>
                      <w:sz w:val="21"/>
                      <w:szCs w:val="21"/>
                      <w:lang w:bidi="ar"/>
                    </w:rPr>
                  </w:pPr>
                </w:p>
              </w:tc>
            </w:tr>
          </w:tbl>
          <w:p w14:paraId="1FA37AE2">
            <w:pPr>
              <w:spacing w:before="120" w:beforeLines="50" w:line="240" w:lineRule="auto"/>
              <w:jc w:val="center"/>
              <w:rPr>
                <w:rFonts w:eastAsia="黑体"/>
                <w:b/>
                <w:bCs/>
              </w:rPr>
            </w:pPr>
          </w:p>
          <w:p w14:paraId="354337DC">
            <w:pPr>
              <w:spacing w:before="120" w:beforeLines="50" w:line="240" w:lineRule="auto"/>
              <w:jc w:val="center"/>
            </w:pPr>
            <w:r>
              <w:rPr>
                <w:rFonts w:eastAsia="黑体"/>
                <w:b/>
                <w:bCs/>
              </w:rPr>
              <w:drawing>
                <wp:inline distT="0" distB="0" distL="0" distR="0">
                  <wp:extent cx="5271135" cy="2087880"/>
                  <wp:effectExtent l="0" t="0" r="5715" b="7620"/>
                  <wp:docPr id="61" name="图片 25" descr="图示, 工程绘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5" descr="图示, 工程绘图&#10;&#10;AI 生成的内容可能不正确。"/>
                          <pic:cNvPicPr>
                            <a:picLocks noChangeAspect="1"/>
                          </pic:cNvPicPr>
                        </pic:nvPicPr>
                        <pic:blipFill>
                          <a:blip r:embed="rId36"/>
                          <a:stretch>
                            <a:fillRect/>
                          </a:stretch>
                        </pic:blipFill>
                        <pic:spPr>
                          <a:xfrm>
                            <a:off x="0" y="0"/>
                            <a:ext cx="5271135" cy="2087880"/>
                          </a:xfrm>
                          <a:prstGeom prst="rect">
                            <a:avLst/>
                          </a:prstGeom>
                          <a:noFill/>
                          <a:ln>
                            <a:noFill/>
                          </a:ln>
                        </pic:spPr>
                      </pic:pic>
                    </a:graphicData>
                  </a:graphic>
                </wp:inline>
              </w:drawing>
            </w:r>
          </w:p>
          <w:p w14:paraId="6EC2D18E">
            <w:pPr>
              <w:spacing w:after="163" w:line="240" w:lineRule="auto"/>
              <w:jc w:val="center"/>
              <w:rPr>
                <w:rFonts w:eastAsia="黑体"/>
                <w:bCs/>
                <w:sz w:val="21"/>
                <w:szCs w:val="21"/>
              </w:rPr>
            </w:pPr>
            <w:r>
              <w:rPr>
                <w:rFonts w:eastAsia="黑体"/>
                <w:bCs/>
                <w:sz w:val="21"/>
                <w:szCs w:val="21"/>
              </w:rPr>
              <w:t>图10-</w:t>
            </w:r>
            <w:r>
              <w:rPr>
                <w:rFonts w:hint="eastAsia" w:eastAsia="黑体"/>
                <w:bCs/>
                <w:sz w:val="21"/>
                <w:szCs w:val="21"/>
                <w:lang w:val="en-US" w:eastAsia="zh-CN"/>
              </w:rPr>
              <w:t>4</w:t>
            </w:r>
            <w:r>
              <w:rPr>
                <w:rFonts w:eastAsia="黑体"/>
                <w:bCs/>
                <w:sz w:val="21"/>
                <w:szCs w:val="21"/>
              </w:rPr>
              <w:t xml:space="preserve">  热室工作箱典型示意图</w:t>
            </w:r>
          </w:p>
          <w:p w14:paraId="42EE1E3C">
            <w:pPr>
              <w:spacing w:line="240" w:lineRule="auto"/>
              <w:jc w:val="center"/>
            </w:pPr>
            <w:r>
              <w:drawing>
                <wp:inline distT="0" distB="0" distL="0" distR="0">
                  <wp:extent cx="5372100" cy="3559175"/>
                  <wp:effectExtent l="0" t="0" r="0" b="3175"/>
                  <wp:docPr id="62" name="图片 6"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 descr="图示, 工程绘图&#10;&#10;描述已自动生成"/>
                          <pic:cNvPicPr>
                            <a:picLocks noChangeAspect="1"/>
                          </pic:cNvPicPr>
                        </pic:nvPicPr>
                        <pic:blipFill>
                          <a:blip r:embed="rId37"/>
                          <a:srcRect l="1669" r="-1"/>
                          <a:stretch>
                            <a:fillRect/>
                          </a:stretch>
                        </pic:blipFill>
                        <pic:spPr>
                          <a:xfrm>
                            <a:off x="0" y="0"/>
                            <a:ext cx="5372191" cy="3559803"/>
                          </a:xfrm>
                          <a:prstGeom prst="rect">
                            <a:avLst/>
                          </a:prstGeom>
                          <a:noFill/>
                          <a:ln>
                            <a:noFill/>
                          </a:ln>
                        </pic:spPr>
                      </pic:pic>
                    </a:graphicData>
                  </a:graphic>
                </wp:inline>
              </w:drawing>
            </w:r>
          </w:p>
          <w:p w14:paraId="440AC222">
            <w:pPr>
              <w:spacing w:after="163" w:line="240" w:lineRule="auto"/>
              <w:jc w:val="center"/>
              <w:rPr>
                <w:rFonts w:eastAsia="黑体"/>
                <w:bCs/>
                <w:sz w:val="21"/>
                <w:szCs w:val="21"/>
              </w:rPr>
            </w:pPr>
            <w:r>
              <w:rPr>
                <w:rFonts w:eastAsia="黑体"/>
                <w:bCs/>
                <w:sz w:val="21"/>
                <w:szCs w:val="21"/>
              </w:rPr>
              <w:t>图10-</w:t>
            </w:r>
            <w:r>
              <w:rPr>
                <w:rFonts w:hint="eastAsia" w:eastAsia="黑体"/>
                <w:bCs/>
                <w:sz w:val="21"/>
                <w:szCs w:val="21"/>
                <w:lang w:val="en-US" w:eastAsia="zh-CN"/>
              </w:rPr>
              <w:t>5</w:t>
            </w:r>
            <w:r>
              <w:rPr>
                <w:rFonts w:eastAsia="黑体"/>
                <w:bCs/>
                <w:sz w:val="21"/>
                <w:szCs w:val="21"/>
              </w:rPr>
              <w:t xml:space="preserve">  高活度操作屏蔽手套箱典型示意图</w:t>
            </w:r>
          </w:p>
          <w:p w14:paraId="3F362949">
            <w:pPr>
              <w:ind w:firstLine="482"/>
              <w:rPr>
                <w:b/>
              </w:rPr>
            </w:pPr>
            <w:r>
              <w:rPr>
                <w:b/>
              </w:rPr>
              <w:t>5、用药患者的防护与管理</w:t>
            </w:r>
          </w:p>
          <w:p w14:paraId="1BDA9D01">
            <w:pPr>
              <w:ind w:firstLine="468"/>
              <w:rPr>
                <w:bCs/>
              </w:rPr>
            </w:pPr>
            <w:r>
              <w:rPr>
                <w:bCs/>
              </w:rPr>
              <w:t>用药病人在入院前及出院前，加强对患者和家属的宣教和管理，医生需提前告知病人及家属辐射可能带来的危害性，就诊病人在用药后实行病人与陪护人员及其他公众的隔离管控，用药病人候诊和留观期间禁止病人随意流动，尽量控制因吐痰或随意丢弃垃圾等行为造成表面污染范围，并使用病人专用厕所进行大小便，在留观结束后须按指定线路离开场所。</w:t>
            </w:r>
          </w:p>
          <w:p w14:paraId="403FD0E5">
            <w:pPr>
              <w:ind w:firstLine="482"/>
              <w:rPr>
                <w:b/>
              </w:rPr>
            </w:pPr>
            <w:r>
              <w:rPr>
                <w:b/>
              </w:rPr>
              <w:t>6、表面污染控制及个人防护措施</w:t>
            </w:r>
          </w:p>
          <w:p w14:paraId="6B3DC6B8">
            <w:pPr>
              <w:ind w:firstLine="480"/>
            </w:pPr>
            <w:r>
              <w:t>为保证非密封放射性物质工作场所的表面污染水平达到《电离辐射防护源安全基本标准》（GB18871-2002）中规定的标准，并减少职业人员内照射和外照射，建设单位应采取以下管控措施：</w:t>
            </w:r>
          </w:p>
          <w:p w14:paraId="3BFD5F67">
            <w:pPr>
              <w:ind w:firstLine="480"/>
              <w:rPr>
                <w:bCs/>
              </w:rPr>
            </w:pPr>
            <w:r>
              <w:fldChar w:fldCharType="begin"/>
            </w:r>
            <w:r>
              <w:instrText xml:space="preserve"> = 1 \* GB3 </w:instrText>
            </w:r>
            <w:r>
              <w:fldChar w:fldCharType="separate"/>
            </w:r>
            <w:r>
              <w:t>①</w:t>
            </w:r>
            <w:r>
              <w:fldChar w:fldCharType="end"/>
            </w:r>
            <w:r>
              <w:t>针对放射性核素的分装操作（特别是挥发的药物）采用负压隔离的方法进行防护，即本项目设置热室工作箱、手套箱、通风橱等把放射性核素局限在某一空间内操作，操作过程局部空间风速不小于0.5m/s，防止放射性核素逸散到房间内</w:t>
            </w:r>
            <w:r>
              <w:rPr>
                <w:bCs/>
              </w:rPr>
              <w:t>。</w:t>
            </w:r>
          </w:p>
          <w:p w14:paraId="0241D541">
            <w:pPr>
              <w:ind w:firstLine="480"/>
            </w:pPr>
            <w:r>
              <w:fldChar w:fldCharType="begin"/>
            </w:r>
            <w:r>
              <w:instrText xml:space="preserve"> = 2 \* GB3 </w:instrText>
            </w:r>
            <w:r>
              <w:fldChar w:fldCharType="separate"/>
            </w:r>
            <w:r>
              <w:t>②</w:t>
            </w:r>
            <w:r>
              <w:fldChar w:fldCharType="end"/>
            </w:r>
            <w:r>
              <w:t>非密封放射性物质工作场所</w:t>
            </w:r>
            <w:r>
              <w:rPr>
                <w:bCs/>
              </w:rPr>
              <w:t>墙面与地面交接做圆角处理，地面全部敷设易去污并可以拆除更换的材料，且地面光滑，并具有易去污和防渗能力（</w:t>
            </w:r>
            <w:r>
              <w:t>渗透系数≤10</w:t>
            </w:r>
            <w:r>
              <w:rPr>
                <w:vertAlign w:val="superscript"/>
              </w:rPr>
              <w:t>-10</w:t>
            </w:r>
            <w:r>
              <w:t>cm/s</w:t>
            </w:r>
            <w:r>
              <w:rPr>
                <w:bCs/>
              </w:rPr>
              <w:t>）。</w:t>
            </w:r>
          </w:p>
          <w:p w14:paraId="329EC221">
            <w:pPr>
              <w:ind w:firstLine="480"/>
              <w:rPr>
                <w:bCs/>
              </w:rPr>
            </w:pPr>
            <w:r>
              <w:fldChar w:fldCharType="begin"/>
            </w:r>
            <w:r>
              <w:instrText xml:space="preserve"> = 3 \* GB3 </w:instrText>
            </w:r>
            <w:r>
              <w:fldChar w:fldCharType="separate"/>
            </w:r>
            <w:r>
              <w:t>③</w:t>
            </w:r>
            <w:r>
              <w:fldChar w:fldCharType="end"/>
            </w:r>
            <w:r>
              <w:t>对于放射性核素的操作过程中</w:t>
            </w:r>
            <w:r>
              <w:rPr>
                <w:bCs/>
              </w:rPr>
              <w:t>在易去除污染的工作台上放置的搪瓷盘内进行，并铺以吸水性好的材料，以防止放射性药液洒漏造成操作台污染。</w:t>
            </w:r>
            <w:r>
              <w:t>保持工作台面清洁，定期对工作台面采用湿法擦拭清洁，防止放射性核素沉降经伤口或皮肤渗透转移至体内，且严禁辐射工作人员在开放性工作场所内进食、饮水和吸烟。</w:t>
            </w:r>
          </w:p>
          <w:p w14:paraId="0F8A4994">
            <w:pPr>
              <w:ind w:firstLine="480"/>
              <w:rPr>
                <w:bCs/>
              </w:rPr>
            </w:pPr>
            <w:r>
              <w:rPr>
                <w:bCs/>
              </w:rPr>
              <w:fldChar w:fldCharType="begin"/>
            </w:r>
            <w:r>
              <w:rPr>
                <w:bCs/>
              </w:rPr>
              <w:instrText xml:space="preserve"> = 4 \* GB3 </w:instrText>
            </w:r>
            <w:r>
              <w:rPr>
                <w:bCs/>
              </w:rPr>
              <w:fldChar w:fldCharType="separate"/>
            </w:r>
            <w:r>
              <w:rPr>
                <w:bCs/>
              </w:rPr>
              <w:t>④</w:t>
            </w:r>
            <w:r>
              <w:rPr>
                <w:bCs/>
              </w:rPr>
              <w:fldChar w:fldCharType="end"/>
            </w:r>
            <w:r>
              <w:rPr>
                <w:bCs/>
              </w:rPr>
              <w:t>放射性物料用后应及时存放在专用柜内，需防盗、防水、防火、柜外应有电离辐射标志。</w:t>
            </w:r>
          </w:p>
          <w:p w14:paraId="47357839">
            <w:pPr>
              <w:ind w:firstLine="480"/>
              <w:rPr>
                <w:bCs/>
              </w:rPr>
            </w:pPr>
            <w:r>
              <w:rPr>
                <w:bCs/>
              </w:rPr>
              <w:fldChar w:fldCharType="begin"/>
            </w:r>
            <w:r>
              <w:rPr>
                <w:bCs/>
              </w:rPr>
              <w:instrText xml:space="preserve"> = 5 \* GB3 </w:instrText>
            </w:r>
            <w:r>
              <w:rPr>
                <w:bCs/>
              </w:rPr>
              <w:fldChar w:fldCharType="separate"/>
            </w:r>
            <w:r>
              <w:rPr>
                <w:bCs/>
              </w:rPr>
              <w:t>⑤</w:t>
            </w:r>
            <w:r>
              <w:rPr>
                <w:bCs/>
              </w:rPr>
              <w:fldChar w:fldCharType="end"/>
            </w:r>
            <w:r>
              <w:rPr>
                <w:bCs/>
              </w:rPr>
              <w:t>每天操作结束后，对场所内易接触的部位进行表面沾污监测，若出现超标情况，应及时按制定的去污操作规程开展去污操作，不得使用大水量冲洗污染面，去污废水和擦拭纸等均需按放射性废物管理。</w:t>
            </w:r>
          </w:p>
          <w:p w14:paraId="69520B28">
            <w:pPr>
              <w:ind w:firstLine="480"/>
              <w:rPr>
                <w:bCs/>
              </w:rPr>
            </w:pPr>
            <w:r>
              <w:fldChar w:fldCharType="begin"/>
            </w:r>
            <w:r>
              <w:instrText xml:space="preserve"> = 6 \* GB3 </w:instrText>
            </w:r>
            <w:r>
              <w:fldChar w:fldCharType="separate"/>
            </w:r>
            <w:r>
              <w:t>⑥</w:t>
            </w:r>
            <w:r>
              <w:fldChar w:fldCharType="end"/>
            </w:r>
            <w:r>
              <w:rPr>
                <w:bCs/>
              </w:rPr>
              <w:t>辐射工作人员在进行工作前应做好</w:t>
            </w:r>
            <w:r>
              <w:t>个人防护用品的佩戴，包括：防护工作服、帽子、鞋子、手套、袖套、围裙、口罩、防护眼镜、个人剂量计、个人剂量报警仪等，</w:t>
            </w:r>
            <w:r>
              <w:rPr>
                <w:bCs/>
              </w:rPr>
              <w:t>在完成工作后按指定人员通道离开，同时更淋卫间内设置喷淋清洗区和表面沾污仪，并经过“洁衣剂量检查（监测不合格需经过“去污”过程）→脱洁衣→穿家常服→穿家常鞋→出口”的流程。</w:t>
            </w:r>
          </w:p>
          <w:p w14:paraId="0B82DF51">
            <w:pPr>
              <w:ind w:firstLine="480"/>
            </w:pPr>
            <w:r>
              <w:fldChar w:fldCharType="begin"/>
            </w:r>
            <w:r>
              <w:instrText xml:space="preserve"> = 7 \* GB3 </w:instrText>
            </w:r>
            <w:r>
              <w:fldChar w:fldCharType="separate"/>
            </w:r>
            <w:r>
              <w:t>⑦</w:t>
            </w:r>
            <w:r>
              <w:fldChar w:fldCharType="end"/>
            </w:r>
            <w:r>
              <w:t>所有辐射工作人员上岗前应经过专业培训，熟悉自己岗位的操作流程，并具备相应的技能与防护知识，管理人员需定期进行检查，严禁人员违规操作。</w:t>
            </w:r>
          </w:p>
          <w:p w14:paraId="36BDDB7A">
            <w:pPr>
              <w:ind w:firstLine="468"/>
              <w:rPr>
                <w:bCs/>
              </w:rPr>
            </w:pPr>
            <w:r>
              <w:rPr>
                <w:bCs/>
              </w:rPr>
              <w:fldChar w:fldCharType="begin"/>
            </w:r>
            <w:r>
              <w:rPr>
                <w:bCs/>
              </w:rPr>
              <w:instrText xml:space="preserve"> = 8 \* GB3 </w:instrText>
            </w:r>
            <w:r>
              <w:rPr>
                <w:bCs/>
              </w:rPr>
              <w:fldChar w:fldCharType="separate"/>
            </w:r>
            <w:r>
              <w:rPr>
                <w:bCs/>
              </w:rPr>
              <w:t>⑧</w:t>
            </w:r>
            <w:r>
              <w:rPr>
                <w:bCs/>
              </w:rPr>
              <w:fldChar w:fldCharType="end"/>
            </w:r>
            <w:r>
              <w:rPr>
                <w:bCs/>
              </w:rPr>
              <w:t>用药病人在入院前及出院前，医生需提前告知病人及家属辐射可能带来的危害性，就诊病人在用药后均实行病人与陪护人员及其他公众的隔离管控，用药病人候诊和留观期间禁止病人随意流动，尽量控制因吐痰或随意丢弃垃圾等行为造成表面污染范围，并使用病人专用厕所进行大小便，在留观结束后须按指定线路离开核医学科。</w:t>
            </w:r>
          </w:p>
          <w:p w14:paraId="1CE3DDF4">
            <w:pPr>
              <w:rPr>
                <w:rFonts w:eastAsia="黑体"/>
              </w:rPr>
            </w:pPr>
            <w:r>
              <w:rPr>
                <w:rFonts w:eastAsia="黑体"/>
              </w:rPr>
              <w:t>四、辐射工作场所安保措施</w:t>
            </w:r>
          </w:p>
          <w:p w14:paraId="6CC6895E">
            <w:pPr>
              <w:ind w:firstLine="480"/>
              <w:rPr>
                <w:bCs/>
              </w:rPr>
            </w:pPr>
            <w:r>
              <w:rPr>
                <w:bCs/>
              </w:rPr>
              <w:t>安全保卫措施主要是防止外来因素导致辐射工作场所内辐射源出现丢失、被盗或失控，引发人员误照或环境污染，对照《放射性同位素与射线装置安全和防护管理办法》和《放射性同位素与射线装置安全和防护条例》，建设单位已设计和拟采取的防火、防水、防盗、防丢失、防破坏、防射线泄漏措施见表10-</w:t>
            </w:r>
            <w:r>
              <w:rPr>
                <w:rFonts w:hint="eastAsia"/>
                <w:bCs/>
                <w:lang w:val="en-US" w:eastAsia="zh-CN"/>
              </w:rPr>
              <w:t>14</w:t>
            </w:r>
            <w:r>
              <w:rPr>
                <w:bCs/>
              </w:rPr>
              <w:t>。</w:t>
            </w:r>
          </w:p>
          <w:p w14:paraId="1790D00A">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14</w:t>
            </w:r>
            <w:r>
              <w:rPr>
                <w:rFonts w:eastAsia="黑体"/>
                <w:bCs/>
                <w:sz w:val="21"/>
                <w:szCs w:val="21"/>
              </w:rPr>
              <w:t xml:space="preserve">  辐射工作场所安防措施一览表</w:t>
            </w:r>
          </w:p>
          <w:tbl>
            <w:tblPr>
              <w:tblStyle w:val="5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7682"/>
            </w:tblGrid>
            <w:tr w14:paraId="088A85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35" w:type="pct"/>
                  <w:vAlign w:val="center"/>
                </w:tcPr>
                <w:p w14:paraId="2989D0E6">
                  <w:pPr>
                    <w:spacing w:line="360" w:lineRule="exact"/>
                    <w:jc w:val="center"/>
                    <w:rPr>
                      <w:b/>
                      <w:bCs w:val="0"/>
                      <w:sz w:val="21"/>
                      <w:szCs w:val="21"/>
                    </w:rPr>
                  </w:pPr>
                  <w:r>
                    <w:rPr>
                      <w:b/>
                      <w:bCs w:val="0"/>
                      <w:sz w:val="21"/>
                      <w:szCs w:val="21"/>
                    </w:rPr>
                    <w:t>措施类别</w:t>
                  </w:r>
                </w:p>
              </w:tc>
              <w:tc>
                <w:tcPr>
                  <w:tcW w:w="4365" w:type="pct"/>
                  <w:vAlign w:val="center"/>
                </w:tcPr>
                <w:p w14:paraId="271FC30D">
                  <w:pPr>
                    <w:spacing w:line="360" w:lineRule="exact"/>
                    <w:jc w:val="center"/>
                    <w:rPr>
                      <w:b/>
                      <w:bCs w:val="0"/>
                      <w:sz w:val="21"/>
                      <w:szCs w:val="21"/>
                    </w:rPr>
                  </w:pPr>
                  <w:r>
                    <w:rPr>
                      <w:b/>
                      <w:bCs w:val="0"/>
                      <w:sz w:val="21"/>
                      <w:szCs w:val="21"/>
                    </w:rPr>
                    <w:t>对应措施</w:t>
                  </w:r>
                </w:p>
              </w:tc>
            </w:tr>
            <w:tr w14:paraId="3FB63C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35" w:type="pct"/>
                  <w:vAlign w:val="center"/>
                </w:tcPr>
                <w:p w14:paraId="45399075">
                  <w:pPr>
                    <w:spacing w:line="360" w:lineRule="exact"/>
                    <w:jc w:val="center"/>
                    <w:rPr>
                      <w:sz w:val="21"/>
                      <w:szCs w:val="21"/>
                    </w:rPr>
                  </w:pPr>
                  <w:r>
                    <w:rPr>
                      <w:sz w:val="21"/>
                      <w:szCs w:val="21"/>
                    </w:rPr>
                    <w:t>防火</w:t>
                  </w:r>
                </w:p>
              </w:tc>
              <w:tc>
                <w:tcPr>
                  <w:tcW w:w="4365" w:type="pct"/>
                  <w:vAlign w:val="center"/>
                </w:tcPr>
                <w:p w14:paraId="4C67A874">
                  <w:pPr>
                    <w:spacing w:line="360" w:lineRule="exact"/>
                    <w:rPr>
                      <w:sz w:val="21"/>
                      <w:szCs w:val="21"/>
                    </w:rPr>
                  </w:pPr>
                  <w:r>
                    <w:rPr>
                      <w:rFonts w:hint="eastAsia"/>
                      <w:sz w:val="21"/>
                      <w:szCs w:val="21"/>
                      <w:lang w:eastAsia="zh-CN"/>
                    </w:rPr>
                    <w:t>门诊医技楼</w:t>
                  </w:r>
                  <w:r>
                    <w:rPr>
                      <w:sz w:val="21"/>
                      <w:szCs w:val="21"/>
                    </w:rPr>
                    <w:t>已按《建筑设计防火规范》（GB50016-2014）进行防火设计，建筑地上耐火等级为二级，地下耐火等级为一级。</w:t>
                  </w:r>
                  <w:r>
                    <w:rPr>
                      <w:bCs/>
                      <w:sz w:val="21"/>
                      <w:szCs w:val="21"/>
                    </w:rPr>
                    <w:t>本项目辐射工作场所禁止存放易燃、易爆等其他一切与本项目无关的危险物品。同时人员易接触的地方均配备干粉式灭火器。</w:t>
                  </w:r>
                </w:p>
              </w:tc>
            </w:tr>
            <w:tr w14:paraId="05CF43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35" w:type="pct"/>
                  <w:vAlign w:val="center"/>
                </w:tcPr>
                <w:p w14:paraId="4D43F266">
                  <w:pPr>
                    <w:spacing w:line="360" w:lineRule="exact"/>
                    <w:jc w:val="center"/>
                    <w:rPr>
                      <w:sz w:val="21"/>
                      <w:szCs w:val="21"/>
                    </w:rPr>
                  </w:pPr>
                  <w:r>
                    <w:rPr>
                      <w:sz w:val="21"/>
                      <w:szCs w:val="21"/>
                    </w:rPr>
                    <w:t>防水</w:t>
                  </w:r>
                </w:p>
              </w:tc>
              <w:tc>
                <w:tcPr>
                  <w:tcW w:w="4365" w:type="pct"/>
                  <w:vAlign w:val="center"/>
                </w:tcPr>
                <w:p w14:paraId="42B71C8E">
                  <w:pPr>
                    <w:spacing w:line="360" w:lineRule="exact"/>
                    <w:rPr>
                      <w:sz w:val="21"/>
                      <w:szCs w:val="21"/>
                    </w:rPr>
                  </w:pPr>
                  <w:r>
                    <w:rPr>
                      <w:rFonts w:hint="eastAsia"/>
                      <w:sz w:val="21"/>
                      <w:szCs w:val="21"/>
                      <w:lang w:eastAsia="zh-CN"/>
                    </w:rPr>
                    <w:t>门诊医技楼</w:t>
                  </w:r>
                  <w:r>
                    <w:rPr>
                      <w:sz w:val="21"/>
                      <w:szCs w:val="21"/>
                    </w:rPr>
                    <w:t>屋面防水等级为一级，设两层SBS聚酯胎改性沥青卷材防水层及一道聚氨酯防水涂料。屋面保温材料采用挤塑聚苯乙烯保温板；地下室防水等级为一级，采用迎水面外防水，设两层SBS防水卷材，并采用钢筋混凝土自防水；外墙防水等级为一级，设一道JS-II防水涂料及一道水泥基渗透结晶型防水涂料。墙体保温为岩棉板外墙外保温。辐射工作场所内铺设防水材料，</w:t>
                  </w:r>
                  <w:r>
                    <w:rPr>
                      <w:bCs/>
                      <w:sz w:val="21"/>
                      <w:szCs w:val="21"/>
                    </w:rPr>
                    <w:t>墙面与地面交接作圆角处理，</w:t>
                  </w:r>
                  <w:r>
                    <w:rPr>
                      <w:sz w:val="21"/>
                      <w:szCs w:val="21"/>
                    </w:rPr>
                    <w:t>避免地下水或雨水对辐射工作场所造成侵蚀。</w:t>
                  </w:r>
                </w:p>
              </w:tc>
            </w:tr>
            <w:tr w14:paraId="3A8764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35" w:type="pct"/>
                  <w:vAlign w:val="center"/>
                </w:tcPr>
                <w:p w14:paraId="7B6A30D2">
                  <w:pPr>
                    <w:spacing w:line="360" w:lineRule="exact"/>
                    <w:jc w:val="center"/>
                    <w:rPr>
                      <w:sz w:val="21"/>
                      <w:szCs w:val="21"/>
                    </w:rPr>
                  </w:pPr>
                  <w:r>
                    <w:rPr>
                      <w:sz w:val="21"/>
                      <w:szCs w:val="21"/>
                    </w:rPr>
                    <w:t>防盗和防破坏</w:t>
                  </w:r>
                </w:p>
              </w:tc>
              <w:tc>
                <w:tcPr>
                  <w:tcW w:w="4365" w:type="pct"/>
                  <w:vAlign w:val="center"/>
                </w:tcPr>
                <w:p w14:paraId="33DFDE74">
                  <w:pPr>
                    <w:spacing w:line="360" w:lineRule="exact"/>
                    <w:rPr>
                      <w:sz w:val="21"/>
                      <w:szCs w:val="21"/>
                    </w:rPr>
                  </w:pPr>
                  <w:r>
                    <w:rPr>
                      <w:sz w:val="21"/>
                      <w:szCs w:val="21"/>
                    </w:rPr>
                    <w:fldChar w:fldCharType="begin"/>
                  </w:r>
                  <w:r>
                    <w:rPr>
                      <w:sz w:val="21"/>
                      <w:szCs w:val="21"/>
                    </w:rPr>
                    <w:instrText xml:space="preserve"> = 1 \* GB3 </w:instrText>
                  </w:r>
                  <w:r>
                    <w:rPr>
                      <w:sz w:val="21"/>
                      <w:szCs w:val="21"/>
                    </w:rPr>
                    <w:fldChar w:fldCharType="separate"/>
                  </w:r>
                  <w:r>
                    <w:rPr>
                      <w:sz w:val="21"/>
                      <w:szCs w:val="21"/>
                    </w:rPr>
                    <w:t>①</w:t>
                  </w:r>
                  <w:r>
                    <w:rPr>
                      <w:sz w:val="21"/>
                      <w:szCs w:val="21"/>
                    </w:rPr>
                    <w:fldChar w:fldCharType="end"/>
                  </w:r>
                  <w:r>
                    <w:rPr>
                      <w:sz w:val="21"/>
                      <w:szCs w:val="21"/>
                    </w:rPr>
                    <w:t>整个核医学科控制区进行封闭管理，并设有门禁系统或机械锁，非相关人员或授权不能直接进入核医学科控制区内。</w:t>
                  </w:r>
                </w:p>
                <w:p w14:paraId="2E65CCDA">
                  <w:pPr>
                    <w:spacing w:line="360" w:lineRule="exact"/>
                    <w:rPr>
                      <w:sz w:val="21"/>
                      <w:szCs w:val="21"/>
                    </w:rPr>
                  </w:pPr>
                  <w:r>
                    <w:rPr>
                      <w:sz w:val="21"/>
                      <w:szCs w:val="21"/>
                    </w:rPr>
                    <w:fldChar w:fldCharType="begin"/>
                  </w:r>
                  <w:r>
                    <w:rPr>
                      <w:sz w:val="21"/>
                      <w:szCs w:val="21"/>
                    </w:rPr>
                    <w:instrText xml:space="preserve"> = 2 \* GB3 </w:instrText>
                  </w:r>
                  <w:r>
                    <w:rPr>
                      <w:sz w:val="21"/>
                      <w:szCs w:val="21"/>
                    </w:rPr>
                    <w:fldChar w:fldCharType="separate"/>
                  </w:r>
                  <w:r>
                    <w:rPr>
                      <w:sz w:val="21"/>
                      <w:szCs w:val="21"/>
                    </w:rPr>
                    <w:t>②</w:t>
                  </w:r>
                  <w:r>
                    <w:rPr>
                      <w:sz w:val="21"/>
                      <w:szCs w:val="21"/>
                    </w:rPr>
                    <w:fldChar w:fldCharType="end"/>
                  </w:r>
                  <w:r>
                    <w:rPr>
                      <w:sz w:val="21"/>
                      <w:szCs w:val="21"/>
                    </w:rPr>
                    <w:t>涉及放射性物质存放的场所均设计有独立的储源室，储源室已设计有实体保卫措施如：监控摄像头、入侵防盗报警装置、双人双锁及保险柜等，放射性物质的转入、转出均由专人进行台账管理。一旦发生盗抢事件，建设单位将立即启动应急预案并向生态环境、卫健和公安部门报告。</w:t>
                  </w:r>
                </w:p>
                <w:p w14:paraId="12709054">
                  <w:pPr>
                    <w:spacing w:line="360" w:lineRule="exact"/>
                    <w:rPr>
                      <w:sz w:val="21"/>
                      <w:szCs w:val="21"/>
                    </w:rPr>
                  </w:pPr>
                  <w:r>
                    <w:rPr>
                      <w:sz w:val="21"/>
                      <w:szCs w:val="21"/>
                    </w:rPr>
                    <w:fldChar w:fldCharType="begin"/>
                  </w:r>
                  <w:r>
                    <w:rPr>
                      <w:sz w:val="21"/>
                      <w:szCs w:val="21"/>
                    </w:rPr>
                    <w:instrText xml:space="preserve"> = 3 \* GB3 </w:instrText>
                  </w:r>
                  <w:r>
                    <w:rPr>
                      <w:sz w:val="21"/>
                      <w:szCs w:val="21"/>
                    </w:rPr>
                    <w:fldChar w:fldCharType="separate"/>
                  </w:r>
                  <w:r>
                    <w:rPr>
                      <w:sz w:val="21"/>
                      <w:szCs w:val="21"/>
                    </w:rPr>
                    <w:t>③</w:t>
                  </w:r>
                  <w:r>
                    <w:rPr>
                      <w:sz w:val="21"/>
                      <w:szCs w:val="21"/>
                    </w:rPr>
                    <w:fldChar w:fldCharType="end"/>
                  </w:r>
                  <w:r>
                    <w:rPr>
                      <w:sz w:val="21"/>
                      <w:szCs w:val="21"/>
                    </w:rPr>
                    <w:t>整个核医学科控制区设置严密的监控系统，实行24h实时监控，同时建设单位还将核医学科作为保安人员重点巡查范围，安排专人24h值守。</w:t>
                  </w:r>
                </w:p>
                <w:p w14:paraId="035DA4C9">
                  <w:pPr>
                    <w:spacing w:line="360" w:lineRule="exact"/>
                    <w:rPr>
                      <w:sz w:val="21"/>
                      <w:szCs w:val="21"/>
                    </w:rPr>
                  </w:pPr>
                  <w:r>
                    <w:rPr>
                      <w:sz w:val="21"/>
                      <w:szCs w:val="21"/>
                    </w:rPr>
                    <w:fldChar w:fldCharType="begin"/>
                  </w:r>
                  <w:r>
                    <w:rPr>
                      <w:sz w:val="21"/>
                      <w:szCs w:val="21"/>
                    </w:rPr>
                    <w:instrText xml:space="preserve"> = 4 \* GB3 </w:instrText>
                  </w:r>
                  <w:r>
                    <w:rPr>
                      <w:sz w:val="21"/>
                      <w:szCs w:val="21"/>
                    </w:rPr>
                    <w:fldChar w:fldCharType="separate"/>
                  </w:r>
                  <w:r>
                    <w:rPr>
                      <w:sz w:val="21"/>
                      <w:szCs w:val="21"/>
                    </w:rPr>
                    <w:t>④</w:t>
                  </w:r>
                  <w:r>
                    <w:rPr>
                      <w:sz w:val="21"/>
                      <w:szCs w:val="21"/>
                    </w:rPr>
                    <w:fldChar w:fldCharType="end"/>
                  </w:r>
                  <w:r>
                    <w:rPr>
                      <w:sz w:val="21"/>
                      <w:szCs w:val="21"/>
                    </w:rPr>
                    <w:t>本项目射线装置均拟购于正规厂家，具有良好的固有安全性，防护性能满足相关标准要求及出厂要求。</w:t>
                  </w:r>
                </w:p>
              </w:tc>
            </w:tr>
            <w:tr w14:paraId="31B788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35" w:type="pct"/>
                  <w:vAlign w:val="center"/>
                </w:tcPr>
                <w:p w14:paraId="77208B8E">
                  <w:pPr>
                    <w:spacing w:line="360" w:lineRule="exact"/>
                    <w:jc w:val="center"/>
                    <w:rPr>
                      <w:sz w:val="21"/>
                      <w:szCs w:val="21"/>
                    </w:rPr>
                  </w:pPr>
                  <w:r>
                    <w:rPr>
                      <w:sz w:val="21"/>
                      <w:szCs w:val="21"/>
                    </w:rPr>
                    <w:t>防泄漏</w:t>
                  </w:r>
                </w:p>
              </w:tc>
              <w:tc>
                <w:tcPr>
                  <w:tcW w:w="4365" w:type="pct"/>
                  <w:vAlign w:val="center"/>
                </w:tcPr>
                <w:p w14:paraId="3696CAC3">
                  <w:pPr>
                    <w:spacing w:line="360" w:lineRule="exact"/>
                    <w:rPr>
                      <w:bCs/>
                      <w:sz w:val="21"/>
                      <w:szCs w:val="21"/>
                    </w:rPr>
                  </w:pPr>
                  <w:r>
                    <w:rPr>
                      <w:bCs/>
                      <w:sz w:val="21"/>
                      <w:szCs w:val="21"/>
                    </w:rPr>
                    <w:fldChar w:fldCharType="begin"/>
                  </w:r>
                  <w:r>
                    <w:rPr>
                      <w:bCs/>
                      <w:sz w:val="21"/>
                      <w:szCs w:val="21"/>
                    </w:rPr>
                    <w:instrText xml:space="preserve"> = 1 \* GB3 </w:instrText>
                  </w:r>
                  <w:r>
                    <w:rPr>
                      <w:bCs/>
                      <w:sz w:val="21"/>
                      <w:szCs w:val="21"/>
                    </w:rPr>
                    <w:fldChar w:fldCharType="separate"/>
                  </w:r>
                  <w:r>
                    <w:rPr>
                      <w:bCs/>
                      <w:sz w:val="21"/>
                      <w:szCs w:val="21"/>
                    </w:rPr>
                    <w:t>①</w:t>
                  </w:r>
                  <w:r>
                    <w:rPr>
                      <w:bCs/>
                      <w:sz w:val="21"/>
                      <w:szCs w:val="21"/>
                    </w:rPr>
                    <w:fldChar w:fldCharType="end"/>
                  </w:r>
                  <w:r>
                    <w:rPr>
                      <w:bCs/>
                      <w:sz w:val="21"/>
                      <w:szCs w:val="21"/>
                    </w:rPr>
                    <w:t>本项目使用的各种放射性原料或放射性药物均来自于正规生产厂家，出厂时包装用铅罐密闭，铅罐表面剂量满足标准要求，且用完后的空铅罐经表面去污处理后放置于储源室内待厂家进行回收。</w:t>
                  </w:r>
                </w:p>
                <w:p w14:paraId="51ED5E33">
                  <w:pPr>
                    <w:spacing w:line="360" w:lineRule="exact"/>
                    <w:rPr>
                      <w:bCs/>
                      <w:sz w:val="21"/>
                      <w:szCs w:val="21"/>
                    </w:rPr>
                  </w:pPr>
                  <w:r>
                    <w:rPr>
                      <w:bCs/>
                      <w:sz w:val="21"/>
                      <w:szCs w:val="21"/>
                    </w:rPr>
                    <w:fldChar w:fldCharType="begin"/>
                  </w:r>
                  <w:r>
                    <w:rPr>
                      <w:bCs/>
                      <w:sz w:val="21"/>
                      <w:szCs w:val="21"/>
                    </w:rPr>
                    <w:instrText xml:space="preserve"> = 2 \* GB3 </w:instrText>
                  </w:r>
                  <w:r>
                    <w:rPr>
                      <w:bCs/>
                      <w:sz w:val="21"/>
                      <w:szCs w:val="21"/>
                    </w:rPr>
                    <w:fldChar w:fldCharType="separate"/>
                  </w:r>
                  <w:r>
                    <w:rPr>
                      <w:bCs/>
                      <w:sz w:val="21"/>
                      <w:szCs w:val="21"/>
                    </w:rPr>
                    <w:t>②</w:t>
                  </w:r>
                  <w:r>
                    <w:rPr>
                      <w:bCs/>
                      <w:sz w:val="21"/>
                      <w:szCs w:val="21"/>
                    </w:rPr>
                    <w:fldChar w:fldCharType="end"/>
                  </w:r>
                  <w:r>
                    <w:rPr>
                      <w:bCs/>
                      <w:sz w:val="21"/>
                      <w:szCs w:val="21"/>
                    </w:rPr>
                    <w:t>核医学科辐射工作场所均采取有效的实体屏蔽措施，能够达到</w:t>
                  </w:r>
                  <w:r>
                    <w:rPr>
                      <w:sz w:val="21"/>
                      <w:szCs w:val="21"/>
                    </w:rPr>
                    <w:t>《核医学辐射防护与安全要求》（HJ1188-2021）</w:t>
                  </w:r>
                  <w:r>
                    <w:rPr>
                      <w:bCs/>
                      <w:sz w:val="21"/>
                      <w:szCs w:val="21"/>
                    </w:rPr>
                    <w:t>规定的控制剂量率限值要求，同时职业和公众年受照剂量分别满足5mSv/a和0.1mSv/a约束值。</w:t>
                  </w:r>
                </w:p>
                <w:p w14:paraId="1A43AFAF">
                  <w:pPr>
                    <w:spacing w:line="360" w:lineRule="exact"/>
                    <w:rPr>
                      <w:bCs/>
                      <w:sz w:val="21"/>
                      <w:szCs w:val="21"/>
                    </w:rPr>
                  </w:pPr>
                  <w:r>
                    <w:rPr>
                      <w:bCs/>
                      <w:sz w:val="21"/>
                      <w:szCs w:val="21"/>
                    </w:rPr>
                    <w:fldChar w:fldCharType="begin"/>
                  </w:r>
                  <w:r>
                    <w:rPr>
                      <w:bCs/>
                      <w:sz w:val="21"/>
                      <w:szCs w:val="21"/>
                    </w:rPr>
                    <w:instrText xml:space="preserve"> = 3 \* GB3 </w:instrText>
                  </w:r>
                  <w:r>
                    <w:rPr>
                      <w:bCs/>
                      <w:sz w:val="21"/>
                      <w:szCs w:val="21"/>
                    </w:rPr>
                    <w:fldChar w:fldCharType="separate"/>
                  </w:r>
                  <w:r>
                    <w:rPr>
                      <w:bCs/>
                      <w:sz w:val="21"/>
                      <w:szCs w:val="21"/>
                    </w:rPr>
                    <w:t>③</w:t>
                  </w:r>
                  <w:r>
                    <w:rPr>
                      <w:bCs/>
                      <w:sz w:val="21"/>
                      <w:szCs w:val="21"/>
                    </w:rPr>
                    <w:fldChar w:fldCharType="end"/>
                  </w:r>
                  <w:r>
                    <w:rPr>
                      <w:bCs/>
                      <w:sz w:val="21"/>
                      <w:szCs w:val="21"/>
                    </w:rPr>
                    <w:t>核医学科高放射性区域拟安装固定式剂量仪，若出现放射性物质泄漏，将进行报警提示；医院还将制定监测计划，并自行配备γ辐射监测仪及α/β表面沾污仪，定期或不定期进行场所巡测，发现异常及时查明原因并进行处置。</w:t>
                  </w:r>
                </w:p>
              </w:tc>
            </w:tr>
          </w:tbl>
          <w:p w14:paraId="68F4762B">
            <w:pPr>
              <w:rPr>
                <w:rFonts w:eastAsia="黑体"/>
              </w:rPr>
            </w:pPr>
            <w:r>
              <w:rPr>
                <w:rFonts w:eastAsia="黑体"/>
              </w:rPr>
              <w:t>五、辐射安全防护设施对照分析</w:t>
            </w:r>
          </w:p>
          <w:p w14:paraId="0566300F">
            <w:pPr>
              <w:ind w:firstLine="470"/>
              <w:rPr>
                <w:bCs/>
              </w:rPr>
            </w:pPr>
            <w:r>
              <w:rPr>
                <w:bCs/>
              </w:rPr>
              <w:t>为防止发生辐射事故，根据</w:t>
            </w:r>
            <w:r>
              <w:t>生态环境部（国家核安全局）《核技术利用监督检查技术程序》（2020年发布版）</w:t>
            </w:r>
            <w:r>
              <w:rPr>
                <w:bCs/>
              </w:rPr>
              <w:t>和</w:t>
            </w:r>
            <w:r>
              <w:rPr>
                <w:rFonts w:hint="default" w:ascii="Times New Roman" w:hAnsi="Times New Roman" w:eastAsia="宋体" w:cs="Times New Roman"/>
                <w:color w:val="auto"/>
                <w:sz w:val="24"/>
                <w:highlight w:val="none"/>
                <w:lang w:val="en-US" w:eastAsia="zh-CN"/>
              </w:rPr>
              <w:t>《关于印发&lt;</w:t>
            </w:r>
            <w:r>
              <w:rPr>
                <w:rFonts w:hint="eastAsia" w:ascii="Times New Roman" w:hAnsi="Times New Roman" w:eastAsia="宋体" w:cs="Times New Roman"/>
                <w:color w:val="auto"/>
                <w:sz w:val="24"/>
                <w:highlight w:val="none"/>
                <w:lang w:val="en-US" w:eastAsia="zh-CN"/>
              </w:rPr>
              <w:t>四川省核技术利用单位辐射安全工作指引（2025年版）</w:t>
            </w:r>
            <w:r>
              <w:rPr>
                <w:rFonts w:hint="default" w:ascii="Times New Roman" w:hAnsi="Times New Roman" w:eastAsia="宋体" w:cs="Times New Roman"/>
                <w:color w:val="auto"/>
                <w:sz w:val="24"/>
                <w:highlight w:val="none"/>
                <w:lang w:val="en-US" w:eastAsia="zh-CN"/>
              </w:rPr>
              <w:t>&gt;的通知》（</w:t>
            </w:r>
            <w:r>
              <w:rPr>
                <w:rFonts w:hint="eastAsia" w:ascii="Times New Roman" w:hAnsi="Times New Roman" w:eastAsia="宋体" w:cs="Times New Roman"/>
                <w:color w:val="auto"/>
                <w:sz w:val="24"/>
                <w:highlight w:val="none"/>
                <w:lang w:val="en-US" w:eastAsia="zh-CN"/>
              </w:rPr>
              <w:t>川环函〔2025〕616号</w:t>
            </w:r>
            <w:r>
              <w:rPr>
                <w:rFonts w:hint="default" w:ascii="Times New Roman" w:hAnsi="Times New Roman" w:eastAsia="宋体" w:cs="Times New Roman"/>
                <w:color w:val="auto"/>
                <w:sz w:val="24"/>
                <w:highlight w:val="none"/>
                <w:lang w:val="en-US" w:eastAsia="zh-CN"/>
              </w:rPr>
              <w:t>）</w:t>
            </w:r>
            <w:r>
              <w:t>中对</w:t>
            </w:r>
            <w:r>
              <w:rPr>
                <w:bCs/>
              </w:rPr>
              <w:t>非密封放射性物质工作场所、Ⅱ类医用射线装置和Ⅲ类射线装置的相关要求，本次评价根据医院拟采取的辐射安全装置及设备进行了对照分析，具体情况见下表。</w:t>
            </w:r>
          </w:p>
          <w:p w14:paraId="3C4E5A29">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15</w:t>
            </w:r>
            <w:r>
              <w:rPr>
                <w:rFonts w:eastAsia="黑体"/>
                <w:bCs/>
                <w:sz w:val="21"/>
                <w:szCs w:val="21"/>
              </w:rPr>
              <w:t xml:space="preserve">  辐射安全防护设施汇总对照分析表</w:t>
            </w:r>
          </w:p>
          <w:tbl>
            <w:tblPr>
              <w:tblStyle w:val="57"/>
              <w:tblW w:w="4938" w:type="pct"/>
              <w:tblInd w:w="104"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1441"/>
              <w:gridCol w:w="4945"/>
              <w:gridCol w:w="1300"/>
            </w:tblGrid>
            <w:tr w14:paraId="5416BF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6D078218">
                  <w:pPr>
                    <w:spacing w:line="360" w:lineRule="exact"/>
                    <w:jc w:val="center"/>
                    <w:rPr>
                      <w:b/>
                      <w:bCs/>
                      <w:sz w:val="21"/>
                      <w:szCs w:val="21"/>
                    </w:rPr>
                  </w:pPr>
                  <w:r>
                    <w:rPr>
                      <w:b/>
                      <w:bCs/>
                      <w:sz w:val="21"/>
                      <w:szCs w:val="21"/>
                    </w:rPr>
                    <w:t>乙级非密封放射性物质操作场所（负</w:t>
                  </w:r>
                  <w:r>
                    <w:rPr>
                      <w:rFonts w:hint="eastAsia"/>
                      <w:b/>
                      <w:bCs/>
                      <w:sz w:val="21"/>
                      <w:szCs w:val="21"/>
                      <w:lang w:val="en-US" w:eastAsia="zh-CN"/>
                    </w:rPr>
                    <w:t>一</w:t>
                  </w:r>
                  <w:r>
                    <w:rPr>
                      <w:b/>
                      <w:bCs/>
                      <w:sz w:val="21"/>
                      <w:szCs w:val="21"/>
                    </w:rPr>
                    <w:t>层）</w:t>
                  </w:r>
                </w:p>
              </w:tc>
            </w:tr>
            <w:tr w14:paraId="2F0C91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07AB4BC9">
                  <w:pPr>
                    <w:spacing w:line="360" w:lineRule="exact"/>
                    <w:jc w:val="center"/>
                    <w:rPr>
                      <w:sz w:val="21"/>
                      <w:szCs w:val="21"/>
                    </w:rPr>
                  </w:pPr>
                  <w:r>
                    <w:rPr>
                      <w:sz w:val="21"/>
                      <w:szCs w:val="21"/>
                    </w:rPr>
                    <w:t>序号</w:t>
                  </w:r>
                </w:p>
              </w:tc>
              <w:tc>
                <w:tcPr>
                  <w:tcW w:w="829" w:type="pct"/>
                  <w:vAlign w:val="center"/>
                </w:tcPr>
                <w:p w14:paraId="51870222">
                  <w:pPr>
                    <w:spacing w:line="360" w:lineRule="exact"/>
                    <w:jc w:val="center"/>
                    <w:rPr>
                      <w:sz w:val="21"/>
                      <w:szCs w:val="21"/>
                    </w:rPr>
                  </w:pPr>
                  <w:r>
                    <w:rPr>
                      <w:sz w:val="21"/>
                      <w:szCs w:val="21"/>
                    </w:rPr>
                    <w:t>项目</w:t>
                  </w:r>
                </w:p>
              </w:tc>
              <w:tc>
                <w:tcPr>
                  <w:tcW w:w="2845" w:type="pct"/>
                  <w:vAlign w:val="center"/>
                </w:tcPr>
                <w:p w14:paraId="4369C152">
                  <w:pPr>
                    <w:spacing w:line="360" w:lineRule="exact"/>
                    <w:jc w:val="center"/>
                    <w:rPr>
                      <w:sz w:val="21"/>
                      <w:szCs w:val="21"/>
                    </w:rPr>
                  </w:pPr>
                  <w:r>
                    <w:rPr>
                      <w:sz w:val="21"/>
                      <w:szCs w:val="21"/>
                    </w:rPr>
                    <w:t>规定的措施和制度</w:t>
                  </w:r>
                </w:p>
              </w:tc>
              <w:tc>
                <w:tcPr>
                  <w:tcW w:w="747" w:type="pct"/>
                  <w:vAlign w:val="center"/>
                </w:tcPr>
                <w:p w14:paraId="4B2A4101">
                  <w:pPr>
                    <w:spacing w:line="360" w:lineRule="exact"/>
                    <w:jc w:val="center"/>
                    <w:rPr>
                      <w:sz w:val="21"/>
                      <w:szCs w:val="21"/>
                    </w:rPr>
                  </w:pPr>
                  <w:r>
                    <w:rPr>
                      <w:sz w:val="21"/>
                      <w:szCs w:val="21"/>
                    </w:rPr>
                    <w:t>落实情况</w:t>
                  </w:r>
                </w:p>
              </w:tc>
            </w:tr>
            <w:tr w14:paraId="1E82E8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103739BE">
                  <w:pPr>
                    <w:spacing w:line="360" w:lineRule="exact"/>
                    <w:jc w:val="center"/>
                    <w:rPr>
                      <w:sz w:val="21"/>
                      <w:szCs w:val="21"/>
                    </w:rPr>
                  </w:pPr>
                  <w:r>
                    <w:rPr>
                      <w:sz w:val="21"/>
                      <w:szCs w:val="21"/>
                    </w:rPr>
                    <w:t>1</w:t>
                  </w:r>
                </w:p>
              </w:tc>
              <w:tc>
                <w:tcPr>
                  <w:tcW w:w="829" w:type="pct"/>
                  <w:vMerge w:val="restart"/>
                  <w:vAlign w:val="center"/>
                </w:tcPr>
                <w:p w14:paraId="31AED7C2">
                  <w:pPr>
                    <w:spacing w:line="360" w:lineRule="exact"/>
                    <w:jc w:val="center"/>
                    <w:rPr>
                      <w:sz w:val="21"/>
                      <w:szCs w:val="21"/>
                    </w:rPr>
                  </w:pPr>
                  <w:r>
                    <w:rPr>
                      <w:sz w:val="21"/>
                      <w:szCs w:val="21"/>
                    </w:rPr>
                    <w:t>场所设施</w:t>
                  </w:r>
                </w:p>
              </w:tc>
              <w:tc>
                <w:tcPr>
                  <w:tcW w:w="2845" w:type="pct"/>
                  <w:vAlign w:val="center"/>
                </w:tcPr>
                <w:p w14:paraId="1B980DFD">
                  <w:pPr>
                    <w:spacing w:line="360" w:lineRule="exact"/>
                    <w:jc w:val="center"/>
                    <w:rPr>
                      <w:sz w:val="21"/>
                      <w:szCs w:val="21"/>
                    </w:rPr>
                  </w:pPr>
                  <w:r>
                    <w:rPr>
                      <w:sz w:val="21"/>
                      <w:szCs w:val="21"/>
                    </w:rPr>
                    <w:t>工作场所功能、设置及分区布局</w:t>
                  </w:r>
                </w:p>
              </w:tc>
              <w:tc>
                <w:tcPr>
                  <w:tcW w:w="747" w:type="pct"/>
                  <w:vAlign w:val="center"/>
                </w:tcPr>
                <w:p w14:paraId="335D5497">
                  <w:pPr>
                    <w:spacing w:line="360" w:lineRule="exact"/>
                    <w:jc w:val="center"/>
                    <w:rPr>
                      <w:sz w:val="21"/>
                      <w:szCs w:val="21"/>
                    </w:rPr>
                  </w:pPr>
                  <w:r>
                    <w:rPr>
                      <w:sz w:val="21"/>
                      <w:szCs w:val="21"/>
                    </w:rPr>
                    <w:t>已设计</w:t>
                  </w:r>
                </w:p>
              </w:tc>
            </w:tr>
            <w:tr w14:paraId="419DE4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1F278A3B">
                  <w:pPr>
                    <w:spacing w:line="360" w:lineRule="exact"/>
                    <w:jc w:val="center"/>
                    <w:rPr>
                      <w:sz w:val="21"/>
                      <w:szCs w:val="21"/>
                    </w:rPr>
                  </w:pPr>
                  <w:r>
                    <w:rPr>
                      <w:sz w:val="21"/>
                      <w:szCs w:val="21"/>
                    </w:rPr>
                    <w:t>2</w:t>
                  </w:r>
                </w:p>
              </w:tc>
              <w:tc>
                <w:tcPr>
                  <w:tcW w:w="829" w:type="pct"/>
                  <w:vMerge w:val="continue"/>
                  <w:vAlign w:val="center"/>
                </w:tcPr>
                <w:p w14:paraId="4AEEBEAB">
                  <w:pPr>
                    <w:spacing w:line="360" w:lineRule="exact"/>
                    <w:jc w:val="center"/>
                    <w:rPr>
                      <w:sz w:val="21"/>
                      <w:szCs w:val="21"/>
                    </w:rPr>
                  </w:pPr>
                </w:p>
              </w:tc>
              <w:tc>
                <w:tcPr>
                  <w:tcW w:w="2845" w:type="pct"/>
                  <w:vAlign w:val="center"/>
                </w:tcPr>
                <w:p w14:paraId="441579AB">
                  <w:pPr>
                    <w:spacing w:line="360" w:lineRule="exact"/>
                    <w:jc w:val="center"/>
                    <w:rPr>
                      <w:sz w:val="21"/>
                      <w:szCs w:val="21"/>
                    </w:rPr>
                  </w:pPr>
                  <w:r>
                    <w:rPr>
                      <w:sz w:val="21"/>
                      <w:szCs w:val="21"/>
                    </w:rPr>
                    <w:t>场所分区的管控措施及标识</w:t>
                  </w:r>
                </w:p>
              </w:tc>
              <w:tc>
                <w:tcPr>
                  <w:tcW w:w="747" w:type="pct"/>
                  <w:vAlign w:val="center"/>
                </w:tcPr>
                <w:p w14:paraId="06E95CE8">
                  <w:pPr>
                    <w:spacing w:line="360" w:lineRule="exact"/>
                    <w:jc w:val="center"/>
                    <w:rPr>
                      <w:sz w:val="21"/>
                      <w:szCs w:val="21"/>
                    </w:rPr>
                  </w:pPr>
                  <w:r>
                    <w:rPr>
                      <w:sz w:val="21"/>
                      <w:szCs w:val="21"/>
                    </w:rPr>
                    <w:t>拟落实</w:t>
                  </w:r>
                </w:p>
              </w:tc>
            </w:tr>
            <w:tr w14:paraId="520BD9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61489A5F">
                  <w:pPr>
                    <w:spacing w:line="360" w:lineRule="exact"/>
                    <w:jc w:val="center"/>
                    <w:rPr>
                      <w:sz w:val="21"/>
                      <w:szCs w:val="21"/>
                    </w:rPr>
                  </w:pPr>
                  <w:r>
                    <w:rPr>
                      <w:sz w:val="21"/>
                      <w:szCs w:val="21"/>
                    </w:rPr>
                    <w:t>3</w:t>
                  </w:r>
                </w:p>
              </w:tc>
              <w:tc>
                <w:tcPr>
                  <w:tcW w:w="829" w:type="pct"/>
                  <w:vMerge w:val="continue"/>
                  <w:vAlign w:val="center"/>
                </w:tcPr>
                <w:p w14:paraId="3957158A">
                  <w:pPr>
                    <w:spacing w:line="360" w:lineRule="exact"/>
                    <w:jc w:val="center"/>
                    <w:rPr>
                      <w:sz w:val="21"/>
                      <w:szCs w:val="21"/>
                    </w:rPr>
                  </w:pPr>
                </w:p>
              </w:tc>
              <w:tc>
                <w:tcPr>
                  <w:tcW w:w="2845" w:type="pct"/>
                  <w:vAlign w:val="center"/>
                </w:tcPr>
                <w:p w14:paraId="5CE21F9B">
                  <w:pPr>
                    <w:spacing w:line="360" w:lineRule="exact"/>
                    <w:jc w:val="center"/>
                    <w:rPr>
                      <w:sz w:val="21"/>
                      <w:szCs w:val="21"/>
                    </w:rPr>
                  </w:pPr>
                  <w:r>
                    <w:rPr>
                      <w:sz w:val="21"/>
                      <w:szCs w:val="21"/>
                    </w:rPr>
                    <w:t>电离辐射警告标志</w:t>
                  </w:r>
                </w:p>
              </w:tc>
              <w:tc>
                <w:tcPr>
                  <w:tcW w:w="747" w:type="pct"/>
                  <w:vAlign w:val="center"/>
                </w:tcPr>
                <w:p w14:paraId="69E35A4B">
                  <w:pPr>
                    <w:spacing w:line="360" w:lineRule="exact"/>
                    <w:jc w:val="center"/>
                    <w:rPr>
                      <w:sz w:val="21"/>
                      <w:szCs w:val="21"/>
                    </w:rPr>
                  </w:pPr>
                  <w:r>
                    <w:rPr>
                      <w:sz w:val="21"/>
                      <w:szCs w:val="21"/>
                    </w:rPr>
                    <w:t>拟落实</w:t>
                  </w:r>
                </w:p>
              </w:tc>
            </w:tr>
            <w:tr w14:paraId="79FAF1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2B92671F">
                  <w:pPr>
                    <w:spacing w:line="360" w:lineRule="exact"/>
                    <w:jc w:val="center"/>
                    <w:rPr>
                      <w:sz w:val="21"/>
                      <w:szCs w:val="21"/>
                    </w:rPr>
                  </w:pPr>
                  <w:r>
                    <w:rPr>
                      <w:sz w:val="21"/>
                      <w:szCs w:val="21"/>
                    </w:rPr>
                    <w:t>4</w:t>
                  </w:r>
                </w:p>
              </w:tc>
              <w:tc>
                <w:tcPr>
                  <w:tcW w:w="829" w:type="pct"/>
                  <w:vMerge w:val="continue"/>
                  <w:vAlign w:val="center"/>
                </w:tcPr>
                <w:p w14:paraId="2A8AC7DC">
                  <w:pPr>
                    <w:spacing w:line="360" w:lineRule="exact"/>
                    <w:jc w:val="center"/>
                    <w:rPr>
                      <w:sz w:val="21"/>
                      <w:szCs w:val="21"/>
                    </w:rPr>
                  </w:pPr>
                </w:p>
              </w:tc>
              <w:tc>
                <w:tcPr>
                  <w:tcW w:w="2845" w:type="pct"/>
                  <w:vAlign w:val="center"/>
                </w:tcPr>
                <w:p w14:paraId="29221439">
                  <w:pPr>
                    <w:spacing w:line="360" w:lineRule="exact"/>
                    <w:jc w:val="center"/>
                    <w:rPr>
                      <w:sz w:val="21"/>
                      <w:szCs w:val="21"/>
                    </w:rPr>
                  </w:pPr>
                  <w:r>
                    <w:rPr>
                      <w:sz w:val="21"/>
                      <w:szCs w:val="21"/>
                    </w:rPr>
                    <w:t>卫生通过间</w:t>
                  </w:r>
                </w:p>
              </w:tc>
              <w:tc>
                <w:tcPr>
                  <w:tcW w:w="747" w:type="pct"/>
                  <w:vAlign w:val="center"/>
                </w:tcPr>
                <w:p w14:paraId="1B6E8542">
                  <w:pPr>
                    <w:spacing w:line="360" w:lineRule="exact"/>
                    <w:jc w:val="center"/>
                    <w:rPr>
                      <w:sz w:val="21"/>
                      <w:szCs w:val="21"/>
                    </w:rPr>
                  </w:pPr>
                  <w:r>
                    <w:rPr>
                      <w:sz w:val="21"/>
                      <w:szCs w:val="21"/>
                    </w:rPr>
                    <w:t>已设计</w:t>
                  </w:r>
                </w:p>
              </w:tc>
            </w:tr>
            <w:tr w14:paraId="76BA55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2B0D6C4C">
                  <w:pPr>
                    <w:spacing w:line="360" w:lineRule="exact"/>
                    <w:jc w:val="center"/>
                    <w:rPr>
                      <w:sz w:val="21"/>
                      <w:szCs w:val="21"/>
                    </w:rPr>
                  </w:pPr>
                  <w:r>
                    <w:rPr>
                      <w:sz w:val="21"/>
                      <w:szCs w:val="21"/>
                    </w:rPr>
                    <w:t>5</w:t>
                  </w:r>
                </w:p>
              </w:tc>
              <w:tc>
                <w:tcPr>
                  <w:tcW w:w="829" w:type="pct"/>
                  <w:vMerge w:val="continue"/>
                  <w:vAlign w:val="center"/>
                </w:tcPr>
                <w:p w14:paraId="3D0056FB">
                  <w:pPr>
                    <w:spacing w:line="360" w:lineRule="exact"/>
                    <w:jc w:val="center"/>
                    <w:rPr>
                      <w:sz w:val="21"/>
                      <w:szCs w:val="21"/>
                    </w:rPr>
                  </w:pPr>
                </w:p>
              </w:tc>
              <w:tc>
                <w:tcPr>
                  <w:tcW w:w="2845" w:type="pct"/>
                  <w:vAlign w:val="center"/>
                </w:tcPr>
                <w:p w14:paraId="5115BDF0">
                  <w:pPr>
                    <w:spacing w:line="360" w:lineRule="exact"/>
                    <w:jc w:val="center"/>
                    <w:rPr>
                      <w:sz w:val="21"/>
                      <w:szCs w:val="21"/>
                    </w:rPr>
                  </w:pPr>
                  <w:r>
                    <w:rPr>
                      <w:sz w:val="21"/>
                      <w:szCs w:val="21"/>
                    </w:rPr>
                    <w:t>通风系统完整性及效能</w:t>
                  </w:r>
                </w:p>
              </w:tc>
              <w:tc>
                <w:tcPr>
                  <w:tcW w:w="747" w:type="pct"/>
                  <w:vAlign w:val="center"/>
                </w:tcPr>
                <w:p w14:paraId="4A248976">
                  <w:pPr>
                    <w:spacing w:line="360" w:lineRule="exact"/>
                    <w:jc w:val="center"/>
                    <w:rPr>
                      <w:sz w:val="21"/>
                      <w:szCs w:val="21"/>
                    </w:rPr>
                  </w:pPr>
                  <w:r>
                    <w:rPr>
                      <w:sz w:val="21"/>
                      <w:szCs w:val="21"/>
                    </w:rPr>
                    <w:t>已设计</w:t>
                  </w:r>
                </w:p>
              </w:tc>
            </w:tr>
            <w:tr w14:paraId="142A92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6571BCD8">
                  <w:pPr>
                    <w:spacing w:line="360" w:lineRule="exact"/>
                    <w:jc w:val="center"/>
                    <w:rPr>
                      <w:sz w:val="21"/>
                      <w:szCs w:val="21"/>
                    </w:rPr>
                  </w:pPr>
                  <w:r>
                    <w:rPr>
                      <w:sz w:val="21"/>
                      <w:szCs w:val="21"/>
                    </w:rPr>
                    <w:t>6</w:t>
                  </w:r>
                </w:p>
              </w:tc>
              <w:tc>
                <w:tcPr>
                  <w:tcW w:w="829" w:type="pct"/>
                  <w:vMerge w:val="continue"/>
                  <w:vAlign w:val="center"/>
                </w:tcPr>
                <w:p w14:paraId="57669F95">
                  <w:pPr>
                    <w:spacing w:line="360" w:lineRule="exact"/>
                    <w:jc w:val="center"/>
                    <w:rPr>
                      <w:sz w:val="21"/>
                      <w:szCs w:val="21"/>
                    </w:rPr>
                  </w:pPr>
                </w:p>
              </w:tc>
              <w:tc>
                <w:tcPr>
                  <w:tcW w:w="2845" w:type="pct"/>
                  <w:vAlign w:val="center"/>
                </w:tcPr>
                <w:p w14:paraId="1704ED4D">
                  <w:pPr>
                    <w:spacing w:line="360" w:lineRule="exact"/>
                    <w:jc w:val="center"/>
                    <w:rPr>
                      <w:sz w:val="21"/>
                      <w:szCs w:val="21"/>
                    </w:rPr>
                  </w:pPr>
                  <w:r>
                    <w:rPr>
                      <w:sz w:val="21"/>
                      <w:szCs w:val="21"/>
                    </w:rPr>
                    <w:t>密封箱室</w:t>
                  </w:r>
                </w:p>
              </w:tc>
              <w:tc>
                <w:tcPr>
                  <w:tcW w:w="747" w:type="pct"/>
                  <w:vAlign w:val="center"/>
                </w:tcPr>
                <w:p w14:paraId="3310521B">
                  <w:pPr>
                    <w:spacing w:line="360" w:lineRule="exact"/>
                    <w:jc w:val="center"/>
                    <w:rPr>
                      <w:sz w:val="21"/>
                      <w:szCs w:val="21"/>
                    </w:rPr>
                  </w:pPr>
                  <w:r>
                    <w:rPr>
                      <w:sz w:val="21"/>
                      <w:szCs w:val="21"/>
                    </w:rPr>
                    <w:t>已设计</w:t>
                  </w:r>
                </w:p>
              </w:tc>
            </w:tr>
            <w:tr w14:paraId="19B740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40545682">
                  <w:pPr>
                    <w:spacing w:line="360" w:lineRule="exact"/>
                    <w:jc w:val="center"/>
                    <w:rPr>
                      <w:sz w:val="21"/>
                      <w:szCs w:val="21"/>
                    </w:rPr>
                  </w:pPr>
                  <w:r>
                    <w:rPr>
                      <w:sz w:val="21"/>
                      <w:szCs w:val="21"/>
                    </w:rPr>
                    <w:t>7</w:t>
                  </w:r>
                </w:p>
              </w:tc>
              <w:tc>
                <w:tcPr>
                  <w:tcW w:w="829" w:type="pct"/>
                  <w:vMerge w:val="continue"/>
                  <w:vAlign w:val="center"/>
                </w:tcPr>
                <w:p w14:paraId="7E879815">
                  <w:pPr>
                    <w:spacing w:line="360" w:lineRule="exact"/>
                    <w:jc w:val="center"/>
                    <w:rPr>
                      <w:sz w:val="21"/>
                      <w:szCs w:val="21"/>
                    </w:rPr>
                  </w:pPr>
                </w:p>
              </w:tc>
              <w:tc>
                <w:tcPr>
                  <w:tcW w:w="2845" w:type="pct"/>
                  <w:vAlign w:val="center"/>
                </w:tcPr>
                <w:p w14:paraId="32E25C2F">
                  <w:pPr>
                    <w:spacing w:line="360" w:lineRule="exact"/>
                    <w:jc w:val="center"/>
                    <w:rPr>
                      <w:sz w:val="21"/>
                      <w:szCs w:val="21"/>
                    </w:rPr>
                  </w:pPr>
                  <w:r>
                    <w:rPr>
                      <w:sz w:val="21"/>
                      <w:szCs w:val="21"/>
                    </w:rPr>
                    <w:t>屏蔽防护设施</w:t>
                  </w:r>
                </w:p>
              </w:tc>
              <w:tc>
                <w:tcPr>
                  <w:tcW w:w="747" w:type="pct"/>
                  <w:vAlign w:val="center"/>
                </w:tcPr>
                <w:p w14:paraId="30F748F9">
                  <w:pPr>
                    <w:spacing w:line="360" w:lineRule="exact"/>
                    <w:jc w:val="center"/>
                    <w:rPr>
                      <w:sz w:val="21"/>
                      <w:szCs w:val="21"/>
                    </w:rPr>
                  </w:pPr>
                  <w:r>
                    <w:rPr>
                      <w:sz w:val="21"/>
                      <w:szCs w:val="21"/>
                    </w:rPr>
                    <w:t>已设计</w:t>
                  </w:r>
                </w:p>
              </w:tc>
            </w:tr>
            <w:tr w14:paraId="70B27E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262DFE31">
                  <w:pPr>
                    <w:spacing w:line="360" w:lineRule="exact"/>
                    <w:jc w:val="center"/>
                    <w:rPr>
                      <w:sz w:val="21"/>
                      <w:szCs w:val="21"/>
                    </w:rPr>
                  </w:pPr>
                  <w:r>
                    <w:rPr>
                      <w:sz w:val="21"/>
                      <w:szCs w:val="21"/>
                    </w:rPr>
                    <w:t>8</w:t>
                  </w:r>
                </w:p>
              </w:tc>
              <w:tc>
                <w:tcPr>
                  <w:tcW w:w="829" w:type="pct"/>
                  <w:vMerge w:val="continue"/>
                  <w:vAlign w:val="center"/>
                </w:tcPr>
                <w:p w14:paraId="4D7D6AAD">
                  <w:pPr>
                    <w:spacing w:line="360" w:lineRule="exact"/>
                    <w:jc w:val="center"/>
                    <w:rPr>
                      <w:sz w:val="21"/>
                      <w:szCs w:val="21"/>
                    </w:rPr>
                  </w:pPr>
                </w:p>
              </w:tc>
              <w:tc>
                <w:tcPr>
                  <w:tcW w:w="2845" w:type="pct"/>
                  <w:vAlign w:val="center"/>
                </w:tcPr>
                <w:p w14:paraId="5F72569F">
                  <w:pPr>
                    <w:spacing w:line="360" w:lineRule="exact"/>
                    <w:jc w:val="center"/>
                    <w:rPr>
                      <w:sz w:val="21"/>
                      <w:szCs w:val="21"/>
                    </w:rPr>
                  </w:pPr>
                  <w:r>
                    <w:rPr>
                      <w:sz w:val="21"/>
                      <w:szCs w:val="21"/>
                    </w:rPr>
                    <w:t>防过热或超压保护</w:t>
                  </w:r>
                </w:p>
              </w:tc>
              <w:tc>
                <w:tcPr>
                  <w:tcW w:w="747" w:type="pct"/>
                  <w:vAlign w:val="center"/>
                </w:tcPr>
                <w:p w14:paraId="4072018E">
                  <w:pPr>
                    <w:spacing w:line="360" w:lineRule="exact"/>
                    <w:jc w:val="center"/>
                    <w:rPr>
                      <w:sz w:val="21"/>
                      <w:szCs w:val="21"/>
                    </w:rPr>
                  </w:pPr>
                  <w:r>
                    <w:rPr>
                      <w:sz w:val="21"/>
                      <w:szCs w:val="21"/>
                    </w:rPr>
                    <w:t>拟落实</w:t>
                  </w:r>
                </w:p>
              </w:tc>
            </w:tr>
            <w:tr w14:paraId="0ABAB7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0AB46CC1">
                  <w:pPr>
                    <w:spacing w:line="360" w:lineRule="exact"/>
                    <w:jc w:val="center"/>
                    <w:rPr>
                      <w:sz w:val="21"/>
                      <w:szCs w:val="21"/>
                    </w:rPr>
                  </w:pPr>
                  <w:r>
                    <w:rPr>
                      <w:sz w:val="21"/>
                      <w:szCs w:val="21"/>
                    </w:rPr>
                    <w:t>9</w:t>
                  </w:r>
                </w:p>
              </w:tc>
              <w:tc>
                <w:tcPr>
                  <w:tcW w:w="829" w:type="pct"/>
                  <w:vMerge w:val="continue"/>
                  <w:vAlign w:val="center"/>
                </w:tcPr>
                <w:p w14:paraId="46BCF12B">
                  <w:pPr>
                    <w:spacing w:line="360" w:lineRule="exact"/>
                    <w:jc w:val="center"/>
                    <w:rPr>
                      <w:sz w:val="21"/>
                      <w:szCs w:val="21"/>
                    </w:rPr>
                  </w:pPr>
                </w:p>
              </w:tc>
              <w:tc>
                <w:tcPr>
                  <w:tcW w:w="2845" w:type="pct"/>
                  <w:vAlign w:val="center"/>
                </w:tcPr>
                <w:p w14:paraId="597CDC48">
                  <w:pPr>
                    <w:spacing w:line="360" w:lineRule="exact"/>
                    <w:jc w:val="center"/>
                    <w:rPr>
                      <w:sz w:val="21"/>
                      <w:szCs w:val="21"/>
                    </w:rPr>
                  </w:pPr>
                  <w:r>
                    <w:rPr>
                      <w:sz w:val="21"/>
                      <w:szCs w:val="21"/>
                    </w:rPr>
                    <w:t>防止放射性液体操作造成污染的措施</w:t>
                  </w:r>
                </w:p>
              </w:tc>
              <w:tc>
                <w:tcPr>
                  <w:tcW w:w="747" w:type="pct"/>
                  <w:vAlign w:val="center"/>
                </w:tcPr>
                <w:p w14:paraId="261B91F2">
                  <w:pPr>
                    <w:spacing w:line="360" w:lineRule="exact"/>
                    <w:jc w:val="center"/>
                    <w:rPr>
                      <w:sz w:val="21"/>
                      <w:szCs w:val="21"/>
                    </w:rPr>
                  </w:pPr>
                  <w:r>
                    <w:rPr>
                      <w:sz w:val="21"/>
                      <w:szCs w:val="21"/>
                    </w:rPr>
                    <w:t>拟落实</w:t>
                  </w:r>
                </w:p>
              </w:tc>
            </w:tr>
            <w:tr w14:paraId="4D19CC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382FA03F">
                  <w:pPr>
                    <w:spacing w:line="360" w:lineRule="exact"/>
                    <w:jc w:val="center"/>
                    <w:rPr>
                      <w:sz w:val="21"/>
                      <w:szCs w:val="21"/>
                    </w:rPr>
                  </w:pPr>
                  <w:r>
                    <w:rPr>
                      <w:sz w:val="21"/>
                      <w:szCs w:val="21"/>
                    </w:rPr>
                    <w:t>11</w:t>
                  </w:r>
                </w:p>
              </w:tc>
              <w:tc>
                <w:tcPr>
                  <w:tcW w:w="829" w:type="pct"/>
                  <w:vMerge w:val="continue"/>
                  <w:vAlign w:val="center"/>
                </w:tcPr>
                <w:p w14:paraId="162368DB">
                  <w:pPr>
                    <w:spacing w:line="360" w:lineRule="exact"/>
                    <w:jc w:val="center"/>
                    <w:rPr>
                      <w:sz w:val="21"/>
                      <w:szCs w:val="21"/>
                    </w:rPr>
                  </w:pPr>
                </w:p>
              </w:tc>
              <w:tc>
                <w:tcPr>
                  <w:tcW w:w="2845" w:type="pct"/>
                  <w:vAlign w:val="center"/>
                </w:tcPr>
                <w:p w14:paraId="677A5679">
                  <w:pPr>
                    <w:spacing w:line="360" w:lineRule="exact"/>
                    <w:jc w:val="center"/>
                    <w:rPr>
                      <w:sz w:val="21"/>
                      <w:szCs w:val="21"/>
                    </w:rPr>
                  </w:pPr>
                  <w:r>
                    <w:rPr>
                      <w:sz w:val="21"/>
                      <w:szCs w:val="21"/>
                    </w:rPr>
                    <w:t>火灾报警仪</w:t>
                  </w:r>
                </w:p>
              </w:tc>
              <w:tc>
                <w:tcPr>
                  <w:tcW w:w="747" w:type="pct"/>
                  <w:vAlign w:val="center"/>
                </w:tcPr>
                <w:p w14:paraId="5B5453A5">
                  <w:pPr>
                    <w:spacing w:line="360" w:lineRule="exact"/>
                    <w:jc w:val="center"/>
                    <w:rPr>
                      <w:sz w:val="21"/>
                      <w:szCs w:val="21"/>
                    </w:rPr>
                  </w:pPr>
                  <w:r>
                    <w:rPr>
                      <w:sz w:val="21"/>
                      <w:szCs w:val="21"/>
                    </w:rPr>
                    <w:t>拟落实</w:t>
                  </w:r>
                </w:p>
              </w:tc>
            </w:tr>
            <w:tr w14:paraId="6A3BCC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71BA3E52">
                  <w:pPr>
                    <w:spacing w:line="360" w:lineRule="exact"/>
                    <w:jc w:val="center"/>
                    <w:rPr>
                      <w:sz w:val="21"/>
                      <w:szCs w:val="21"/>
                    </w:rPr>
                  </w:pPr>
                  <w:r>
                    <w:rPr>
                      <w:sz w:val="21"/>
                      <w:szCs w:val="21"/>
                    </w:rPr>
                    <w:t>12</w:t>
                  </w:r>
                </w:p>
              </w:tc>
              <w:tc>
                <w:tcPr>
                  <w:tcW w:w="829" w:type="pct"/>
                  <w:vMerge w:val="continue"/>
                  <w:vAlign w:val="center"/>
                </w:tcPr>
                <w:p w14:paraId="10F5D28B">
                  <w:pPr>
                    <w:spacing w:line="360" w:lineRule="exact"/>
                    <w:jc w:val="center"/>
                    <w:rPr>
                      <w:sz w:val="21"/>
                      <w:szCs w:val="21"/>
                    </w:rPr>
                  </w:pPr>
                </w:p>
              </w:tc>
              <w:tc>
                <w:tcPr>
                  <w:tcW w:w="2845" w:type="pct"/>
                  <w:vAlign w:val="center"/>
                </w:tcPr>
                <w:p w14:paraId="419AD0A0">
                  <w:pPr>
                    <w:spacing w:line="360" w:lineRule="exact"/>
                    <w:jc w:val="center"/>
                    <w:rPr>
                      <w:sz w:val="21"/>
                      <w:szCs w:val="21"/>
                    </w:rPr>
                  </w:pPr>
                  <w:r>
                    <w:rPr>
                      <w:sz w:val="21"/>
                      <w:szCs w:val="21"/>
                    </w:rPr>
                    <w:t>放射性废水处理系统及标识</w:t>
                  </w:r>
                </w:p>
              </w:tc>
              <w:tc>
                <w:tcPr>
                  <w:tcW w:w="747" w:type="pct"/>
                  <w:vAlign w:val="center"/>
                </w:tcPr>
                <w:p w14:paraId="6B425174">
                  <w:pPr>
                    <w:spacing w:line="360" w:lineRule="exact"/>
                    <w:jc w:val="center"/>
                    <w:rPr>
                      <w:sz w:val="21"/>
                      <w:szCs w:val="21"/>
                    </w:rPr>
                  </w:pPr>
                  <w:r>
                    <w:rPr>
                      <w:sz w:val="21"/>
                      <w:szCs w:val="21"/>
                    </w:rPr>
                    <w:t>已设计</w:t>
                  </w:r>
                </w:p>
              </w:tc>
            </w:tr>
            <w:tr w14:paraId="1F75EC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131B39E4">
                  <w:pPr>
                    <w:spacing w:line="360" w:lineRule="exact"/>
                    <w:jc w:val="center"/>
                    <w:rPr>
                      <w:sz w:val="21"/>
                      <w:szCs w:val="21"/>
                    </w:rPr>
                  </w:pPr>
                  <w:r>
                    <w:rPr>
                      <w:sz w:val="21"/>
                      <w:szCs w:val="21"/>
                    </w:rPr>
                    <w:t>13</w:t>
                  </w:r>
                </w:p>
              </w:tc>
              <w:tc>
                <w:tcPr>
                  <w:tcW w:w="829" w:type="pct"/>
                  <w:vMerge w:val="continue"/>
                  <w:vAlign w:val="center"/>
                </w:tcPr>
                <w:p w14:paraId="1688A537">
                  <w:pPr>
                    <w:spacing w:line="360" w:lineRule="exact"/>
                    <w:jc w:val="center"/>
                    <w:rPr>
                      <w:sz w:val="21"/>
                      <w:szCs w:val="21"/>
                    </w:rPr>
                  </w:pPr>
                </w:p>
              </w:tc>
              <w:tc>
                <w:tcPr>
                  <w:tcW w:w="2845" w:type="pct"/>
                  <w:vAlign w:val="center"/>
                </w:tcPr>
                <w:p w14:paraId="1336EA1A">
                  <w:pPr>
                    <w:spacing w:line="360" w:lineRule="exact"/>
                    <w:jc w:val="center"/>
                    <w:rPr>
                      <w:sz w:val="21"/>
                      <w:szCs w:val="21"/>
                    </w:rPr>
                  </w:pPr>
                  <w:r>
                    <w:rPr>
                      <w:sz w:val="21"/>
                      <w:szCs w:val="21"/>
                    </w:rPr>
                    <w:t>放射性物料与成品暂存场所或设施</w:t>
                  </w:r>
                </w:p>
              </w:tc>
              <w:tc>
                <w:tcPr>
                  <w:tcW w:w="747" w:type="pct"/>
                  <w:vAlign w:val="center"/>
                </w:tcPr>
                <w:p w14:paraId="3CBFA6FC">
                  <w:pPr>
                    <w:spacing w:line="360" w:lineRule="exact"/>
                    <w:jc w:val="center"/>
                    <w:rPr>
                      <w:sz w:val="21"/>
                      <w:szCs w:val="21"/>
                    </w:rPr>
                  </w:pPr>
                  <w:r>
                    <w:rPr>
                      <w:sz w:val="21"/>
                      <w:szCs w:val="21"/>
                    </w:rPr>
                    <w:t>已设计</w:t>
                  </w:r>
                </w:p>
              </w:tc>
            </w:tr>
            <w:tr w14:paraId="3D11C2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0A020492">
                  <w:pPr>
                    <w:spacing w:line="360" w:lineRule="exact"/>
                    <w:jc w:val="center"/>
                    <w:rPr>
                      <w:sz w:val="21"/>
                      <w:szCs w:val="21"/>
                    </w:rPr>
                  </w:pPr>
                  <w:r>
                    <w:rPr>
                      <w:sz w:val="21"/>
                      <w:szCs w:val="21"/>
                    </w:rPr>
                    <w:t>14</w:t>
                  </w:r>
                </w:p>
              </w:tc>
              <w:tc>
                <w:tcPr>
                  <w:tcW w:w="829" w:type="pct"/>
                  <w:vMerge w:val="continue"/>
                  <w:vAlign w:val="center"/>
                </w:tcPr>
                <w:p w14:paraId="0A7612DC">
                  <w:pPr>
                    <w:spacing w:line="360" w:lineRule="exact"/>
                    <w:jc w:val="center"/>
                    <w:rPr>
                      <w:sz w:val="21"/>
                      <w:szCs w:val="21"/>
                    </w:rPr>
                  </w:pPr>
                </w:p>
              </w:tc>
              <w:tc>
                <w:tcPr>
                  <w:tcW w:w="2845" w:type="pct"/>
                  <w:vAlign w:val="center"/>
                </w:tcPr>
                <w:p w14:paraId="6EBE2FC7">
                  <w:pPr>
                    <w:spacing w:line="360" w:lineRule="exact"/>
                    <w:jc w:val="center"/>
                    <w:rPr>
                      <w:sz w:val="21"/>
                      <w:szCs w:val="21"/>
                    </w:rPr>
                  </w:pPr>
                  <w:r>
                    <w:rPr>
                      <w:sz w:val="21"/>
                      <w:szCs w:val="21"/>
                    </w:rPr>
                    <w:t>放射性固体废物暂存场所或设施</w:t>
                  </w:r>
                </w:p>
              </w:tc>
              <w:tc>
                <w:tcPr>
                  <w:tcW w:w="747" w:type="pct"/>
                  <w:vAlign w:val="center"/>
                </w:tcPr>
                <w:p w14:paraId="113BC56E">
                  <w:pPr>
                    <w:spacing w:line="360" w:lineRule="exact"/>
                    <w:jc w:val="center"/>
                    <w:rPr>
                      <w:sz w:val="21"/>
                      <w:szCs w:val="21"/>
                    </w:rPr>
                  </w:pPr>
                  <w:r>
                    <w:rPr>
                      <w:sz w:val="21"/>
                      <w:szCs w:val="21"/>
                    </w:rPr>
                    <w:t>已设计</w:t>
                  </w:r>
                </w:p>
              </w:tc>
            </w:tr>
            <w:tr w14:paraId="641CEC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6D555741">
                  <w:pPr>
                    <w:spacing w:line="360" w:lineRule="exact"/>
                    <w:jc w:val="center"/>
                    <w:rPr>
                      <w:sz w:val="21"/>
                      <w:szCs w:val="21"/>
                    </w:rPr>
                  </w:pPr>
                  <w:r>
                    <w:rPr>
                      <w:sz w:val="21"/>
                      <w:szCs w:val="21"/>
                    </w:rPr>
                    <w:t>15</w:t>
                  </w:r>
                </w:p>
              </w:tc>
              <w:tc>
                <w:tcPr>
                  <w:tcW w:w="829" w:type="pct"/>
                  <w:vMerge w:val="continue"/>
                  <w:vAlign w:val="center"/>
                </w:tcPr>
                <w:p w14:paraId="7E01422F">
                  <w:pPr>
                    <w:spacing w:line="360" w:lineRule="exact"/>
                    <w:jc w:val="center"/>
                    <w:rPr>
                      <w:sz w:val="21"/>
                      <w:szCs w:val="21"/>
                    </w:rPr>
                  </w:pPr>
                </w:p>
              </w:tc>
              <w:tc>
                <w:tcPr>
                  <w:tcW w:w="2845" w:type="pct"/>
                  <w:vAlign w:val="center"/>
                </w:tcPr>
                <w:p w14:paraId="115502BB">
                  <w:pPr>
                    <w:spacing w:line="360" w:lineRule="exact"/>
                    <w:jc w:val="center"/>
                    <w:rPr>
                      <w:sz w:val="21"/>
                      <w:szCs w:val="21"/>
                    </w:rPr>
                  </w:pPr>
                  <w:r>
                    <w:rPr>
                      <w:sz w:val="21"/>
                      <w:szCs w:val="21"/>
                    </w:rPr>
                    <w:t>安保设施</w:t>
                  </w:r>
                </w:p>
              </w:tc>
              <w:tc>
                <w:tcPr>
                  <w:tcW w:w="747" w:type="pct"/>
                  <w:vAlign w:val="center"/>
                </w:tcPr>
                <w:p w14:paraId="05568AF1">
                  <w:pPr>
                    <w:spacing w:line="360" w:lineRule="exact"/>
                    <w:jc w:val="center"/>
                    <w:rPr>
                      <w:sz w:val="21"/>
                      <w:szCs w:val="21"/>
                    </w:rPr>
                  </w:pPr>
                  <w:r>
                    <w:rPr>
                      <w:sz w:val="21"/>
                      <w:szCs w:val="21"/>
                    </w:rPr>
                    <w:t>已设计</w:t>
                  </w:r>
                </w:p>
              </w:tc>
            </w:tr>
            <w:tr w14:paraId="080A4E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449E90FC">
                  <w:pPr>
                    <w:spacing w:line="360" w:lineRule="exact"/>
                    <w:jc w:val="center"/>
                    <w:rPr>
                      <w:sz w:val="21"/>
                      <w:szCs w:val="21"/>
                    </w:rPr>
                  </w:pPr>
                  <w:r>
                    <w:rPr>
                      <w:sz w:val="21"/>
                      <w:szCs w:val="21"/>
                    </w:rPr>
                    <w:t>16</w:t>
                  </w:r>
                </w:p>
              </w:tc>
              <w:tc>
                <w:tcPr>
                  <w:tcW w:w="829" w:type="pct"/>
                  <w:vMerge w:val="continue"/>
                  <w:vAlign w:val="center"/>
                </w:tcPr>
                <w:p w14:paraId="122CE453">
                  <w:pPr>
                    <w:spacing w:line="360" w:lineRule="exact"/>
                    <w:jc w:val="center"/>
                    <w:rPr>
                      <w:sz w:val="21"/>
                      <w:szCs w:val="21"/>
                    </w:rPr>
                  </w:pPr>
                </w:p>
              </w:tc>
              <w:tc>
                <w:tcPr>
                  <w:tcW w:w="2845" w:type="pct"/>
                  <w:vAlign w:val="center"/>
                </w:tcPr>
                <w:p w14:paraId="5F3FF049">
                  <w:pPr>
                    <w:spacing w:line="360" w:lineRule="exact"/>
                    <w:jc w:val="center"/>
                    <w:rPr>
                      <w:sz w:val="21"/>
                      <w:szCs w:val="21"/>
                    </w:rPr>
                  </w:pPr>
                  <w:r>
                    <w:rPr>
                      <w:sz w:val="21"/>
                      <w:szCs w:val="21"/>
                    </w:rPr>
                    <w:t>防火设备、应急出口</w:t>
                  </w:r>
                </w:p>
              </w:tc>
              <w:tc>
                <w:tcPr>
                  <w:tcW w:w="747" w:type="pct"/>
                  <w:vAlign w:val="center"/>
                </w:tcPr>
                <w:p w14:paraId="32F1F9D6">
                  <w:pPr>
                    <w:spacing w:line="360" w:lineRule="exact"/>
                    <w:jc w:val="center"/>
                    <w:rPr>
                      <w:sz w:val="21"/>
                      <w:szCs w:val="21"/>
                    </w:rPr>
                  </w:pPr>
                  <w:r>
                    <w:rPr>
                      <w:sz w:val="21"/>
                      <w:szCs w:val="21"/>
                    </w:rPr>
                    <w:t>已设计</w:t>
                  </w:r>
                </w:p>
              </w:tc>
            </w:tr>
            <w:tr w14:paraId="4519FA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0E5F25E0">
                  <w:pPr>
                    <w:spacing w:line="360" w:lineRule="exact"/>
                    <w:jc w:val="center"/>
                    <w:rPr>
                      <w:sz w:val="21"/>
                      <w:szCs w:val="21"/>
                    </w:rPr>
                  </w:pPr>
                  <w:r>
                    <w:rPr>
                      <w:sz w:val="21"/>
                      <w:szCs w:val="21"/>
                    </w:rPr>
                    <w:t>17</w:t>
                  </w:r>
                </w:p>
              </w:tc>
              <w:tc>
                <w:tcPr>
                  <w:tcW w:w="829" w:type="pct"/>
                  <w:vMerge w:val="restart"/>
                  <w:vAlign w:val="center"/>
                </w:tcPr>
                <w:p w14:paraId="733CCDFA">
                  <w:pPr>
                    <w:spacing w:line="360" w:lineRule="exact"/>
                    <w:jc w:val="center"/>
                    <w:rPr>
                      <w:sz w:val="21"/>
                      <w:szCs w:val="21"/>
                    </w:rPr>
                  </w:pPr>
                  <w:r>
                    <w:rPr>
                      <w:sz w:val="21"/>
                      <w:szCs w:val="21"/>
                    </w:rPr>
                    <w:t>监测设备</w:t>
                  </w:r>
                </w:p>
              </w:tc>
              <w:tc>
                <w:tcPr>
                  <w:tcW w:w="2845" w:type="pct"/>
                  <w:vAlign w:val="center"/>
                </w:tcPr>
                <w:p w14:paraId="7EB6D439">
                  <w:pPr>
                    <w:spacing w:line="360" w:lineRule="exact"/>
                    <w:jc w:val="center"/>
                    <w:rPr>
                      <w:sz w:val="21"/>
                      <w:szCs w:val="21"/>
                    </w:rPr>
                  </w:pPr>
                  <w:r>
                    <w:rPr>
                      <w:sz w:val="21"/>
                      <w:szCs w:val="21"/>
                    </w:rPr>
                    <w:t>人员出口污染监测仪</w:t>
                  </w:r>
                </w:p>
              </w:tc>
              <w:tc>
                <w:tcPr>
                  <w:tcW w:w="747" w:type="pct"/>
                  <w:vAlign w:val="center"/>
                </w:tcPr>
                <w:p w14:paraId="46F877D5">
                  <w:pPr>
                    <w:spacing w:line="360" w:lineRule="exact"/>
                    <w:jc w:val="center"/>
                    <w:rPr>
                      <w:sz w:val="21"/>
                      <w:szCs w:val="21"/>
                    </w:rPr>
                  </w:pPr>
                  <w:r>
                    <w:rPr>
                      <w:sz w:val="21"/>
                      <w:szCs w:val="21"/>
                    </w:rPr>
                    <w:t>拟落实</w:t>
                  </w:r>
                </w:p>
              </w:tc>
            </w:tr>
            <w:tr w14:paraId="2CB260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10A1405D">
                  <w:pPr>
                    <w:spacing w:line="360" w:lineRule="exact"/>
                    <w:jc w:val="center"/>
                    <w:rPr>
                      <w:sz w:val="21"/>
                      <w:szCs w:val="21"/>
                    </w:rPr>
                  </w:pPr>
                  <w:r>
                    <w:rPr>
                      <w:sz w:val="21"/>
                      <w:szCs w:val="21"/>
                    </w:rPr>
                    <w:t>18</w:t>
                  </w:r>
                </w:p>
              </w:tc>
              <w:tc>
                <w:tcPr>
                  <w:tcW w:w="829" w:type="pct"/>
                  <w:vMerge w:val="continue"/>
                  <w:vAlign w:val="center"/>
                </w:tcPr>
                <w:p w14:paraId="152EF998">
                  <w:pPr>
                    <w:spacing w:line="360" w:lineRule="exact"/>
                    <w:jc w:val="center"/>
                    <w:rPr>
                      <w:sz w:val="21"/>
                      <w:szCs w:val="21"/>
                    </w:rPr>
                  </w:pPr>
                </w:p>
              </w:tc>
              <w:tc>
                <w:tcPr>
                  <w:tcW w:w="2845" w:type="pct"/>
                  <w:vAlign w:val="center"/>
                </w:tcPr>
                <w:p w14:paraId="4629EC79">
                  <w:pPr>
                    <w:spacing w:line="360" w:lineRule="exact"/>
                    <w:jc w:val="center"/>
                    <w:rPr>
                      <w:sz w:val="21"/>
                      <w:szCs w:val="21"/>
                    </w:rPr>
                  </w:pPr>
                  <w:r>
                    <w:rPr>
                      <w:sz w:val="21"/>
                      <w:szCs w:val="21"/>
                    </w:rPr>
                    <w:t>固定式辐射监测报警仪</w:t>
                  </w:r>
                </w:p>
              </w:tc>
              <w:tc>
                <w:tcPr>
                  <w:tcW w:w="747" w:type="pct"/>
                  <w:vAlign w:val="center"/>
                </w:tcPr>
                <w:p w14:paraId="5161B6E5">
                  <w:pPr>
                    <w:spacing w:line="360" w:lineRule="exact"/>
                    <w:jc w:val="center"/>
                    <w:rPr>
                      <w:sz w:val="21"/>
                      <w:szCs w:val="21"/>
                    </w:rPr>
                  </w:pPr>
                  <w:r>
                    <w:rPr>
                      <w:sz w:val="21"/>
                      <w:szCs w:val="21"/>
                    </w:rPr>
                    <w:t>拟落实</w:t>
                  </w:r>
                </w:p>
              </w:tc>
            </w:tr>
            <w:tr w14:paraId="4BB6B9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5226815B">
                  <w:pPr>
                    <w:spacing w:line="360" w:lineRule="exact"/>
                    <w:jc w:val="center"/>
                    <w:rPr>
                      <w:sz w:val="21"/>
                      <w:szCs w:val="21"/>
                    </w:rPr>
                  </w:pPr>
                  <w:r>
                    <w:rPr>
                      <w:sz w:val="21"/>
                      <w:szCs w:val="21"/>
                    </w:rPr>
                    <w:t>19</w:t>
                  </w:r>
                </w:p>
              </w:tc>
              <w:tc>
                <w:tcPr>
                  <w:tcW w:w="829" w:type="pct"/>
                  <w:vMerge w:val="continue"/>
                  <w:vAlign w:val="center"/>
                </w:tcPr>
                <w:p w14:paraId="2A3D7027">
                  <w:pPr>
                    <w:spacing w:line="360" w:lineRule="exact"/>
                    <w:jc w:val="center"/>
                    <w:rPr>
                      <w:sz w:val="21"/>
                      <w:szCs w:val="21"/>
                    </w:rPr>
                  </w:pPr>
                </w:p>
              </w:tc>
              <w:tc>
                <w:tcPr>
                  <w:tcW w:w="2845" w:type="pct"/>
                  <w:vAlign w:val="center"/>
                </w:tcPr>
                <w:p w14:paraId="120457D2">
                  <w:pPr>
                    <w:spacing w:line="360" w:lineRule="exact"/>
                    <w:jc w:val="center"/>
                    <w:rPr>
                      <w:sz w:val="21"/>
                      <w:szCs w:val="21"/>
                    </w:rPr>
                  </w:pPr>
                  <w:r>
                    <w:rPr>
                      <w:sz w:val="21"/>
                      <w:szCs w:val="21"/>
                    </w:rPr>
                    <w:t>便携式辐射监测仪</w:t>
                  </w:r>
                </w:p>
              </w:tc>
              <w:tc>
                <w:tcPr>
                  <w:tcW w:w="747" w:type="pct"/>
                  <w:vAlign w:val="center"/>
                </w:tcPr>
                <w:p w14:paraId="4BA9C9FD">
                  <w:pPr>
                    <w:spacing w:line="360" w:lineRule="exact"/>
                    <w:jc w:val="center"/>
                    <w:rPr>
                      <w:sz w:val="21"/>
                      <w:szCs w:val="21"/>
                    </w:rPr>
                  </w:pPr>
                  <w:r>
                    <w:rPr>
                      <w:sz w:val="21"/>
                      <w:szCs w:val="21"/>
                    </w:rPr>
                    <w:t>拟落实</w:t>
                  </w:r>
                </w:p>
              </w:tc>
            </w:tr>
            <w:tr w14:paraId="2136F8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3BF01A10">
                  <w:pPr>
                    <w:spacing w:line="360" w:lineRule="exact"/>
                    <w:jc w:val="center"/>
                    <w:rPr>
                      <w:sz w:val="21"/>
                      <w:szCs w:val="21"/>
                    </w:rPr>
                  </w:pPr>
                  <w:r>
                    <w:rPr>
                      <w:sz w:val="21"/>
                      <w:szCs w:val="21"/>
                    </w:rPr>
                    <w:t>20</w:t>
                  </w:r>
                </w:p>
              </w:tc>
              <w:tc>
                <w:tcPr>
                  <w:tcW w:w="829" w:type="pct"/>
                  <w:vMerge w:val="continue"/>
                  <w:vAlign w:val="center"/>
                </w:tcPr>
                <w:p w14:paraId="0524B627">
                  <w:pPr>
                    <w:spacing w:line="360" w:lineRule="exact"/>
                    <w:jc w:val="center"/>
                    <w:rPr>
                      <w:sz w:val="21"/>
                      <w:szCs w:val="21"/>
                    </w:rPr>
                  </w:pPr>
                </w:p>
              </w:tc>
              <w:tc>
                <w:tcPr>
                  <w:tcW w:w="2845" w:type="pct"/>
                  <w:vAlign w:val="center"/>
                </w:tcPr>
                <w:p w14:paraId="6C6C9D94">
                  <w:pPr>
                    <w:spacing w:line="360" w:lineRule="exact"/>
                    <w:jc w:val="center"/>
                    <w:rPr>
                      <w:sz w:val="21"/>
                      <w:szCs w:val="21"/>
                    </w:rPr>
                  </w:pPr>
                  <w:r>
                    <w:rPr>
                      <w:sz w:val="21"/>
                      <w:szCs w:val="21"/>
                    </w:rPr>
                    <w:t>个人剂量计</w:t>
                  </w:r>
                </w:p>
              </w:tc>
              <w:tc>
                <w:tcPr>
                  <w:tcW w:w="747" w:type="pct"/>
                  <w:vAlign w:val="center"/>
                </w:tcPr>
                <w:p w14:paraId="1DE62570">
                  <w:pPr>
                    <w:spacing w:line="360" w:lineRule="exact"/>
                    <w:jc w:val="center"/>
                    <w:rPr>
                      <w:sz w:val="21"/>
                      <w:szCs w:val="21"/>
                    </w:rPr>
                  </w:pPr>
                  <w:r>
                    <w:rPr>
                      <w:sz w:val="21"/>
                      <w:szCs w:val="21"/>
                    </w:rPr>
                    <w:t>拟落实</w:t>
                  </w:r>
                </w:p>
              </w:tc>
            </w:tr>
            <w:tr w14:paraId="1A3E85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54D8E30C">
                  <w:pPr>
                    <w:spacing w:line="360" w:lineRule="exact"/>
                    <w:jc w:val="center"/>
                    <w:rPr>
                      <w:sz w:val="21"/>
                      <w:szCs w:val="21"/>
                    </w:rPr>
                  </w:pPr>
                  <w:r>
                    <w:rPr>
                      <w:sz w:val="21"/>
                      <w:szCs w:val="21"/>
                    </w:rPr>
                    <w:t>21</w:t>
                  </w:r>
                </w:p>
              </w:tc>
              <w:tc>
                <w:tcPr>
                  <w:tcW w:w="829" w:type="pct"/>
                  <w:vMerge w:val="continue"/>
                  <w:vAlign w:val="center"/>
                </w:tcPr>
                <w:p w14:paraId="1F8B28E4">
                  <w:pPr>
                    <w:spacing w:line="360" w:lineRule="exact"/>
                    <w:jc w:val="center"/>
                    <w:rPr>
                      <w:sz w:val="21"/>
                      <w:szCs w:val="21"/>
                    </w:rPr>
                  </w:pPr>
                </w:p>
              </w:tc>
              <w:tc>
                <w:tcPr>
                  <w:tcW w:w="2845" w:type="pct"/>
                  <w:vAlign w:val="center"/>
                </w:tcPr>
                <w:p w14:paraId="38AC6B06">
                  <w:pPr>
                    <w:spacing w:line="360" w:lineRule="exact"/>
                    <w:jc w:val="center"/>
                    <w:rPr>
                      <w:sz w:val="21"/>
                      <w:szCs w:val="21"/>
                    </w:rPr>
                  </w:pPr>
                  <w:r>
                    <w:rPr>
                      <w:sz w:val="21"/>
                      <w:szCs w:val="21"/>
                    </w:rPr>
                    <w:t>个人剂量报警仪</w:t>
                  </w:r>
                </w:p>
              </w:tc>
              <w:tc>
                <w:tcPr>
                  <w:tcW w:w="747" w:type="pct"/>
                  <w:vAlign w:val="center"/>
                </w:tcPr>
                <w:p w14:paraId="4992A7DC">
                  <w:pPr>
                    <w:spacing w:line="360" w:lineRule="exact"/>
                    <w:jc w:val="center"/>
                    <w:rPr>
                      <w:sz w:val="21"/>
                      <w:szCs w:val="21"/>
                    </w:rPr>
                  </w:pPr>
                  <w:r>
                    <w:rPr>
                      <w:sz w:val="21"/>
                      <w:szCs w:val="21"/>
                    </w:rPr>
                    <w:t>拟落实</w:t>
                  </w:r>
                </w:p>
              </w:tc>
            </w:tr>
            <w:tr w14:paraId="2E0F05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6B89E7E5">
                  <w:pPr>
                    <w:spacing w:line="360" w:lineRule="exact"/>
                    <w:jc w:val="center"/>
                    <w:rPr>
                      <w:sz w:val="21"/>
                      <w:szCs w:val="21"/>
                    </w:rPr>
                  </w:pPr>
                  <w:r>
                    <w:rPr>
                      <w:sz w:val="21"/>
                      <w:szCs w:val="21"/>
                    </w:rPr>
                    <w:t>22</w:t>
                  </w:r>
                </w:p>
              </w:tc>
              <w:tc>
                <w:tcPr>
                  <w:tcW w:w="829" w:type="pct"/>
                  <w:vAlign w:val="center"/>
                </w:tcPr>
                <w:p w14:paraId="249236A0">
                  <w:pPr>
                    <w:spacing w:line="360" w:lineRule="exact"/>
                    <w:jc w:val="center"/>
                    <w:rPr>
                      <w:sz w:val="21"/>
                      <w:szCs w:val="21"/>
                    </w:rPr>
                  </w:pPr>
                  <w:r>
                    <w:rPr>
                      <w:sz w:val="21"/>
                      <w:szCs w:val="21"/>
                    </w:rPr>
                    <w:t>防护用品</w:t>
                  </w:r>
                </w:p>
              </w:tc>
              <w:tc>
                <w:tcPr>
                  <w:tcW w:w="2845" w:type="pct"/>
                  <w:vAlign w:val="center"/>
                </w:tcPr>
                <w:p w14:paraId="18466A79">
                  <w:pPr>
                    <w:spacing w:line="360" w:lineRule="exact"/>
                    <w:jc w:val="center"/>
                    <w:rPr>
                      <w:sz w:val="21"/>
                      <w:szCs w:val="21"/>
                    </w:rPr>
                  </w:pPr>
                  <w:r>
                    <w:rPr>
                      <w:sz w:val="21"/>
                      <w:szCs w:val="21"/>
                    </w:rPr>
                    <w:t>个人辐射防护用品</w:t>
                  </w:r>
                </w:p>
              </w:tc>
              <w:tc>
                <w:tcPr>
                  <w:tcW w:w="747" w:type="pct"/>
                  <w:vAlign w:val="center"/>
                </w:tcPr>
                <w:p w14:paraId="606F6F55">
                  <w:pPr>
                    <w:spacing w:line="360" w:lineRule="exact"/>
                    <w:jc w:val="center"/>
                    <w:rPr>
                      <w:sz w:val="21"/>
                      <w:szCs w:val="21"/>
                    </w:rPr>
                  </w:pPr>
                  <w:r>
                    <w:rPr>
                      <w:sz w:val="21"/>
                      <w:szCs w:val="21"/>
                    </w:rPr>
                    <w:t>拟落实</w:t>
                  </w:r>
                </w:p>
              </w:tc>
            </w:tr>
            <w:tr w14:paraId="4D4333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115C1927">
                  <w:pPr>
                    <w:spacing w:line="360" w:lineRule="exact"/>
                    <w:jc w:val="center"/>
                    <w:rPr>
                      <w:sz w:val="21"/>
                      <w:szCs w:val="21"/>
                    </w:rPr>
                  </w:pPr>
                  <w:r>
                    <w:rPr>
                      <w:sz w:val="21"/>
                      <w:szCs w:val="21"/>
                    </w:rPr>
                    <w:t>23</w:t>
                  </w:r>
                </w:p>
              </w:tc>
              <w:tc>
                <w:tcPr>
                  <w:tcW w:w="829" w:type="pct"/>
                  <w:vMerge w:val="restart"/>
                  <w:vAlign w:val="center"/>
                </w:tcPr>
                <w:p w14:paraId="153D9974">
                  <w:pPr>
                    <w:spacing w:line="360" w:lineRule="exact"/>
                    <w:jc w:val="center"/>
                    <w:rPr>
                      <w:sz w:val="21"/>
                      <w:szCs w:val="21"/>
                    </w:rPr>
                  </w:pPr>
                  <w:r>
                    <w:rPr>
                      <w:sz w:val="21"/>
                      <w:szCs w:val="21"/>
                    </w:rPr>
                    <w:t>应急物资</w:t>
                  </w:r>
                </w:p>
              </w:tc>
              <w:tc>
                <w:tcPr>
                  <w:tcW w:w="2845" w:type="pct"/>
                  <w:vAlign w:val="center"/>
                </w:tcPr>
                <w:p w14:paraId="7734B807">
                  <w:pPr>
                    <w:spacing w:line="360" w:lineRule="exact"/>
                    <w:jc w:val="center"/>
                    <w:rPr>
                      <w:sz w:val="21"/>
                      <w:szCs w:val="21"/>
                    </w:rPr>
                  </w:pPr>
                  <w:r>
                    <w:rPr>
                      <w:sz w:val="21"/>
                      <w:szCs w:val="21"/>
                    </w:rPr>
                    <w:t>去污用品和应急物资</w:t>
                  </w:r>
                </w:p>
              </w:tc>
              <w:tc>
                <w:tcPr>
                  <w:tcW w:w="747" w:type="pct"/>
                  <w:vAlign w:val="center"/>
                </w:tcPr>
                <w:p w14:paraId="3C84C9EC">
                  <w:pPr>
                    <w:spacing w:line="360" w:lineRule="exact"/>
                    <w:jc w:val="center"/>
                    <w:rPr>
                      <w:sz w:val="21"/>
                      <w:szCs w:val="21"/>
                    </w:rPr>
                  </w:pPr>
                  <w:r>
                    <w:rPr>
                      <w:sz w:val="21"/>
                      <w:szCs w:val="21"/>
                    </w:rPr>
                    <w:t>拟落实</w:t>
                  </w:r>
                </w:p>
              </w:tc>
            </w:tr>
            <w:tr w14:paraId="43451A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2618F4DB">
                  <w:pPr>
                    <w:spacing w:line="360" w:lineRule="exact"/>
                    <w:jc w:val="center"/>
                    <w:rPr>
                      <w:sz w:val="21"/>
                      <w:szCs w:val="21"/>
                    </w:rPr>
                  </w:pPr>
                  <w:r>
                    <w:rPr>
                      <w:sz w:val="21"/>
                      <w:szCs w:val="21"/>
                    </w:rPr>
                    <w:t>24</w:t>
                  </w:r>
                </w:p>
              </w:tc>
              <w:tc>
                <w:tcPr>
                  <w:tcW w:w="829" w:type="pct"/>
                  <w:vMerge w:val="continue"/>
                  <w:vAlign w:val="center"/>
                </w:tcPr>
                <w:p w14:paraId="26762CA2">
                  <w:pPr>
                    <w:spacing w:line="360" w:lineRule="exact"/>
                    <w:jc w:val="center"/>
                    <w:rPr>
                      <w:sz w:val="21"/>
                      <w:szCs w:val="21"/>
                    </w:rPr>
                  </w:pPr>
                </w:p>
              </w:tc>
              <w:tc>
                <w:tcPr>
                  <w:tcW w:w="2845" w:type="pct"/>
                  <w:vAlign w:val="center"/>
                </w:tcPr>
                <w:p w14:paraId="1E9B09BC">
                  <w:pPr>
                    <w:spacing w:line="360" w:lineRule="exact"/>
                    <w:jc w:val="center"/>
                    <w:rPr>
                      <w:sz w:val="21"/>
                      <w:szCs w:val="21"/>
                    </w:rPr>
                  </w:pPr>
                  <w:r>
                    <w:rPr>
                      <w:sz w:val="21"/>
                      <w:szCs w:val="21"/>
                    </w:rPr>
                    <w:t>合适的灭火器材</w:t>
                  </w:r>
                </w:p>
              </w:tc>
              <w:tc>
                <w:tcPr>
                  <w:tcW w:w="747" w:type="pct"/>
                  <w:vAlign w:val="center"/>
                </w:tcPr>
                <w:p w14:paraId="3CD144B1">
                  <w:pPr>
                    <w:spacing w:line="360" w:lineRule="exact"/>
                    <w:jc w:val="center"/>
                    <w:rPr>
                      <w:sz w:val="21"/>
                      <w:szCs w:val="21"/>
                    </w:rPr>
                  </w:pPr>
                  <w:r>
                    <w:rPr>
                      <w:sz w:val="21"/>
                      <w:szCs w:val="21"/>
                    </w:rPr>
                    <w:t>拟落实</w:t>
                  </w:r>
                </w:p>
              </w:tc>
            </w:tr>
            <w:tr w14:paraId="3D8921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4D16CFC2">
                  <w:pPr>
                    <w:spacing w:line="360" w:lineRule="exact"/>
                    <w:jc w:val="center"/>
                    <w:rPr>
                      <w:sz w:val="21"/>
                      <w:szCs w:val="21"/>
                    </w:rPr>
                  </w:pPr>
                  <w:r>
                    <w:rPr>
                      <w:sz w:val="21"/>
                      <w:szCs w:val="21"/>
                    </w:rPr>
                    <w:t>25</w:t>
                  </w:r>
                </w:p>
              </w:tc>
              <w:tc>
                <w:tcPr>
                  <w:tcW w:w="829" w:type="pct"/>
                  <w:vMerge w:val="continue"/>
                  <w:vAlign w:val="center"/>
                </w:tcPr>
                <w:p w14:paraId="7F2D19D8">
                  <w:pPr>
                    <w:spacing w:line="360" w:lineRule="exact"/>
                    <w:jc w:val="center"/>
                    <w:rPr>
                      <w:sz w:val="21"/>
                      <w:szCs w:val="21"/>
                    </w:rPr>
                  </w:pPr>
                </w:p>
              </w:tc>
              <w:tc>
                <w:tcPr>
                  <w:tcW w:w="2845" w:type="pct"/>
                  <w:vAlign w:val="center"/>
                </w:tcPr>
                <w:p w14:paraId="0045618B">
                  <w:pPr>
                    <w:spacing w:line="360" w:lineRule="exact"/>
                    <w:jc w:val="center"/>
                    <w:rPr>
                      <w:sz w:val="21"/>
                      <w:szCs w:val="21"/>
                    </w:rPr>
                  </w:pPr>
                  <w:r>
                    <w:rPr>
                      <w:sz w:val="21"/>
                      <w:szCs w:val="21"/>
                    </w:rPr>
                    <w:t>放射性同位素应急容器</w:t>
                  </w:r>
                </w:p>
              </w:tc>
              <w:tc>
                <w:tcPr>
                  <w:tcW w:w="747" w:type="pct"/>
                  <w:vAlign w:val="center"/>
                </w:tcPr>
                <w:p w14:paraId="00BBBE88">
                  <w:pPr>
                    <w:spacing w:line="360" w:lineRule="exact"/>
                    <w:jc w:val="center"/>
                    <w:rPr>
                      <w:sz w:val="21"/>
                      <w:szCs w:val="21"/>
                    </w:rPr>
                  </w:pPr>
                  <w:r>
                    <w:rPr>
                      <w:sz w:val="21"/>
                      <w:szCs w:val="21"/>
                    </w:rPr>
                    <w:t>拟落实</w:t>
                  </w:r>
                </w:p>
              </w:tc>
            </w:tr>
            <w:tr w14:paraId="5E52C4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5000" w:type="pct"/>
                  <w:gridSpan w:val="4"/>
                  <w:vAlign w:val="center"/>
                </w:tcPr>
                <w:p w14:paraId="7547CB64">
                  <w:pPr>
                    <w:spacing w:line="360" w:lineRule="exact"/>
                    <w:jc w:val="center"/>
                    <w:rPr>
                      <w:bCs/>
                      <w:sz w:val="21"/>
                      <w:szCs w:val="21"/>
                    </w:rPr>
                  </w:pPr>
                  <w:r>
                    <w:rPr>
                      <w:b/>
                      <w:bCs/>
                      <w:sz w:val="21"/>
                      <w:szCs w:val="21"/>
                    </w:rPr>
                    <w:t>Ⅲ类医用射线装置（负一层）</w:t>
                  </w:r>
                </w:p>
              </w:tc>
            </w:tr>
            <w:tr w14:paraId="287111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284CF26E">
                  <w:pPr>
                    <w:spacing w:line="360" w:lineRule="exact"/>
                    <w:jc w:val="center"/>
                    <w:rPr>
                      <w:sz w:val="21"/>
                      <w:szCs w:val="21"/>
                    </w:rPr>
                  </w:pPr>
                  <w:r>
                    <w:rPr>
                      <w:sz w:val="21"/>
                      <w:szCs w:val="21"/>
                    </w:rPr>
                    <w:t>序号</w:t>
                  </w:r>
                </w:p>
              </w:tc>
              <w:tc>
                <w:tcPr>
                  <w:tcW w:w="829" w:type="pct"/>
                  <w:vAlign w:val="center"/>
                </w:tcPr>
                <w:p w14:paraId="2AFD3F6D">
                  <w:pPr>
                    <w:spacing w:line="360" w:lineRule="exact"/>
                    <w:jc w:val="center"/>
                    <w:rPr>
                      <w:sz w:val="21"/>
                      <w:szCs w:val="21"/>
                    </w:rPr>
                  </w:pPr>
                  <w:r>
                    <w:rPr>
                      <w:sz w:val="21"/>
                      <w:szCs w:val="21"/>
                    </w:rPr>
                    <w:t>项目</w:t>
                  </w:r>
                </w:p>
              </w:tc>
              <w:tc>
                <w:tcPr>
                  <w:tcW w:w="2845" w:type="pct"/>
                  <w:vAlign w:val="center"/>
                </w:tcPr>
                <w:p w14:paraId="50770DCA">
                  <w:pPr>
                    <w:spacing w:line="360" w:lineRule="exact"/>
                    <w:jc w:val="center"/>
                    <w:rPr>
                      <w:sz w:val="21"/>
                      <w:szCs w:val="21"/>
                    </w:rPr>
                  </w:pPr>
                  <w:r>
                    <w:rPr>
                      <w:sz w:val="21"/>
                      <w:szCs w:val="21"/>
                    </w:rPr>
                    <w:t>规定的措施和制度</w:t>
                  </w:r>
                </w:p>
              </w:tc>
              <w:tc>
                <w:tcPr>
                  <w:tcW w:w="747" w:type="pct"/>
                  <w:vAlign w:val="center"/>
                </w:tcPr>
                <w:p w14:paraId="0258EC62">
                  <w:pPr>
                    <w:spacing w:line="360" w:lineRule="exact"/>
                    <w:jc w:val="center"/>
                    <w:rPr>
                      <w:sz w:val="21"/>
                      <w:szCs w:val="21"/>
                    </w:rPr>
                  </w:pPr>
                  <w:r>
                    <w:rPr>
                      <w:sz w:val="21"/>
                      <w:szCs w:val="21"/>
                    </w:rPr>
                    <w:t>落实情况</w:t>
                  </w:r>
                </w:p>
              </w:tc>
            </w:tr>
            <w:tr w14:paraId="211D8D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14BCAB39">
                  <w:pPr>
                    <w:spacing w:line="360" w:lineRule="exact"/>
                    <w:jc w:val="center"/>
                    <w:rPr>
                      <w:sz w:val="21"/>
                      <w:szCs w:val="21"/>
                    </w:rPr>
                  </w:pPr>
                  <w:r>
                    <w:rPr>
                      <w:sz w:val="21"/>
                      <w:szCs w:val="21"/>
                    </w:rPr>
                    <w:t>1</w:t>
                  </w:r>
                </w:p>
              </w:tc>
              <w:tc>
                <w:tcPr>
                  <w:tcW w:w="829" w:type="pct"/>
                  <w:vMerge w:val="restart"/>
                  <w:vAlign w:val="center"/>
                </w:tcPr>
                <w:p w14:paraId="25015A43">
                  <w:pPr>
                    <w:spacing w:line="360" w:lineRule="exact"/>
                    <w:jc w:val="center"/>
                    <w:rPr>
                      <w:sz w:val="21"/>
                      <w:szCs w:val="21"/>
                    </w:rPr>
                  </w:pPr>
                  <w:r>
                    <w:rPr>
                      <w:sz w:val="21"/>
                      <w:szCs w:val="21"/>
                    </w:rPr>
                    <w:t>场所设施</w:t>
                  </w:r>
                </w:p>
              </w:tc>
              <w:tc>
                <w:tcPr>
                  <w:tcW w:w="2845" w:type="pct"/>
                  <w:vAlign w:val="center"/>
                </w:tcPr>
                <w:p w14:paraId="3FF08ACA">
                  <w:pPr>
                    <w:spacing w:line="360" w:lineRule="exact"/>
                    <w:jc w:val="center"/>
                    <w:rPr>
                      <w:sz w:val="21"/>
                      <w:szCs w:val="21"/>
                    </w:rPr>
                  </w:pPr>
                  <w:r>
                    <w:rPr>
                      <w:sz w:val="21"/>
                      <w:szCs w:val="21"/>
                    </w:rPr>
                    <w:t>单独机房</w:t>
                  </w:r>
                </w:p>
              </w:tc>
              <w:tc>
                <w:tcPr>
                  <w:tcW w:w="747" w:type="pct"/>
                  <w:vAlign w:val="center"/>
                </w:tcPr>
                <w:p w14:paraId="0A09480B">
                  <w:pPr>
                    <w:spacing w:line="360" w:lineRule="exact"/>
                    <w:jc w:val="center"/>
                    <w:rPr>
                      <w:sz w:val="21"/>
                      <w:szCs w:val="21"/>
                    </w:rPr>
                  </w:pPr>
                  <w:r>
                    <w:rPr>
                      <w:sz w:val="21"/>
                      <w:szCs w:val="21"/>
                    </w:rPr>
                    <w:t>已设计</w:t>
                  </w:r>
                </w:p>
              </w:tc>
            </w:tr>
            <w:tr w14:paraId="3AB604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05CE7BAF">
                  <w:pPr>
                    <w:spacing w:line="360" w:lineRule="exact"/>
                    <w:jc w:val="center"/>
                    <w:rPr>
                      <w:sz w:val="21"/>
                      <w:szCs w:val="21"/>
                    </w:rPr>
                  </w:pPr>
                  <w:r>
                    <w:rPr>
                      <w:sz w:val="21"/>
                      <w:szCs w:val="21"/>
                    </w:rPr>
                    <w:t>2</w:t>
                  </w:r>
                </w:p>
              </w:tc>
              <w:tc>
                <w:tcPr>
                  <w:tcW w:w="829" w:type="pct"/>
                  <w:vMerge w:val="continue"/>
                  <w:vAlign w:val="center"/>
                </w:tcPr>
                <w:p w14:paraId="5D6B8C2A">
                  <w:pPr>
                    <w:spacing w:line="360" w:lineRule="exact"/>
                    <w:jc w:val="center"/>
                    <w:rPr>
                      <w:sz w:val="21"/>
                      <w:szCs w:val="21"/>
                    </w:rPr>
                  </w:pPr>
                </w:p>
              </w:tc>
              <w:tc>
                <w:tcPr>
                  <w:tcW w:w="2845" w:type="pct"/>
                  <w:vAlign w:val="center"/>
                </w:tcPr>
                <w:p w14:paraId="01ED0BD1">
                  <w:pPr>
                    <w:spacing w:line="360" w:lineRule="exact"/>
                    <w:jc w:val="center"/>
                    <w:rPr>
                      <w:sz w:val="21"/>
                      <w:szCs w:val="21"/>
                    </w:rPr>
                  </w:pPr>
                  <w:r>
                    <w:rPr>
                      <w:sz w:val="21"/>
                      <w:szCs w:val="21"/>
                    </w:rPr>
                    <w:t>机房门窗防护</w:t>
                  </w:r>
                </w:p>
              </w:tc>
              <w:tc>
                <w:tcPr>
                  <w:tcW w:w="747" w:type="pct"/>
                  <w:vAlign w:val="center"/>
                </w:tcPr>
                <w:p w14:paraId="7DEAFB42">
                  <w:pPr>
                    <w:spacing w:line="360" w:lineRule="exact"/>
                    <w:jc w:val="center"/>
                    <w:rPr>
                      <w:sz w:val="21"/>
                      <w:szCs w:val="21"/>
                    </w:rPr>
                  </w:pPr>
                  <w:r>
                    <w:rPr>
                      <w:sz w:val="21"/>
                      <w:szCs w:val="21"/>
                    </w:rPr>
                    <w:t>已设计</w:t>
                  </w:r>
                </w:p>
              </w:tc>
            </w:tr>
            <w:tr w14:paraId="77098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73E5AD29">
                  <w:pPr>
                    <w:spacing w:line="360" w:lineRule="exact"/>
                    <w:jc w:val="center"/>
                    <w:rPr>
                      <w:sz w:val="21"/>
                      <w:szCs w:val="21"/>
                    </w:rPr>
                  </w:pPr>
                  <w:r>
                    <w:rPr>
                      <w:sz w:val="21"/>
                      <w:szCs w:val="21"/>
                    </w:rPr>
                    <w:t>3</w:t>
                  </w:r>
                </w:p>
              </w:tc>
              <w:tc>
                <w:tcPr>
                  <w:tcW w:w="829" w:type="pct"/>
                  <w:vMerge w:val="continue"/>
                  <w:vAlign w:val="center"/>
                </w:tcPr>
                <w:p w14:paraId="4D30E90B">
                  <w:pPr>
                    <w:spacing w:line="360" w:lineRule="exact"/>
                    <w:jc w:val="center"/>
                    <w:rPr>
                      <w:sz w:val="21"/>
                      <w:szCs w:val="21"/>
                    </w:rPr>
                  </w:pPr>
                </w:p>
              </w:tc>
              <w:tc>
                <w:tcPr>
                  <w:tcW w:w="2845" w:type="pct"/>
                  <w:vAlign w:val="center"/>
                </w:tcPr>
                <w:p w14:paraId="68691B3E">
                  <w:pPr>
                    <w:spacing w:line="360" w:lineRule="exact"/>
                    <w:jc w:val="center"/>
                    <w:rPr>
                      <w:sz w:val="21"/>
                      <w:szCs w:val="21"/>
                    </w:rPr>
                  </w:pPr>
                  <w:r>
                    <w:rPr>
                      <w:sz w:val="21"/>
                      <w:szCs w:val="21"/>
                    </w:rPr>
                    <w:t>候诊位设置</w:t>
                  </w:r>
                </w:p>
              </w:tc>
              <w:tc>
                <w:tcPr>
                  <w:tcW w:w="747" w:type="pct"/>
                  <w:vAlign w:val="center"/>
                </w:tcPr>
                <w:p w14:paraId="234707F8">
                  <w:pPr>
                    <w:spacing w:line="360" w:lineRule="exact"/>
                    <w:jc w:val="center"/>
                    <w:rPr>
                      <w:sz w:val="21"/>
                      <w:szCs w:val="21"/>
                    </w:rPr>
                  </w:pPr>
                  <w:r>
                    <w:rPr>
                      <w:sz w:val="21"/>
                      <w:szCs w:val="21"/>
                    </w:rPr>
                    <w:t>已设计</w:t>
                  </w:r>
                </w:p>
              </w:tc>
            </w:tr>
            <w:tr w14:paraId="061D86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433C09D3">
                  <w:pPr>
                    <w:spacing w:line="360" w:lineRule="exact"/>
                    <w:jc w:val="center"/>
                    <w:rPr>
                      <w:sz w:val="21"/>
                      <w:szCs w:val="21"/>
                    </w:rPr>
                  </w:pPr>
                  <w:r>
                    <w:rPr>
                      <w:sz w:val="21"/>
                      <w:szCs w:val="21"/>
                    </w:rPr>
                    <w:t>4</w:t>
                  </w:r>
                </w:p>
              </w:tc>
              <w:tc>
                <w:tcPr>
                  <w:tcW w:w="829" w:type="pct"/>
                  <w:vMerge w:val="continue"/>
                  <w:vAlign w:val="center"/>
                </w:tcPr>
                <w:p w14:paraId="7151CC2D">
                  <w:pPr>
                    <w:spacing w:line="360" w:lineRule="exact"/>
                    <w:jc w:val="center"/>
                    <w:rPr>
                      <w:sz w:val="21"/>
                      <w:szCs w:val="21"/>
                    </w:rPr>
                  </w:pPr>
                </w:p>
              </w:tc>
              <w:tc>
                <w:tcPr>
                  <w:tcW w:w="2845" w:type="pct"/>
                  <w:vAlign w:val="center"/>
                </w:tcPr>
                <w:p w14:paraId="6A12C318">
                  <w:pPr>
                    <w:spacing w:line="360" w:lineRule="exact"/>
                    <w:jc w:val="center"/>
                    <w:rPr>
                      <w:sz w:val="21"/>
                      <w:szCs w:val="21"/>
                    </w:rPr>
                  </w:pPr>
                  <w:r>
                    <w:rPr>
                      <w:sz w:val="21"/>
                      <w:szCs w:val="21"/>
                    </w:rPr>
                    <w:t>闭门装置</w:t>
                  </w:r>
                </w:p>
              </w:tc>
              <w:tc>
                <w:tcPr>
                  <w:tcW w:w="747" w:type="pct"/>
                  <w:vAlign w:val="center"/>
                </w:tcPr>
                <w:p w14:paraId="6CD36D85">
                  <w:pPr>
                    <w:spacing w:line="360" w:lineRule="exact"/>
                    <w:jc w:val="center"/>
                    <w:rPr>
                      <w:sz w:val="21"/>
                      <w:szCs w:val="21"/>
                    </w:rPr>
                  </w:pPr>
                  <w:r>
                    <w:rPr>
                      <w:sz w:val="21"/>
                      <w:szCs w:val="21"/>
                    </w:rPr>
                    <w:t>已设计</w:t>
                  </w:r>
                </w:p>
              </w:tc>
            </w:tr>
            <w:tr w14:paraId="77AE60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35BF6CD2">
                  <w:pPr>
                    <w:spacing w:line="360" w:lineRule="exact"/>
                    <w:jc w:val="center"/>
                    <w:rPr>
                      <w:sz w:val="21"/>
                      <w:szCs w:val="21"/>
                    </w:rPr>
                  </w:pPr>
                  <w:r>
                    <w:rPr>
                      <w:sz w:val="21"/>
                      <w:szCs w:val="21"/>
                    </w:rPr>
                    <w:t>5</w:t>
                  </w:r>
                </w:p>
              </w:tc>
              <w:tc>
                <w:tcPr>
                  <w:tcW w:w="829" w:type="pct"/>
                  <w:vMerge w:val="continue"/>
                  <w:vAlign w:val="center"/>
                </w:tcPr>
                <w:p w14:paraId="0BBE8477">
                  <w:pPr>
                    <w:spacing w:line="360" w:lineRule="exact"/>
                    <w:jc w:val="center"/>
                    <w:rPr>
                      <w:sz w:val="21"/>
                      <w:szCs w:val="21"/>
                    </w:rPr>
                  </w:pPr>
                </w:p>
              </w:tc>
              <w:tc>
                <w:tcPr>
                  <w:tcW w:w="2845" w:type="pct"/>
                  <w:vAlign w:val="center"/>
                </w:tcPr>
                <w:p w14:paraId="26EC8A58">
                  <w:pPr>
                    <w:spacing w:line="360" w:lineRule="exact"/>
                    <w:jc w:val="center"/>
                    <w:rPr>
                      <w:sz w:val="21"/>
                      <w:szCs w:val="21"/>
                    </w:rPr>
                  </w:pPr>
                  <w:r>
                    <w:rPr>
                      <w:sz w:val="21"/>
                      <w:szCs w:val="21"/>
                    </w:rPr>
                    <w:t>防护用品和辅助防护设施</w:t>
                  </w:r>
                </w:p>
              </w:tc>
              <w:tc>
                <w:tcPr>
                  <w:tcW w:w="747" w:type="pct"/>
                  <w:vAlign w:val="center"/>
                </w:tcPr>
                <w:p w14:paraId="5B8425E3">
                  <w:pPr>
                    <w:spacing w:line="360" w:lineRule="exact"/>
                    <w:jc w:val="center"/>
                    <w:rPr>
                      <w:sz w:val="21"/>
                      <w:szCs w:val="21"/>
                    </w:rPr>
                  </w:pPr>
                  <w:r>
                    <w:rPr>
                      <w:sz w:val="21"/>
                      <w:szCs w:val="21"/>
                    </w:rPr>
                    <w:t>拟落实</w:t>
                  </w:r>
                </w:p>
              </w:tc>
            </w:tr>
            <w:tr w14:paraId="2F563D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77A91809">
                  <w:pPr>
                    <w:spacing w:line="360" w:lineRule="exact"/>
                    <w:jc w:val="center"/>
                    <w:rPr>
                      <w:sz w:val="21"/>
                      <w:szCs w:val="21"/>
                    </w:rPr>
                  </w:pPr>
                  <w:r>
                    <w:rPr>
                      <w:sz w:val="21"/>
                      <w:szCs w:val="21"/>
                    </w:rPr>
                    <w:t>6</w:t>
                  </w:r>
                </w:p>
              </w:tc>
              <w:tc>
                <w:tcPr>
                  <w:tcW w:w="829" w:type="pct"/>
                  <w:vMerge w:val="continue"/>
                  <w:vAlign w:val="center"/>
                </w:tcPr>
                <w:p w14:paraId="2D0C0EC7">
                  <w:pPr>
                    <w:spacing w:line="360" w:lineRule="exact"/>
                    <w:jc w:val="center"/>
                    <w:rPr>
                      <w:sz w:val="21"/>
                      <w:szCs w:val="21"/>
                    </w:rPr>
                  </w:pPr>
                </w:p>
              </w:tc>
              <w:tc>
                <w:tcPr>
                  <w:tcW w:w="2845" w:type="pct"/>
                  <w:vAlign w:val="center"/>
                </w:tcPr>
                <w:p w14:paraId="429FA55C">
                  <w:pPr>
                    <w:spacing w:line="360" w:lineRule="exact"/>
                    <w:jc w:val="center"/>
                    <w:rPr>
                      <w:sz w:val="21"/>
                      <w:szCs w:val="21"/>
                    </w:rPr>
                  </w:pPr>
                  <w:r>
                    <w:rPr>
                      <w:sz w:val="21"/>
                      <w:szCs w:val="21"/>
                    </w:rPr>
                    <w:t>入口处电离辐射警告标志</w:t>
                  </w:r>
                </w:p>
              </w:tc>
              <w:tc>
                <w:tcPr>
                  <w:tcW w:w="747" w:type="pct"/>
                  <w:vAlign w:val="center"/>
                </w:tcPr>
                <w:p w14:paraId="019795B0">
                  <w:pPr>
                    <w:spacing w:line="360" w:lineRule="exact"/>
                    <w:jc w:val="center"/>
                    <w:rPr>
                      <w:sz w:val="21"/>
                      <w:szCs w:val="21"/>
                    </w:rPr>
                  </w:pPr>
                  <w:r>
                    <w:rPr>
                      <w:sz w:val="21"/>
                      <w:szCs w:val="21"/>
                    </w:rPr>
                    <w:t>拟落实</w:t>
                  </w:r>
                </w:p>
              </w:tc>
            </w:tr>
            <w:tr w14:paraId="43B0DC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1A844868">
                  <w:pPr>
                    <w:spacing w:line="360" w:lineRule="exact"/>
                    <w:jc w:val="center"/>
                    <w:rPr>
                      <w:sz w:val="21"/>
                      <w:szCs w:val="21"/>
                    </w:rPr>
                  </w:pPr>
                  <w:r>
                    <w:rPr>
                      <w:sz w:val="21"/>
                      <w:szCs w:val="21"/>
                    </w:rPr>
                    <w:t>7</w:t>
                  </w:r>
                </w:p>
              </w:tc>
              <w:tc>
                <w:tcPr>
                  <w:tcW w:w="829" w:type="pct"/>
                  <w:vMerge w:val="continue"/>
                  <w:vAlign w:val="center"/>
                </w:tcPr>
                <w:p w14:paraId="5FDA7843">
                  <w:pPr>
                    <w:spacing w:line="360" w:lineRule="exact"/>
                    <w:jc w:val="center"/>
                    <w:rPr>
                      <w:sz w:val="21"/>
                      <w:szCs w:val="21"/>
                    </w:rPr>
                  </w:pPr>
                </w:p>
              </w:tc>
              <w:tc>
                <w:tcPr>
                  <w:tcW w:w="2845" w:type="pct"/>
                  <w:vAlign w:val="center"/>
                </w:tcPr>
                <w:p w14:paraId="5B44868E">
                  <w:pPr>
                    <w:spacing w:line="360" w:lineRule="exact"/>
                    <w:jc w:val="center"/>
                    <w:rPr>
                      <w:sz w:val="21"/>
                      <w:szCs w:val="21"/>
                    </w:rPr>
                  </w:pPr>
                  <w:r>
                    <w:rPr>
                      <w:sz w:val="21"/>
                      <w:szCs w:val="21"/>
                    </w:rPr>
                    <w:t>入口处机器工作状态显示</w:t>
                  </w:r>
                </w:p>
              </w:tc>
              <w:tc>
                <w:tcPr>
                  <w:tcW w:w="747" w:type="pct"/>
                  <w:vAlign w:val="center"/>
                </w:tcPr>
                <w:p w14:paraId="6EEAE06E">
                  <w:pPr>
                    <w:spacing w:line="360" w:lineRule="exact"/>
                    <w:jc w:val="center"/>
                    <w:rPr>
                      <w:sz w:val="21"/>
                      <w:szCs w:val="21"/>
                    </w:rPr>
                  </w:pPr>
                  <w:r>
                    <w:rPr>
                      <w:sz w:val="21"/>
                      <w:szCs w:val="21"/>
                    </w:rPr>
                    <w:t>拟落实</w:t>
                  </w:r>
                </w:p>
              </w:tc>
            </w:tr>
            <w:tr w14:paraId="12F4F4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7317C7B5">
                  <w:pPr>
                    <w:spacing w:line="360" w:lineRule="exact"/>
                    <w:jc w:val="center"/>
                    <w:rPr>
                      <w:sz w:val="21"/>
                      <w:szCs w:val="21"/>
                    </w:rPr>
                  </w:pPr>
                  <w:r>
                    <w:rPr>
                      <w:sz w:val="21"/>
                      <w:szCs w:val="21"/>
                    </w:rPr>
                    <w:t>8</w:t>
                  </w:r>
                </w:p>
              </w:tc>
              <w:tc>
                <w:tcPr>
                  <w:tcW w:w="829" w:type="pct"/>
                  <w:vMerge w:val="restart"/>
                  <w:vAlign w:val="center"/>
                </w:tcPr>
                <w:p w14:paraId="72556EA0">
                  <w:pPr>
                    <w:spacing w:line="360" w:lineRule="exact"/>
                    <w:jc w:val="center"/>
                    <w:rPr>
                      <w:sz w:val="21"/>
                      <w:szCs w:val="21"/>
                    </w:rPr>
                  </w:pPr>
                  <w:r>
                    <w:rPr>
                      <w:sz w:val="21"/>
                      <w:szCs w:val="21"/>
                    </w:rPr>
                    <w:t>其它</w:t>
                  </w:r>
                </w:p>
              </w:tc>
              <w:tc>
                <w:tcPr>
                  <w:tcW w:w="2845" w:type="pct"/>
                  <w:vAlign w:val="center"/>
                </w:tcPr>
                <w:p w14:paraId="5281E457">
                  <w:pPr>
                    <w:spacing w:line="360" w:lineRule="exact"/>
                    <w:jc w:val="center"/>
                    <w:rPr>
                      <w:sz w:val="21"/>
                      <w:szCs w:val="21"/>
                    </w:rPr>
                  </w:pPr>
                  <w:r>
                    <w:rPr>
                      <w:sz w:val="21"/>
                      <w:szCs w:val="21"/>
                    </w:rPr>
                    <w:t>监测仪表</w:t>
                  </w:r>
                </w:p>
              </w:tc>
              <w:tc>
                <w:tcPr>
                  <w:tcW w:w="747" w:type="pct"/>
                  <w:vAlign w:val="center"/>
                </w:tcPr>
                <w:p w14:paraId="5C21ACF4">
                  <w:pPr>
                    <w:spacing w:line="360" w:lineRule="exact"/>
                    <w:jc w:val="center"/>
                    <w:rPr>
                      <w:sz w:val="21"/>
                      <w:szCs w:val="21"/>
                    </w:rPr>
                  </w:pPr>
                  <w:r>
                    <w:rPr>
                      <w:sz w:val="21"/>
                      <w:szCs w:val="21"/>
                    </w:rPr>
                    <w:t>拟落实</w:t>
                  </w:r>
                </w:p>
              </w:tc>
            </w:tr>
            <w:tr w14:paraId="670B7C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5A48D6B0">
                  <w:pPr>
                    <w:spacing w:line="360" w:lineRule="exact"/>
                    <w:jc w:val="center"/>
                    <w:rPr>
                      <w:sz w:val="21"/>
                      <w:szCs w:val="21"/>
                    </w:rPr>
                  </w:pPr>
                  <w:r>
                    <w:rPr>
                      <w:sz w:val="21"/>
                      <w:szCs w:val="21"/>
                    </w:rPr>
                    <w:t>9</w:t>
                  </w:r>
                </w:p>
              </w:tc>
              <w:tc>
                <w:tcPr>
                  <w:tcW w:w="829" w:type="pct"/>
                  <w:vMerge w:val="continue"/>
                  <w:vAlign w:val="center"/>
                </w:tcPr>
                <w:p w14:paraId="37610471">
                  <w:pPr>
                    <w:spacing w:line="360" w:lineRule="exact"/>
                    <w:jc w:val="center"/>
                    <w:rPr>
                      <w:sz w:val="21"/>
                      <w:szCs w:val="21"/>
                    </w:rPr>
                  </w:pPr>
                </w:p>
              </w:tc>
              <w:tc>
                <w:tcPr>
                  <w:tcW w:w="2845" w:type="pct"/>
                  <w:vAlign w:val="center"/>
                </w:tcPr>
                <w:p w14:paraId="1FF4291C">
                  <w:pPr>
                    <w:spacing w:line="360" w:lineRule="exact"/>
                    <w:jc w:val="center"/>
                    <w:rPr>
                      <w:sz w:val="21"/>
                      <w:szCs w:val="21"/>
                    </w:rPr>
                  </w:pPr>
                  <w:r>
                    <w:rPr>
                      <w:position w:val="-4"/>
                      <w:sz w:val="21"/>
                      <w:szCs w:val="21"/>
                    </w:rPr>
                    <w:t>个人剂量计</w:t>
                  </w:r>
                </w:p>
              </w:tc>
              <w:tc>
                <w:tcPr>
                  <w:tcW w:w="747" w:type="pct"/>
                  <w:vAlign w:val="center"/>
                </w:tcPr>
                <w:p w14:paraId="74D9EAA4">
                  <w:pPr>
                    <w:spacing w:line="360" w:lineRule="exact"/>
                    <w:jc w:val="center"/>
                    <w:rPr>
                      <w:sz w:val="21"/>
                      <w:szCs w:val="21"/>
                    </w:rPr>
                  </w:pPr>
                  <w:r>
                    <w:rPr>
                      <w:sz w:val="21"/>
                      <w:szCs w:val="21"/>
                    </w:rPr>
                    <w:t>拟落实</w:t>
                  </w:r>
                </w:p>
              </w:tc>
            </w:tr>
            <w:tr w14:paraId="788D21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shd w:val="clear" w:color="auto" w:fill="auto"/>
                  <w:vAlign w:val="center"/>
                </w:tcPr>
                <w:p w14:paraId="311F92A0">
                  <w:pPr>
                    <w:spacing w:line="360" w:lineRule="exact"/>
                    <w:jc w:val="center"/>
                    <w:rPr>
                      <w:sz w:val="21"/>
                      <w:szCs w:val="21"/>
                    </w:rPr>
                  </w:pPr>
                  <w:r>
                    <w:rPr>
                      <w:rFonts w:hint="default" w:ascii="Times New Roman" w:hAnsi="Times New Roman" w:cs="Times New Roman"/>
                      <w:b/>
                      <w:bCs/>
                      <w:sz w:val="21"/>
                      <w:szCs w:val="21"/>
                    </w:rPr>
                    <w:t>Ⅱ</w:t>
                  </w:r>
                  <w:r>
                    <w:rPr>
                      <w:b/>
                      <w:bCs/>
                      <w:sz w:val="21"/>
                      <w:szCs w:val="21"/>
                    </w:rPr>
                    <w:t>类医用射线装置（</w:t>
                  </w:r>
                  <w:r>
                    <w:rPr>
                      <w:rFonts w:hint="eastAsia"/>
                      <w:b/>
                      <w:bCs/>
                      <w:sz w:val="21"/>
                      <w:szCs w:val="21"/>
                      <w:lang w:val="en-US" w:eastAsia="zh-CN"/>
                    </w:rPr>
                    <w:t>四</w:t>
                  </w:r>
                  <w:r>
                    <w:rPr>
                      <w:b/>
                      <w:bCs/>
                      <w:sz w:val="21"/>
                      <w:szCs w:val="21"/>
                    </w:rPr>
                    <w:t>层）</w:t>
                  </w:r>
                </w:p>
              </w:tc>
            </w:tr>
            <w:tr w14:paraId="6D164D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3091492F">
                  <w:pPr>
                    <w:spacing w:line="360" w:lineRule="exact"/>
                    <w:jc w:val="center"/>
                    <w:rPr>
                      <w:rFonts w:ascii="Times New Roman" w:hAnsi="Times New Roman" w:eastAsia="宋体" w:cs="Times New Roman"/>
                      <w:sz w:val="21"/>
                      <w:szCs w:val="21"/>
                      <w:lang w:val="en-US" w:eastAsia="zh-CN" w:bidi="ar-SA"/>
                    </w:rPr>
                  </w:pPr>
                  <w:r>
                    <w:rPr>
                      <w:sz w:val="21"/>
                      <w:szCs w:val="21"/>
                    </w:rPr>
                    <w:t>序号</w:t>
                  </w:r>
                </w:p>
              </w:tc>
              <w:tc>
                <w:tcPr>
                  <w:tcW w:w="829" w:type="pct"/>
                  <w:shd w:val="clear" w:color="auto" w:fill="auto"/>
                  <w:vAlign w:val="center"/>
                </w:tcPr>
                <w:p w14:paraId="7DB20EAC">
                  <w:pPr>
                    <w:spacing w:line="360" w:lineRule="exact"/>
                    <w:jc w:val="center"/>
                    <w:rPr>
                      <w:rFonts w:ascii="Times New Roman" w:hAnsi="Times New Roman" w:eastAsia="宋体" w:cs="Times New Roman"/>
                      <w:sz w:val="21"/>
                      <w:szCs w:val="21"/>
                      <w:lang w:val="en-US" w:eastAsia="zh-CN" w:bidi="ar-SA"/>
                    </w:rPr>
                  </w:pPr>
                  <w:r>
                    <w:rPr>
                      <w:sz w:val="21"/>
                      <w:szCs w:val="21"/>
                    </w:rPr>
                    <w:t>项目</w:t>
                  </w:r>
                </w:p>
              </w:tc>
              <w:tc>
                <w:tcPr>
                  <w:tcW w:w="2845" w:type="pct"/>
                  <w:shd w:val="clear" w:color="auto" w:fill="auto"/>
                  <w:vAlign w:val="center"/>
                </w:tcPr>
                <w:p w14:paraId="28F76D5B">
                  <w:pPr>
                    <w:spacing w:line="360" w:lineRule="exact"/>
                    <w:jc w:val="center"/>
                    <w:rPr>
                      <w:rFonts w:ascii="Times New Roman" w:hAnsi="Times New Roman" w:eastAsia="宋体" w:cs="Times New Roman"/>
                      <w:sz w:val="21"/>
                      <w:szCs w:val="21"/>
                      <w:lang w:val="en-US" w:eastAsia="zh-CN" w:bidi="ar-SA"/>
                    </w:rPr>
                  </w:pPr>
                  <w:r>
                    <w:rPr>
                      <w:sz w:val="21"/>
                      <w:szCs w:val="21"/>
                    </w:rPr>
                    <w:t>规定的措施和制度</w:t>
                  </w:r>
                </w:p>
              </w:tc>
              <w:tc>
                <w:tcPr>
                  <w:tcW w:w="747" w:type="pct"/>
                  <w:shd w:val="clear" w:color="auto" w:fill="auto"/>
                  <w:vAlign w:val="center"/>
                </w:tcPr>
                <w:p w14:paraId="289A0C04">
                  <w:pPr>
                    <w:spacing w:line="360" w:lineRule="exact"/>
                    <w:jc w:val="center"/>
                    <w:rPr>
                      <w:rFonts w:ascii="Times New Roman" w:hAnsi="Times New Roman" w:eastAsia="宋体" w:cs="Times New Roman"/>
                      <w:sz w:val="21"/>
                      <w:szCs w:val="21"/>
                      <w:lang w:val="en-US" w:eastAsia="zh-CN" w:bidi="ar-SA"/>
                    </w:rPr>
                  </w:pPr>
                  <w:r>
                    <w:rPr>
                      <w:sz w:val="21"/>
                      <w:szCs w:val="21"/>
                    </w:rPr>
                    <w:t>落实情况</w:t>
                  </w:r>
                </w:p>
              </w:tc>
            </w:tr>
            <w:tr w14:paraId="48D1DA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33C21730">
                  <w:pPr>
                    <w:spacing w:line="240" w:lineRule="auto"/>
                    <w:jc w:val="center"/>
                    <w:rPr>
                      <w:rFonts w:hint="eastAsia" w:ascii="Times New Roman" w:hAnsi="Times New Roman" w:eastAsia="宋体" w:cs="Times New Roman"/>
                      <w:sz w:val="21"/>
                      <w:szCs w:val="21"/>
                      <w:lang w:val="en-US" w:eastAsia="zh-CN" w:bidi="ar-SA"/>
                    </w:rPr>
                  </w:pPr>
                  <w:r>
                    <w:rPr>
                      <w:sz w:val="21"/>
                      <w:szCs w:val="21"/>
                    </w:rPr>
                    <w:t>1</w:t>
                  </w:r>
                  <w:r>
                    <w:rPr>
                      <w:rFonts w:hint="eastAsia"/>
                      <w:sz w:val="21"/>
                      <w:szCs w:val="21"/>
                    </w:rPr>
                    <w:t>*</w:t>
                  </w:r>
                </w:p>
              </w:tc>
              <w:tc>
                <w:tcPr>
                  <w:tcW w:w="829" w:type="pct"/>
                  <w:vMerge w:val="restart"/>
                  <w:shd w:val="clear" w:color="auto" w:fill="auto"/>
                  <w:vAlign w:val="center"/>
                </w:tcPr>
                <w:p w14:paraId="7D00B55F">
                  <w:pPr>
                    <w:spacing w:line="240" w:lineRule="auto"/>
                    <w:jc w:val="center"/>
                    <w:rPr>
                      <w:rFonts w:ascii="Times New Roman" w:hAnsi="Times New Roman" w:eastAsia="宋体" w:cs="Times New Roman"/>
                      <w:sz w:val="21"/>
                      <w:szCs w:val="21"/>
                      <w:lang w:val="en-US" w:eastAsia="zh-CN" w:bidi="ar-SA"/>
                    </w:rPr>
                  </w:pPr>
                  <w:r>
                    <w:rPr>
                      <w:sz w:val="21"/>
                      <w:szCs w:val="21"/>
                    </w:rPr>
                    <w:t>场所设施</w:t>
                  </w:r>
                </w:p>
              </w:tc>
              <w:tc>
                <w:tcPr>
                  <w:tcW w:w="2845" w:type="pct"/>
                  <w:shd w:val="clear" w:color="auto" w:fill="auto"/>
                  <w:vAlign w:val="center"/>
                </w:tcPr>
                <w:p w14:paraId="0878FE4D">
                  <w:pPr>
                    <w:spacing w:line="240" w:lineRule="auto"/>
                    <w:jc w:val="center"/>
                    <w:rPr>
                      <w:rFonts w:ascii="Times New Roman" w:hAnsi="Times New Roman" w:eastAsia="宋体" w:cs="Times New Roman"/>
                      <w:sz w:val="21"/>
                      <w:szCs w:val="21"/>
                      <w:lang w:val="en-US" w:eastAsia="zh-CN" w:bidi="ar-SA"/>
                    </w:rPr>
                  </w:pPr>
                  <w:r>
                    <w:rPr>
                      <w:sz w:val="21"/>
                      <w:szCs w:val="21"/>
                    </w:rPr>
                    <w:t>单独机房</w:t>
                  </w:r>
                </w:p>
              </w:tc>
              <w:tc>
                <w:tcPr>
                  <w:tcW w:w="747" w:type="pct"/>
                  <w:shd w:val="clear" w:color="auto" w:fill="auto"/>
                  <w:vAlign w:val="center"/>
                </w:tcPr>
                <w:p w14:paraId="767082DB">
                  <w:pPr>
                    <w:spacing w:line="240" w:lineRule="auto"/>
                    <w:jc w:val="center"/>
                    <w:rPr>
                      <w:rFonts w:ascii="Times New Roman" w:hAnsi="Times New Roman" w:eastAsia="宋体" w:cs="Times New Roman"/>
                      <w:sz w:val="21"/>
                      <w:szCs w:val="21"/>
                      <w:lang w:val="en-US" w:eastAsia="zh-CN" w:bidi="ar-SA"/>
                    </w:rPr>
                  </w:pPr>
                  <w:r>
                    <w:rPr>
                      <w:sz w:val="21"/>
                      <w:szCs w:val="21"/>
                    </w:rPr>
                    <w:t>已设计有</w:t>
                  </w:r>
                </w:p>
              </w:tc>
            </w:tr>
            <w:tr w14:paraId="63423D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3C61F64C">
                  <w:pPr>
                    <w:spacing w:line="240" w:lineRule="auto"/>
                    <w:jc w:val="center"/>
                    <w:rPr>
                      <w:rFonts w:hint="eastAsia" w:ascii="Times New Roman" w:hAnsi="Times New Roman" w:eastAsia="宋体" w:cs="Times New Roman"/>
                      <w:sz w:val="21"/>
                      <w:szCs w:val="21"/>
                      <w:lang w:val="en-US" w:eastAsia="zh-CN" w:bidi="ar-SA"/>
                    </w:rPr>
                  </w:pPr>
                  <w:r>
                    <w:rPr>
                      <w:sz w:val="21"/>
                      <w:szCs w:val="21"/>
                    </w:rPr>
                    <w:t>2</w:t>
                  </w:r>
                  <w:r>
                    <w:rPr>
                      <w:rFonts w:hint="eastAsia"/>
                      <w:sz w:val="21"/>
                      <w:szCs w:val="21"/>
                    </w:rPr>
                    <w:t>*</w:t>
                  </w:r>
                </w:p>
              </w:tc>
              <w:tc>
                <w:tcPr>
                  <w:tcW w:w="829" w:type="pct"/>
                  <w:vMerge w:val="continue"/>
                  <w:vAlign w:val="center"/>
                </w:tcPr>
                <w:p w14:paraId="169C3006">
                  <w:pPr>
                    <w:spacing w:line="360" w:lineRule="exact"/>
                    <w:jc w:val="center"/>
                    <w:rPr>
                      <w:sz w:val="21"/>
                      <w:szCs w:val="21"/>
                    </w:rPr>
                  </w:pPr>
                </w:p>
              </w:tc>
              <w:tc>
                <w:tcPr>
                  <w:tcW w:w="2845" w:type="pct"/>
                  <w:shd w:val="clear" w:color="auto" w:fill="auto"/>
                  <w:vAlign w:val="center"/>
                </w:tcPr>
                <w:p w14:paraId="41062107">
                  <w:pPr>
                    <w:spacing w:line="240" w:lineRule="auto"/>
                    <w:jc w:val="center"/>
                    <w:rPr>
                      <w:rFonts w:ascii="Times New Roman" w:hAnsi="Times New Roman" w:eastAsia="宋体" w:cs="Times New Roman"/>
                      <w:sz w:val="21"/>
                      <w:szCs w:val="21"/>
                      <w:lang w:val="en-US" w:eastAsia="zh-CN" w:bidi="ar-SA"/>
                    </w:rPr>
                  </w:pPr>
                  <w:r>
                    <w:rPr>
                      <w:sz w:val="21"/>
                      <w:szCs w:val="21"/>
                    </w:rPr>
                    <w:t>操作部位局部屏蔽防护设施</w:t>
                  </w:r>
                </w:p>
              </w:tc>
              <w:tc>
                <w:tcPr>
                  <w:tcW w:w="747" w:type="pct"/>
                  <w:shd w:val="clear" w:color="auto" w:fill="auto"/>
                  <w:vAlign w:val="center"/>
                </w:tcPr>
                <w:p w14:paraId="1F6C6ACB">
                  <w:pPr>
                    <w:spacing w:line="240" w:lineRule="auto"/>
                    <w:jc w:val="center"/>
                    <w:rPr>
                      <w:rFonts w:ascii="Times New Roman" w:hAnsi="Times New Roman" w:eastAsia="宋体" w:cs="Times New Roman"/>
                      <w:sz w:val="21"/>
                      <w:szCs w:val="21"/>
                      <w:lang w:val="en-US" w:eastAsia="zh-CN" w:bidi="ar-SA"/>
                    </w:rPr>
                  </w:pPr>
                  <w:r>
                    <w:rPr>
                      <w:sz w:val="21"/>
                      <w:szCs w:val="21"/>
                    </w:rPr>
                    <w:t>设备自带</w:t>
                  </w:r>
                </w:p>
              </w:tc>
            </w:tr>
            <w:tr w14:paraId="13A8A9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382AB28C">
                  <w:pPr>
                    <w:spacing w:line="240" w:lineRule="auto"/>
                    <w:jc w:val="center"/>
                    <w:rPr>
                      <w:rFonts w:hint="eastAsia" w:ascii="Times New Roman" w:hAnsi="Times New Roman" w:eastAsia="宋体" w:cs="Times New Roman"/>
                      <w:sz w:val="21"/>
                      <w:szCs w:val="21"/>
                      <w:lang w:val="en-US" w:eastAsia="zh-CN" w:bidi="ar-SA"/>
                    </w:rPr>
                  </w:pPr>
                  <w:r>
                    <w:rPr>
                      <w:sz w:val="21"/>
                      <w:szCs w:val="21"/>
                    </w:rPr>
                    <w:t>3</w:t>
                  </w:r>
                  <w:r>
                    <w:rPr>
                      <w:rFonts w:hint="eastAsia"/>
                      <w:sz w:val="21"/>
                      <w:szCs w:val="21"/>
                    </w:rPr>
                    <w:t>*</w:t>
                  </w:r>
                </w:p>
              </w:tc>
              <w:tc>
                <w:tcPr>
                  <w:tcW w:w="829" w:type="pct"/>
                  <w:vMerge w:val="continue"/>
                  <w:vAlign w:val="center"/>
                </w:tcPr>
                <w:p w14:paraId="2820E4C7">
                  <w:pPr>
                    <w:spacing w:line="360" w:lineRule="exact"/>
                    <w:jc w:val="center"/>
                    <w:rPr>
                      <w:sz w:val="21"/>
                      <w:szCs w:val="21"/>
                    </w:rPr>
                  </w:pPr>
                </w:p>
              </w:tc>
              <w:tc>
                <w:tcPr>
                  <w:tcW w:w="2845" w:type="pct"/>
                  <w:shd w:val="clear" w:color="auto" w:fill="auto"/>
                  <w:vAlign w:val="center"/>
                </w:tcPr>
                <w:p w14:paraId="1739CBD6">
                  <w:pPr>
                    <w:spacing w:line="240" w:lineRule="auto"/>
                    <w:jc w:val="center"/>
                    <w:rPr>
                      <w:rFonts w:ascii="Times New Roman" w:hAnsi="Times New Roman" w:eastAsia="宋体" w:cs="Times New Roman"/>
                      <w:sz w:val="21"/>
                      <w:szCs w:val="21"/>
                      <w:lang w:val="en-US" w:eastAsia="zh-CN" w:bidi="ar-SA"/>
                    </w:rPr>
                  </w:pPr>
                  <w:r>
                    <w:rPr>
                      <w:sz w:val="21"/>
                      <w:szCs w:val="21"/>
                    </w:rPr>
                    <w:t>医护人员的个人防护</w:t>
                  </w:r>
                </w:p>
              </w:tc>
              <w:tc>
                <w:tcPr>
                  <w:tcW w:w="747" w:type="pct"/>
                  <w:shd w:val="clear" w:color="auto" w:fill="auto"/>
                  <w:vAlign w:val="center"/>
                </w:tcPr>
                <w:p w14:paraId="6C785DEB">
                  <w:pPr>
                    <w:spacing w:line="240" w:lineRule="auto"/>
                    <w:jc w:val="center"/>
                    <w:rPr>
                      <w:rFonts w:ascii="Times New Roman" w:hAnsi="Times New Roman" w:eastAsia="宋体" w:cs="Times New Roman"/>
                      <w:sz w:val="21"/>
                      <w:szCs w:val="21"/>
                      <w:lang w:val="en-US" w:eastAsia="zh-CN" w:bidi="ar-SA"/>
                    </w:rPr>
                  </w:pPr>
                  <w:r>
                    <w:rPr>
                      <w:sz w:val="21"/>
                      <w:szCs w:val="21"/>
                    </w:rPr>
                    <w:t>拟配置</w:t>
                  </w:r>
                </w:p>
              </w:tc>
            </w:tr>
            <w:tr w14:paraId="299FAA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081717BE">
                  <w:pPr>
                    <w:spacing w:line="240" w:lineRule="auto"/>
                    <w:jc w:val="center"/>
                    <w:rPr>
                      <w:rFonts w:hint="eastAsia" w:ascii="Times New Roman" w:hAnsi="Times New Roman" w:eastAsia="宋体" w:cs="Times New Roman"/>
                      <w:sz w:val="21"/>
                      <w:szCs w:val="21"/>
                      <w:lang w:val="en-US" w:eastAsia="zh-CN" w:bidi="ar-SA"/>
                    </w:rPr>
                  </w:pPr>
                  <w:r>
                    <w:rPr>
                      <w:sz w:val="21"/>
                      <w:szCs w:val="21"/>
                    </w:rPr>
                    <w:t>4</w:t>
                  </w:r>
                  <w:r>
                    <w:rPr>
                      <w:rFonts w:hint="eastAsia"/>
                      <w:sz w:val="21"/>
                      <w:szCs w:val="21"/>
                    </w:rPr>
                    <w:t>*</w:t>
                  </w:r>
                </w:p>
              </w:tc>
              <w:tc>
                <w:tcPr>
                  <w:tcW w:w="829" w:type="pct"/>
                  <w:vMerge w:val="continue"/>
                  <w:vAlign w:val="center"/>
                </w:tcPr>
                <w:p w14:paraId="3C6DC0A6">
                  <w:pPr>
                    <w:spacing w:line="360" w:lineRule="exact"/>
                    <w:jc w:val="center"/>
                    <w:rPr>
                      <w:sz w:val="21"/>
                      <w:szCs w:val="21"/>
                    </w:rPr>
                  </w:pPr>
                </w:p>
              </w:tc>
              <w:tc>
                <w:tcPr>
                  <w:tcW w:w="2845" w:type="pct"/>
                  <w:shd w:val="clear" w:color="auto" w:fill="auto"/>
                  <w:vAlign w:val="center"/>
                </w:tcPr>
                <w:p w14:paraId="0ABEF0E1">
                  <w:pPr>
                    <w:spacing w:line="240" w:lineRule="auto"/>
                    <w:jc w:val="center"/>
                    <w:rPr>
                      <w:rFonts w:ascii="Times New Roman" w:hAnsi="Times New Roman" w:eastAsia="宋体" w:cs="Times New Roman"/>
                      <w:sz w:val="21"/>
                      <w:szCs w:val="21"/>
                      <w:lang w:val="en-US" w:eastAsia="zh-CN" w:bidi="ar-SA"/>
                    </w:rPr>
                  </w:pPr>
                  <w:r>
                    <w:rPr>
                      <w:sz w:val="21"/>
                      <w:szCs w:val="21"/>
                    </w:rPr>
                    <w:t>患者防护</w:t>
                  </w:r>
                </w:p>
              </w:tc>
              <w:tc>
                <w:tcPr>
                  <w:tcW w:w="747" w:type="pct"/>
                  <w:shd w:val="clear" w:color="auto" w:fill="auto"/>
                  <w:vAlign w:val="center"/>
                </w:tcPr>
                <w:p w14:paraId="7BDDA1EB">
                  <w:pPr>
                    <w:spacing w:line="240" w:lineRule="auto"/>
                    <w:jc w:val="center"/>
                    <w:rPr>
                      <w:rFonts w:ascii="Times New Roman" w:hAnsi="Times New Roman" w:eastAsia="宋体" w:cs="Times New Roman"/>
                      <w:sz w:val="21"/>
                      <w:szCs w:val="21"/>
                      <w:lang w:val="en-US" w:eastAsia="zh-CN" w:bidi="ar-SA"/>
                    </w:rPr>
                  </w:pPr>
                  <w:r>
                    <w:rPr>
                      <w:sz w:val="21"/>
                      <w:szCs w:val="21"/>
                    </w:rPr>
                    <w:t>拟配置</w:t>
                  </w:r>
                </w:p>
              </w:tc>
            </w:tr>
            <w:tr w14:paraId="524AC8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0E38E54D">
                  <w:pPr>
                    <w:spacing w:line="240" w:lineRule="auto"/>
                    <w:jc w:val="center"/>
                    <w:rPr>
                      <w:rFonts w:hint="eastAsia" w:ascii="Times New Roman" w:hAnsi="Times New Roman" w:eastAsia="宋体" w:cs="Times New Roman"/>
                      <w:sz w:val="21"/>
                      <w:szCs w:val="21"/>
                      <w:lang w:val="en-US" w:eastAsia="zh-CN" w:bidi="ar-SA"/>
                    </w:rPr>
                  </w:pPr>
                  <w:r>
                    <w:rPr>
                      <w:sz w:val="21"/>
                      <w:szCs w:val="21"/>
                    </w:rPr>
                    <w:t>5</w:t>
                  </w:r>
                  <w:r>
                    <w:rPr>
                      <w:rFonts w:hint="eastAsia"/>
                      <w:sz w:val="21"/>
                      <w:szCs w:val="21"/>
                    </w:rPr>
                    <w:t>*</w:t>
                  </w:r>
                </w:p>
              </w:tc>
              <w:tc>
                <w:tcPr>
                  <w:tcW w:w="829" w:type="pct"/>
                  <w:vMerge w:val="continue"/>
                  <w:vAlign w:val="center"/>
                </w:tcPr>
                <w:p w14:paraId="69B40A8B">
                  <w:pPr>
                    <w:spacing w:line="360" w:lineRule="exact"/>
                    <w:jc w:val="center"/>
                    <w:rPr>
                      <w:sz w:val="21"/>
                      <w:szCs w:val="21"/>
                    </w:rPr>
                  </w:pPr>
                </w:p>
              </w:tc>
              <w:tc>
                <w:tcPr>
                  <w:tcW w:w="2845" w:type="pct"/>
                  <w:shd w:val="clear" w:color="auto" w:fill="auto"/>
                  <w:vAlign w:val="center"/>
                </w:tcPr>
                <w:p w14:paraId="3EADB055">
                  <w:pPr>
                    <w:spacing w:line="240" w:lineRule="auto"/>
                    <w:jc w:val="center"/>
                    <w:rPr>
                      <w:rFonts w:ascii="Times New Roman" w:hAnsi="Times New Roman" w:eastAsia="宋体" w:cs="Times New Roman"/>
                      <w:sz w:val="21"/>
                      <w:szCs w:val="21"/>
                      <w:lang w:val="en-US" w:eastAsia="zh-CN" w:bidi="ar-SA"/>
                    </w:rPr>
                  </w:pPr>
                  <w:r>
                    <w:rPr>
                      <w:sz w:val="21"/>
                      <w:szCs w:val="21"/>
                    </w:rPr>
                    <w:t>机房门窗防护</w:t>
                  </w:r>
                </w:p>
              </w:tc>
              <w:tc>
                <w:tcPr>
                  <w:tcW w:w="747" w:type="pct"/>
                  <w:shd w:val="clear" w:color="auto" w:fill="auto"/>
                  <w:vAlign w:val="center"/>
                </w:tcPr>
                <w:p w14:paraId="2820F6E1">
                  <w:pPr>
                    <w:spacing w:line="240" w:lineRule="auto"/>
                    <w:jc w:val="center"/>
                    <w:rPr>
                      <w:rFonts w:ascii="Times New Roman" w:hAnsi="Times New Roman" w:eastAsia="宋体" w:cs="Times New Roman"/>
                      <w:sz w:val="21"/>
                      <w:szCs w:val="21"/>
                      <w:lang w:val="en-US" w:eastAsia="zh-CN" w:bidi="ar-SA"/>
                    </w:rPr>
                  </w:pPr>
                  <w:r>
                    <w:rPr>
                      <w:sz w:val="21"/>
                      <w:szCs w:val="21"/>
                    </w:rPr>
                    <w:t>已设计有</w:t>
                  </w:r>
                </w:p>
              </w:tc>
            </w:tr>
            <w:tr w14:paraId="507509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1D5F3182">
                  <w:pPr>
                    <w:spacing w:line="240" w:lineRule="auto"/>
                    <w:jc w:val="center"/>
                    <w:rPr>
                      <w:rFonts w:hint="eastAsia" w:ascii="Times New Roman" w:hAnsi="Times New Roman" w:eastAsia="宋体" w:cs="Times New Roman"/>
                      <w:sz w:val="21"/>
                      <w:szCs w:val="21"/>
                      <w:lang w:val="en-US" w:eastAsia="zh-CN" w:bidi="ar-SA"/>
                    </w:rPr>
                  </w:pPr>
                  <w:r>
                    <w:rPr>
                      <w:sz w:val="21"/>
                      <w:szCs w:val="21"/>
                    </w:rPr>
                    <w:t>6</w:t>
                  </w:r>
                  <w:r>
                    <w:rPr>
                      <w:rFonts w:hint="eastAsia"/>
                      <w:sz w:val="21"/>
                      <w:szCs w:val="21"/>
                    </w:rPr>
                    <w:t>*</w:t>
                  </w:r>
                </w:p>
              </w:tc>
              <w:tc>
                <w:tcPr>
                  <w:tcW w:w="829" w:type="pct"/>
                  <w:vMerge w:val="continue"/>
                  <w:vAlign w:val="center"/>
                </w:tcPr>
                <w:p w14:paraId="3E65D172">
                  <w:pPr>
                    <w:spacing w:line="360" w:lineRule="exact"/>
                    <w:jc w:val="center"/>
                    <w:rPr>
                      <w:sz w:val="21"/>
                      <w:szCs w:val="21"/>
                    </w:rPr>
                  </w:pPr>
                </w:p>
              </w:tc>
              <w:tc>
                <w:tcPr>
                  <w:tcW w:w="2845" w:type="pct"/>
                  <w:shd w:val="clear" w:color="auto" w:fill="auto"/>
                  <w:vAlign w:val="center"/>
                </w:tcPr>
                <w:p w14:paraId="3E0A8E95">
                  <w:pPr>
                    <w:spacing w:line="240" w:lineRule="auto"/>
                    <w:jc w:val="center"/>
                    <w:rPr>
                      <w:rFonts w:ascii="Times New Roman" w:hAnsi="Times New Roman" w:eastAsia="宋体" w:cs="Times New Roman"/>
                      <w:sz w:val="21"/>
                      <w:szCs w:val="21"/>
                      <w:lang w:val="en-US" w:eastAsia="zh-CN" w:bidi="ar-SA"/>
                    </w:rPr>
                  </w:pPr>
                  <w:r>
                    <w:rPr>
                      <w:sz w:val="21"/>
                      <w:szCs w:val="21"/>
                    </w:rPr>
                    <w:t>闭门装置</w:t>
                  </w:r>
                </w:p>
              </w:tc>
              <w:tc>
                <w:tcPr>
                  <w:tcW w:w="747" w:type="pct"/>
                  <w:shd w:val="clear" w:color="auto" w:fill="auto"/>
                  <w:vAlign w:val="center"/>
                </w:tcPr>
                <w:p w14:paraId="00079593">
                  <w:pPr>
                    <w:spacing w:line="240" w:lineRule="auto"/>
                    <w:jc w:val="center"/>
                    <w:rPr>
                      <w:rFonts w:ascii="Times New Roman" w:hAnsi="Times New Roman" w:eastAsia="宋体" w:cs="Times New Roman"/>
                      <w:sz w:val="21"/>
                      <w:szCs w:val="21"/>
                      <w:lang w:val="en-US" w:eastAsia="zh-CN" w:bidi="ar-SA"/>
                    </w:rPr>
                  </w:pPr>
                  <w:r>
                    <w:rPr>
                      <w:sz w:val="21"/>
                      <w:szCs w:val="21"/>
                    </w:rPr>
                    <w:t>已设计有</w:t>
                  </w:r>
                </w:p>
              </w:tc>
            </w:tr>
            <w:tr w14:paraId="4520D0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7811540C">
                  <w:pPr>
                    <w:spacing w:line="240" w:lineRule="auto"/>
                    <w:jc w:val="center"/>
                    <w:rPr>
                      <w:rFonts w:hint="eastAsia" w:ascii="Times New Roman" w:hAnsi="Times New Roman" w:eastAsia="宋体" w:cs="Times New Roman"/>
                      <w:kern w:val="2"/>
                      <w:sz w:val="21"/>
                      <w:szCs w:val="21"/>
                      <w:lang w:val="en-US" w:eastAsia="zh-CN" w:bidi="ar-SA"/>
                    </w:rPr>
                  </w:pPr>
                  <w:r>
                    <w:rPr>
                      <w:sz w:val="21"/>
                      <w:szCs w:val="21"/>
                    </w:rPr>
                    <w:t>7</w:t>
                  </w:r>
                  <w:r>
                    <w:rPr>
                      <w:rFonts w:hint="eastAsia"/>
                      <w:sz w:val="21"/>
                      <w:szCs w:val="21"/>
                    </w:rPr>
                    <w:t>*</w:t>
                  </w:r>
                </w:p>
              </w:tc>
              <w:tc>
                <w:tcPr>
                  <w:tcW w:w="829" w:type="pct"/>
                  <w:vMerge w:val="continue"/>
                  <w:vAlign w:val="center"/>
                </w:tcPr>
                <w:p w14:paraId="34B2379D">
                  <w:pPr>
                    <w:spacing w:line="360" w:lineRule="exact"/>
                    <w:jc w:val="center"/>
                    <w:rPr>
                      <w:sz w:val="21"/>
                      <w:szCs w:val="21"/>
                    </w:rPr>
                  </w:pPr>
                </w:p>
              </w:tc>
              <w:tc>
                <w:tcPr>
                  <w:tcW w:w="2845" w:type="pct"/>
                  <w:shd w:val="clear" w:color="auto" w:fill="auto"/>
                  <w:vAlign w:val="center"/>
                </w:tcPr>
                <w:p w14:paraId="668D2B20">
                  <w:pPr>
                    <w:spacing w:line="240" w:lineRule="auto"/>
                    <w:jc w:val="center"/>
                    <w:rPr>
                      <w:rFonts w:hint="default" w:ascii="Times New Roman" w:hAnsi="Times New Roman" w:eastAsia="宋体" w:cs="Times New Roman"/>
                      <w:sz w:val="21"/>
                      <w:szCs w:val="21"/>
                      <w:lang w:val="en-US" w:eastAsia="zh-CN" w:bidi="ar-SA"/>
                    </w:rPr>
                  </w:pPr>
                  <w:r>
                    <w:rPr>
                      <w:rFonts w:hint="eastAsia"/>
                      <w:sz w:val="21"/>
                      <w:szCs w:val="21"/>
                      <w:lang w:val="en-US" w:eastAsia="zh-CN"/>
                    </w:rPr>
                    <w:t>防夹装置</w:t>
                  </w:r>
                </w:p>
              </w:tc>
              <w:tc>
                <w:tcPr>
                  <w:tcW w:w="747" w:type="pct"/>
                  <w:shd w:val="clear" w:color="auto" w:fill="auto"/>
                  <w:vAlign w:val="center"/>
                </w:tcPr>
                <w:p w14:paraId="612F8CE6">
                  <w:pPr>
                    <w:spacing w:line="240" w:lineRule="auto"/>
                    <w:jc w:val="center"/>
                    <w:rPr>
                      <w:rFonts w:ascii="Times New Roman" w:hAnsi="Times New Roman" w:eastAsia="宋体" w:cs="Times New Roman"/>
                      <w:sz w:val="21"/>
                      <w:szCs w:val="21"/>
                      <w:lang w:val="en-US" w:eastAsia="zh-CN" w:bidi="ar-SA"/>
                    </w:rPr>
                  </w:pPr>
                  <w:r>
                    <w:rPr>
                      <w:sz w:val="21"/>
                      <w:szCs w:val="21"/>
                    </w:rPr>
                    <w:t>已设计有</w:t>
                  </w:r>
                </w:p>
              </w:tc>
            </w:tr>
            <w:tr w14:paraId="76863F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6DECAA6B">
                  <w:pPr>
                    <w:spacing w:line="240" w:lineRule="auto"/>
                    <w:jc w:val="center"/>
                    <w:rPr>
                      <w:rFonts w:hint="eastAsia" w:ascii="Times New Roman" w:hAnsi="Times New Roman" w:eastAsia="宋体" w:cs="Times New Roman"/>
                      <w:kern w:val="2"/>
                      <w:sz w:val="21"/>
                      <w:szCs w:val="21"/>
                      <w:lang w:val="en-US" w:eastAsia="zh-CN" w:bidi="ar-SA"/>
                    </w:rPr>
                  </w:pPr>
                  <w:r>
                    <w:rPr>
                      <w:sz w:val="21"/>
                      <w:szCs w:val="21"/>
                    </w:rPr>
                    <w:t>8</w:t>
                  </w:r>
                  <w:r>
                    <w:rPr>
                      <w:rFonts w:hint="eastAsia"/>
                      <w:sz w:val="21"/>
                      <w:szCs w:val="21"/>
                    </w:rPr>
                    <w:t>*</w:t>
                  </w:r>
                </w:p>
              </w:tc>
              <w:tc>
                <w:tcPr>
                  <w:tcW w:w="829" w:type="pct"/>
                  <w:vMerge w:val="continue"/>
                  <w:vAlign w:val="center"/>
                </w:tcPr>
                <w:p w14:paraId="04280FE7">
                  <w:pPr>
                    <w:spacing w:line="360" w:lineRule="exact"/>
                    <w:jc w:val="center"/>
                    <w:rPr>
                      <w:sz w:val="21"/>
                      <w:szCs w:val="21"/>
                    </w:rPr>
                  </w:pPr>
                </w:p>
              </w:tc>
              <w:tc>
                <w:tcPr>
                  <w:tcW w:w="2845" w:type="pct"/>
                  <w:shd w:val="clear" w:color="auto" w:fill="auto"/>
                  <w:vAlign w:val="center"/>
                </w:tcPr>
                <w:p w14:paraId="7F0A69EC">
                  <w:pPr>
                    <w:spacing w:line="240" w:lineRule="auto"/>
                    <w:jc w:val="center"/>
                    <w:rPr>
                      <w:rFonts w:ascii="Times New Roman" w:hAnsi="Times New Roman" w:eastAsia="宋体" w:cs="Times New Roman"/>
                      <w:sz w:val="21"/>
                      <w:szCs w:val="21"/>
                      <w:lang w:val="en-US" w:eastAsia="zh-CN" w:bidi="ar-SA"/>
                    </w:rPr>
                  </w:pPr>
                  <w:r>
                    <w:rPr>
                      <w:sz w:val="21"/>
                      <w:szCs w:val="21"/>
                    </w:rPr>
                    <w:t>入口处电离辐射警告标志</w:t>
                  </w:r>
                </w:p>
              </w:tc>
              <w:tc>
                <w:tcPr>
                  <w:tcW w:w="747" w:type="pct"/>
                  <w:shd w:val="clear" w:color="auto" w:fill="auto"/>
                  <w:vAlign w:val="center"/>
                </w:tcPr>
                <w:p w14:paraId="4331C3DA">
                  <w:pPr>
                    <w:spacing w:line="240" w:lineRule="auto"/>
                    <w:jc w:val="center"/>
                    <w:rPr>
                      <w:rFonts w:ascii="Times New Roman" w:hAnsi="Times New Roman" w:eastAsia="宋体" w:cs="Times New Roman"/>
                      <w:sz w:val="21"/>
                      <w:szCs w:val="21"/>
                      <w:lang w:val="en-US" w:eastAsia="zh-CN" w:bidi="ar-SA"/>
                    </w:rPr>
                  </w:pPr>
                  <w:r>
                    <w:rPr>
                      <w:sz w:val="21"/>
                      <w:szCs w:val="21"/>
                    </w:rPr>
                    <w:t>拟配置</w:t>
                  </w:r>
                </w:p>
              </w:tc>
            </w:tr>
            <w:tr w14:paraId="1BAC1F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0C7B9370">
                  <w:pPr>
                    <w:spacing w:line="240" w:lineRule="auto"/>
                    <w:jc w:val="center"/>
                    <w:rPr>
                      <w:rFonts w:hint="eastAsia" w:ascii="Times New Roman" w:hAnsi="Times New Roman" w:eastAsia="宋体" w:cs="Times New Roman"/>
                      <w:kern w:val="2"/>
                      <w:sz w:val="21"/>
                      <w:szCs w:val="21"/>
                      <w:lang w:val="en-US" w:eastAsia="zh-CN" w:bidi="ar-SA"/>
                    </w:rPr>
                  </w:pPr>
                  <w:r>
                    <w:rPr>
                      <w:sz w:val="21"/>
                      <w:szCs w:val="21"/>
                    </w:rPr>
                    <w:t>9</w:t>
                  </w:r>
                  <w:r>
                    <w:rPr>
                      <w:rFonts w:hint="eastAsia"/>
                      <w:sz w:val="21"/>
                      <w:szCs w:val="21"/>
                    </w:rPr>
                    <w:t>*</w:t>
                  </w:r>
                </w:p>
              </w:tc>
              <w:tc>
                <w:tcPr>
                  <w:tcW w:w="829" w:type="pct"/>
                  <w:vMerge w:val="continue"/>
                  <w:vAlign w:val="center"/>
                </w:tcPr>
                <w:p w14:paraId="4B1EA3D8">
                  <w:pPr>
                    <w:spacing w:line="360" w:lineRule="exact"/>
                    <w:jc w:val="center"/>
                    <w:rPr>
                      <w:sz w:val="21"/>
                      <w:szCs w:val="21"/>
                    </w:rPr>
                  </w:pPr>
                </w:p>
              </w:tc>
              <w:tc>
                <w:tcPr>
                  <w:tcW w:w="2845" w:type="pct"/>
                  <w:shd w:val="clear" w:color="auto" w:fill="auto"/>
                  <w:vAlign w:val="center"/>
                </w:tcPr>
                <w:p w14:paraId="26FC006E">
                  <w:pPr>
                    <w:spacing w:line="240" w:lineRule="auto"/>
                    <w:jc w:val="center"/>
                    <w:rPr>
                      <w:rFonts w:ascii="Times New Roman" w:hAnsi="Times New Roman" w:eastAsia="宋体" w:cs="Times New Roman"/>
                      <w:sz w:val="21"/>
                      <w:szCs w:val="21"/>
                      <w:lang w:val="en-US" w:eastAsia="zh-CN" w:bidi="ar-SA"/>
                    </w:rPr>
                  </w:pPr>
                  <w:r>
                    <w:rPr>
                      <w:sz w:val="21"/>
                      <w:szCs w:val="21"/>
                    </w:rPr>
                    <w:t>入口处机器工作状态显示</w:t>
                  </w:r>
                </w:p>
              </w:tc>
              <w:tc>
                <w:tcPr>
                  <w:tcW w:w="747" w:type="pct"/>
                  <w:shd w:val="clear" w:color="auto" w:fill="auto"/>
                  <w:vAlign w:val="center"/>
                </w:tcPr>
                <w:p w14:paraId="6E665697">
                  <w:pPr>
                    <w:spacing w:line="240" w:lineRule="auto"/>
                    <w:jc w:val="center"/>
                    <w:rPr>
                      <w:rFonts w:ascii="Times New Roman" w:hAnsi="Times New Roman" w:eastAsia="宋体" w:cs="Times New Roman"/>
                      <w:sz w:val="21"/>
                      <w:szCs w:val="21"/>
                      <w:lang w:val="en-US" w:eastAsia="zh-CN" w:bidi="ar-SA"/>
                    </w:rPr>
                  </w:pPr>
                  <w:r>
                    <w:rPr>
                      <w:sz w:val="21"/>
                      <w:szCs w:val="21"/>
                    </w:rPr>
                    <w:t>拟配置</w:t>
                  </w:r>
                </w:p>
              </w:tc>
            </w:tr>
            <w:tr w14:paraId="560BAF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6D30FFFA">
                  <w:pPr>
                    <w:spacing w:line="240" w:lineRule="auto"/>
                    <w:jc w:val="center"/>
                    <w:rPr>
                      <w:rFonts w:hint="default" w:ascii="Times New Roman" w:hAnsi="Times New Roman" w:eastAsia="宋体" w:cs="Times New Roman"/>
                      <w:sz w:val="21"/>
                      <w:szCs w:val="21"/>
                      <w:lang w:val="en-US" w:eastAsia="zh-CN" w:bidi="ar-SA"/>
                    </w:rPr>
                  </w:pPr>
                  <w:r>
                    <w:rPr>
                      <w:rFonts w:hint="eastAsia"/>
                      <w:sz w:val="21"/>
                      <w:szCs w:val="21"/>
                      <w:lang w:val="en-US" w:eastAsia="zh-CN"/>
                    </w:rPr>
                    <w:t>10*</w:t>
                  </w:r>
                </w:p>
              </w:tc>
              <w:tc>
                <w:tcPr>
                  <w:tcW w:w="829" w:type="pct"/>
                  <w:vMerge w:val="restart"/>
                  <w:shd w:val="clear" w:color="auto" w:fill="auto"/>
                  <w:vAlign w:val="center"/>
                </w:tcPr>
                <w:p w14:paraId="5596FE8B">
                  <w:pPr>
                    <w:spacing w:line="240" w:lineRule="auto"/>
                    <w:jc w:val="center"/>
                    <w:rPr>
                      <w:rFonts w:ascii="Times New Roman" w:hAnsi="Times New Roman" w:eastAsia="宋体" w:cs="Times New Roman"/>
                      <w:sz w:val="21"/>
                      <w:szCs w:val="21"/>
                      <w:lang w:val="en-US" w:eastAsia="zh-CN" w:bidi="ar-SA"/>
                    </w:rPr>
                  </w:pPr>
                  <w:r>
                    <w:rPr>
                      <w:sz w:val="21"/>
                      <w:szCs w:val="21"/>
                    </w:rPr>
                    <w:t>其他</w:t>
                  </w:r>
                </w:p>
              </w:tc>
              <w:tc>
                <w:tcPr>
                  <w:tcW w:w="2845" w:type="pct"/>
                  <w:shd w:val="clear" w:color="auto" w:fill="auto"/>
                  <w:vAlign w:val="center"/>
                </w:tcPr>
                <w:p w14:paraId="29F92B95">
                  <w:pPr>
                    <w:spacing w:line="240" w:lineRule="auto"/>
                    <w:jc w:val="center"/>
                    <w:rPr>
                      <w:rFonts w:ascii="Times New Roman" w:hAnsi="Times New Roman" w:eastAsia="宋体" w:cs="Times New Roman"/>
                      <w:sz w:val="21"/>
                      <w:szCs w:val="21"/>
                      <w:lang w:val="en-US" w:eastAsia="zh-CN" w:bidi="ar-SA"/>
                    </w:rPr>
                  </w:pPr>
                  <w:r>
                    <w:rPr>
                      <w:sz w:val="21"/>
                      <w:szCs w:val="21"/>
                    </w:rPr>
                    <w:t>监测仪器</w:t>
                  </w:r>
                </w:p>
              </w:tc>
              <w:tc>
                <w:tcPr>
                  <w:tcW w:w="747" w:type="pct"/>
                  <w:shd w:val="clear" w:color="auto" w:fill="auto"/>
                  <w:vAlign w:val="center"/>
                </w:tcPr>
                <w:p w14:paraId="52508CE3">
                  <w:pPr>
                    <w:spacing w:line="240" w:lineRule="auto"/>
                    <w:jc w:val="center"/>
                    <w:rPr>
                      <w:rFonts w:ascii="Times New Roman" w:hAnsi="Times New Roman" w:eastAsia="宋体" w:cs="Times New Roman"/>
                      <w:sz w:val="21"/>
                      <w:szCs w:val="21"/>
                      <w:lang w:val="en-US" w:eastAsia="zh-CN" w:bidi="ar-SA"/>
                    </w:rPr>
                  </w:pPr>
                  <w:r>
                    <w:rPr>
                      <w:sz w:val="21"/>
                      <w:szCs w:val="21"/>
                    </w:rPr>
                    <w:t>拟配置</w:t>
                  </w:r>
                </w:p>
              </w:tc>
            </w:tr>
            <w:tr w14:paraId="619DDC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8" w:type="pct"/>
                  <w:shd w:val="clear" w:color="auto" w:fill="auto"/>
                  <w:vAlign w:val="center"/>
                </w:tcPr>
                <w:p w14:paraId="73354E18">
                  <w:pPr>
                    <w:spacing w:line="240" w:lineRule="auto"/>
                    <w:jc w:val="center"/>
                    <w:rPr>
                      <w:rFonts w:hint="eastAsia" w:ascii="Times New Roman" w:hAnsi="Times New Roman" w:eastAsia="宋体" w:cs="Times New Roman"/>
                      <w:sz w:val="21"/>
                      <w:szCs w:val="21"/>
                      <w:lang w:val="en-US" w:eastAsia="zh-CN" w:bidi="ar-SA"/>
                    </w:rPr>
                  </w:pPr>
                  <w:r>
                    <w:rPr>
                      <w:sz w:val="21"/>
                      <w:szCs w:val="21"/>
                    </w:rPr>
                    <w:t>1</w:t>
                  </w:r>
                  <w:r>
                    <w:rPr>
                      <w:rFonts w:hint="eastAsia"/>
                      <w:sz w:val="21"/>
                      <w:szCs w:val="21"/>
                      <w:lang w:val="en-US" w:eastAsia="zh-CN"/>
                    </w:rPr>
                    <w:t>1</w:t>
                  </w:r>
                  <w:r>
                    <w:rPr>
                      <w:rFonts w:hint="eastAsia"/>
                      <w:sz w:val="21"/>
                      <w:szCs w:val="21"/>
                    </w:rPr>
                    <w:t>*</w:t>
                  </w:r>
                </w:p>
              </w:tc>
              <w:tc>
                <w:tcPr>
                  <w:tcW w:w="829" w:type="pct"/>
                  <w:vMerge w:val="continue"/>
                  <w:vAlign w:val="center"/>
                </w:tcPr>
                <w:p w14:paraId="42EA1F3D">
                  <w:pPr>
                    <w:spacing w:line="360" w:lineRule="exact"/>
                    <w:jc w:val="center"/>
                    <w:rPr>
                      <w:sz w:val="21"/>
                      <w:szCs w:val="21"/>
                    </w:rPr>
                  </w:pPr>
                </w:p>
              </w:tc>
              <w:tc>
                <w:tcPr>
                  <w:tcW w:w="2845" w:type="pct"/>
                  <w:shd w:val="clear" w:color="auto" w:fill="auto"/>
                  <w:vAlign w:val="center"/>
                </w:tcPr>
                <w:p w14:paraId="146CCDFE">
                  <w:pPr>
                    <w:spacing w:line="240" w:lineRule="auto"/>
                    <w:jc w:val="center"/>
                    <w:rPr>
                      <w:rFonts w:ascii="Times New Roman" w:hAnsi="Times New Roman" w:eastAsia="宋体" w:cs="Times New Roman"/>
                      <w:sz w:val="21"/>
                      <w:szCs w:val="21"/>
                      <w:lang w:val="en-US" w:eastAsia="zh-CN" w:bidi="ar-SA"/>
                    </w:rPr>
                  </w:pPr>
                  <w:r>
                    <w:rPr>
                      <w:sz w:val="21"/>
                      <w:szCs w:val="21"/>
                    </w:rPr>
                    <w:t>个人剂量计</w:t>
                  </w:r>
                </w:p>
              </w:tc>
              <w:tc>
                <w:tcPr>
                  <w:tcW w:w="747" w:type="pct"/>
                  <w:shd w:val="clear" w:color="auto" w:fill="auto"/>
                  <w:vAlign w:val="center"/>
                </w:tcPr>
                <w:p w14:paraId="1A1F0B71">
                  <w:pPr>
                    <w:spacing w:line="240" w:lineRule="auto"/>
                    <w:jc w:val="center"/>
                    <w:rPr>
                      <w:rFonts w:ascii="Times New Roman" w:hAnsi="Times New Roman" w:eastAsia="宋体" w:cs="Times New Roman"/>
                      <w:sz w:val="21"/>
                      <w:szCs w:val="21"/>
                      <w:lang w:val="en-US" w:eastAsia="zh-CN" w:bidi="ar-SA"/>
                    </w:rPr>
                  </w:pPr>
                  <w:r>
                    <w:rPr>
                      <w:rFonts w:hint="eastAsia"/>
                      <w:sz w:val="21"/>
                      <w:szCs w:val="21"/>
                    </w:rPr>
                    <w:t>已</w:t>
                  </w:r>
                  <w:r>
                    <w:rPr>
                      <w:sz w:val="21"/>
                      <w:szCs w:val="21"/>
                    </w:rPr>
                    <w:t>配置</w:t>
                  </w:r>
                </w:p>
              </w:tc>
            </w:tr>
          </w:tbl>
          <w:p w14:paraId="37FB4386">
            <w:pPr>
              <w:pStyle w:val="55"/>
              <w:spacing w:line="240" w:lineRule="auto"/>
              <w:ind w:firstLine="0"/>
            </w:pPr>
            <w:r>
              <w:rPr>
                <w:rFonts w:hint="eastAsia" w:eastAsia="黑体"/>
                <w:bCs/>
                <w:sz w:val="21"/>
                <w:szCs w:val="21"/>
              </w:rPr>
              <w:t>注：加*的项目是重点项。</w:t>
            </w:r>
          </w:p>
        </w:tc>
      </w:tr>
      <w:tr w14:paraId="4BF4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AF92EAC">
            <w:pPr>
              <w:jc w:val="left"/>
              <w:rPr>
                <w:rFonts w:eastAsia="黑体"/>
                <w:bCs/>
              </w:rPr>
            </w:pPr>
            <w:r>
              <w:rPr>
                <w:rFonts w:eastAsia="黑体"/>
                <w:bCs/>
              </w:rPr>
              <w:t>三废的治理</w:t>
            </w:r>
          </w:p>
          <w:p w14:paraId="248061F0">
            <w:pPr>
              <w:rPr>
                <w:rFonts w:eastAsia="黑体"/>
              </w:rPr>
            </w:pPr>
            <w:r>
              <w:rPr>
                <w:rFonts w:eastAsia="黑体"/>
              </w:rPr>
              <w:t>一、废气处理措施</w:t>
            </w:r>
          </w:p>
          <w:p w14:paraId="6C3A0BC7">
            <w:pPr>
              <w:ind w:firstLine="482"/>
              <w:rPr>
                <w:b/>
              </w:rPr>
            </w:pPr>
            <w:r>
              <w:rPr>
                <w:b/>
              </w:rPr>
              <w:t>1、放射性废气</w:t>
            </w:r>
          </w:p>
          <w:p w14:paraId="09E2B819">
            <w:pPr>
              <w:ind w:firstLine="480"/>
            </w:pPr>
            <w:r>
              <w:t>本项目放射性废气主要来源于放射性药物操作过程中产生的少量放射性气溶胶。本项目核医学科辐射工作区域通排风系统采用独立设计，不与其他非辐射工作区域通排风系统交叉。</w:t>
            </w:r>
          </w:p>
          <w:p w14:paraId="4F1893A7">
            <w:pPr>
              <w:widowControl/>
              <w:ind w:firstLine="482"/>
            </w:pPr>
            <w:r>
              <w:rPr>
                <w:b/>
              </w:rPr>
              <w:t>负一层</w:t>
            </w:r>
            <w:r>
              <w:rPr>
                <w:rFonts w:hint="eastAsia"/>
                <w:b/>
                <w:lang w:val="en-US" w:eastAsia="zh-CN"/>
              </w:rPr>
              <w:t>核医学科</w:t>
            </w:r>
            <w:r>
              <w:rPr>
                <w:b/>
              </w:rPr>
              <w:t>：</w:t>
            </w:r>
            <w:r>
              <w:t>拟设置</w:t>
            </w:r>
            <w:r>
              <w:rPr>
                <w:rFonts w:hint="eastAsia"/>
                <w:lang w:val="en-US" w:eastAsia="zh-CN"/>
              </w:rPr>
              <w:t>4</w:t>
            </w:r>
            <w:r>
              <w:t>套放射性废气排风系统：第1套排风管道连接至分装室</w:t>
            </w:r>
            <w:r>
              <w:rPr>
                <w:rFonts w:hint="eastAsia"/>
                <w:lang w:val="en-US" w:eastAsia="zh-CN"/>
              </w:rPr>
              <w:t>1#</w:t>
            </w:r>
            <w:r>
              <w:t>的</w:t>
            </w:r>
            <w:r>
              <w:rPr>
                <w:rFonts w:hint="eastAsia"/>
                <w:lang w:val="en-US" w:eastAsia="zh-CN"/>
              </w:rPr>
              <w:t>各</w:t>
            </w:r>
            <w:r>
              <w:t>手套箱，放射性废气经</w:t>
            </w:r>
            <w:r>
              <w:rPr>
                <w:rFonts w:hint="eastAsia"/>
                <w:lang w:val="en-US" w:eastAsia="zh-CN"/>
              </w:rPr>
              <w:t>各</w:t>
            </w:r>
            <w:r>
              <w:t>手套箱顶壁处自带过滤器过滤后，再经独立排风管道引至屋顶，经初中效过滤器+高效过滤器（除碘）过滤后排放。第2套排风管道连接至各功能房间，包括</w:t>
            </w:r>
            <w:r>
              <w:rPr>
                <w:bCs/>
              </w:rPr>
              <w:t>分装室</w:t>
            </w:r>
            <w:r>
              <w:rPr>
                <w:rFonts w:hint="eastAsia"/>
                <w:bCs/>
                <w:lang w:val="en-US" w:eastAsia="zh-CN"/>
              </w:rPr>
              <w:t>1#</w:t>
            </w:r>
            <w:r>
              <w:rPr>
                <w:bCs/>
              </w:rPr>
              <w:t>、</w:t>
            </w:r>
            <w:r>
              <w:rPr>
                <w:rFonts w:hint="eastAsia"/>
                <w:bCs/>
                <w:lang w:val="en-US" w:eastAsia="zh-CN"/>
              </w:rPr>
              <w:t>PET</w:t>
            </w:r>
            <w:r>
              <w:rPr>
                <w:bCs/>
              </w:rPr>
              <w:t>注射室</w:t>
            </w:r>
            <w:r>
              <w:rPr>
                <w:rFonts w:hint="eastAsia"/>
                <w:bCs/>
                <w:lang w:eastAsia="zh-CN"/>
              </w:rPr>
              <w:t>、</w:t>
            </w:r>
            <w:r>
              <w:rPr>
                <w:rFonts w:hint="eastAsia"/>
                <w:bCs/>
                <w:lang w:val="en-US" w:eastAsia="zh-CN"/>
              </w:rPr>
              <w:t>ECT注射室</w:t>
            </w:r>
            <w:r>
              <w:rPr>
                <w:bCs/>
              </w:rPr>
              <w:t>、储源室</w:t>
            </w:r>
            <w:r>
              <w:rPr>
                <w:rFonts w:hint="eastAsia"/>
                <w:bCs/>
                <w:lang w:val="en-US" w:eastAsia="zh-CN"/>
              </w:rPr>
              <w:t>1#</w:t>
            </w:r>
            <w:r>
              <w:rPr>
                <w:bCs/>
              </w:rPr>
              <w:t>、放废暂存间（房间风口设初中效过滤器预先过滤）、PET/CT机房、</w:t>
            </w:r>
            <w:r>
              <w:rPr>
                <w:rFonts w:hint="eastAsia"/>
                <w:bCs/>
                <w:lang w:val="en-US" w:eastAsia="zh-CN"/>
              </w:rPr>
              <w:t>SPECT/CT</w:t>
            </w:r>
            <w:r>
              <w:rPr>
                <w:bCs/>
              </w:rPr>
              <w:t>机房、</w:t>
            </w:r>
            <w:r>
              <w:rPr>
                <w:rFonts w:hint="eastAsia"/>
                <w:bCs/>
                <w:lang w:val="en-US" w:eastAsia="zh-CN"/>
              </w:rPr>
              <w:t>PET</w:t>
            </w:r>
            <w:r>
              <w:rPr>
                <w:bCs/>
              </w:rPr>
              <w:t>注射后等候室</w:t>
            </w:r>
            <w:r>
              <w:rPr>
                <w:rFonts w:hint="eastAsia"/>
                <w:bCs/>
                <w:lang w:eastAsia="zh-CN"/>
              </w:rPr>
              <w:t>、</w:t>
            </w:r>
            <w:r>
              <w:rPr>
                <w:rFonts w:hint="eastAsia"/>
                <w:bCs/>
                <w:lang w:val="en-US" w:eastAsia="zh-CN"/>
              </w:rPr>
              <w:t>ECT</w:t>
            </w:r>
            <w:r>
              <w:rPr>
                <w:bCs/>
              </w:rPr>
              <w:t>注射后等候室、</w:t>
            </w:r>
            <w:r>
              <w:rPr>
                <w:rFonts w:hint="eastAsia"/>
                <w:bCs/>
                <w:lang w:val="en-US" w:eastAsia="zh-CN"/>
              </w:rPr>
              <w:t>PET</w:t>
            </w:r>
            <w:r>
              <w:rPr>
                <w:bCs/>
              </w:rPr>
              <w:t>留观室</w:t>
            </w:r>
            <w:r>
              <w:rPr>
                <w:rFonts w:hint="eastAsia"/>
                <w:bCs/>
                <w:lang w:eastAsia="zh-CN"/>
              </w:rPr>
              <w:t>、</w:t>
            </w:r>
            <w:r>
              <w:rPr>
                <w:rFonts w:hint="eastAsia"/>
                <w:bCs/>
                <w:lang w:val="en-US" w:eastAsia="zh-CN"/>
              </w:rPr>
              <w:t>ECT留观室</w:t>
            </w:r>
            <w:r>
              <w:rPr>
                <w:bCs/>
              </w:rPr>
              <w:t>、</w:t>
            </w:r>
            <w:r>
              <w:rPr>
                <w:rFonts w:hint="eastAsia"/>
                <w:bCs/>
                <w:lang w:val="en-US" w:eastAsia="zh-CN"/>
              </w:rPr>
              <w:t>抢救室</w:t>
            </w:r>
            <w:r>
              <w:t>等房间，放射性废气经独立排风管道引至屋顶，经初中效过滤器+高效过滤器（除碘）过滤后排放</w:t>
            </w:r>
            <w:r>
              <w:rPr>
                <w:rFonts w:hint="eastAsia"/>
                <w:lang w:eastAsia="zh-CN"/>
              </w:rPr>
              <w:t>；</w:t>
            </w:r>
            <w:r>
              <w:rPr>
                <w:lang w:bidi="ar"/>
              </w:rPr>
              <w:t>第</w:t>
            </w:r>
            <w:r>
              <w:rPr>
                <w:rFonts w:hint="eastAsia"/>
                <w:lang w:val="en-US" w:eastAsia="zh-CN" w:bidi="ar"/>
              </w:rPr>
              <w:t>3</w:t>
            </w:r>
            <w:r>
              <w:rPr>
                <w:lang w:bidi="ar"/>
              </w:rPr>
              <w:t>套排风管道连接至</w:t>
            </w:r>
            <w:r>
              <w:rPr>
                <w:rFonts w:hint="eastAsia"/>
                <w:lang w:val="en-US" w:eastAsia="zh-CN" w:bidi="ar"/>
              </w:rPr>
              <w:t>分装</w:t>
            </w:r>
            <w:r>
              <w:rPr>
                <w:lang w:bidi="ar"/>
              </w:rPr>
              <w:t>室</w:t>
            </w:r>
            <w:r>
              <w:rPr>
                <w:rFonts w:hint="eastAsia"/>
                <w:lang w:val="en-US" w:eastAsia="zh-CN" w:bidi="ar"/>
              </w:rPr>
              <w:t>2#</w:t>
            </w:r>
            <w:r>
              <w:rPr>
                <w:lang w:bidi="ar"/>
              </w:rPr>
              <w:t>的自动分药</w:t>
            </w:r>
            <w:r>
              <w:rPr>
                <w:rFonts w:hint="eastAsia"/>
                <w:lang w:val="en-US" w:eastAsia="zh-CN" w:bidi="ar"/>
              </w:rPr>
              <w:t>手套箱和锶分药手套箱</w:t>
            </w:r>
            <w:r>
              <w:rPr>
                <w:lang w:bidi="ar"/>
              </w:rPr>
              <w:t>，放射性废气经自动分药</w:t>
            </w:r>
            <w:r>
              <w:rPr>
                <w:rFonts w:hint="eastAsia"/>
                <w:lang w:val="en-US" w:eastAsia="zh-CN" w:bidi="ar"/>
              </w:rPr>
              <w:t>手套箱和锶分药手套箱</w:t>
            </w:r>
            <w:r>
              <w:rPr>
                <w:lang w:bidi="ar"/>
              </w:rPr>
              <w:t>顶壁处自带过滤器过滤后，再经独立排风管道</w:t>
            </w:r>
            <w:r>
              <w:t>引至屋顶，经初中效过滤器+高效过滤器（除碘）过滤后排放</w:t>
            </w:r>
            <w:r>
              <w:rPr>
                <w:lang w:bidi="ar"/>
              </w:rPr>
              <w:t>；第</w:t>
            </w:r>
            <w:r>
              <w:rPr>
                <w:rFonts w:hint="eastAsia"/>
                <w:lang w:val="en-US" w:eastAsia="zh-CN" w:bidi="ar"/>
              </w:rPr>
              <w:t>4</w:t>
            </w:r>
            <w:r>
              <w:rPr>
                <w:lang w:bidi="ar"/>
              </w:rPr>
              <w:t>套排风管道连接至</w:t>
            </w:r>
            <w:r>
              <w:rPr>
                <w:bCs/>
              </w:rPr>
              <w:t>分装室</w:t>
            </w:r>
            <w:r>
              <w:rPr>
                <w:rFonts w:hint="eastAsia"/>
                <w:bCs/>
                <w:lang w:val="en-US" w:eastAsia="zh-CN"/>
              </w:rPr>
              <w:t>2#</w:t>
            </w:r>
            <w:r>
              <w:rPr>
                <w:bCs/>
              </w:rPr>
              <w:t>、储源室</w:t>
            </w:r>
            <w:r>
              <w:rPr>
                <w:rFonts w:hint="eastAsia"/>
                <w:bCs/>
                <w:lang w:val="en-US" w:eastAsia="zh-CN"/>
              </w:rPr>
              <w:t>2#</w:t>
            </w:r>
            <w:r>
              <w:rPr>
                <w:bCs/>
              </w:rPr>
              <w:t>、</w:t>
            </w:r>
            <w:r>
              <w:rPr>
                <w:rFonts w:hint="eastAsia"/>
                <w:bCs/>
                <w:lang w:val="en-US" w:eastAsia="zh-CN"/>
              </w:rPr>
              <w:t>I-131</w:t>
            </w:r>
            <w:r>
              <w:rPr>
                <w:bCs/>
              </w:rPr>
              <w:t>服药室、</w:t>
            </w:r>
            <w:r>
              <w:rPr>
                <w:rFonts w:hint="eastAsia"/>
                <w:bCs/>
                <w:lang w:val="en-US" w:eastAsia="zh-CN"/>
              </w:rPr>
              <w:t>日间留观室</w:t>
            </w:r>
            <w:r>
              <w:rPr>
                <w:bCs/>
              </w:rPr>
              <w:t>等房间，</w:t>
            </w:r>
            <w:r>
              <w:rPr>
                <w:bCs/>
                <w:lang w:bidi="ar"/>
              </w:rPr>
              <w:t>放射性废气经各</w:t>
            </w:r>
            <w:r>
              <w:rPr>
                <w:bCs/>
              </w:rPr>
              <w:t>房间风口预设的初中效过滤器后经</w:t>
            </w:r>
            <w:r>
              <w:rPr>
                <w:bCs/>
                <w:lang w:bidi="ar"/>
              </w:rPr>
              <w:t>独立排风管道</w:t>
            </w:r>
            <w:r>
              <w:rPr>
                <w:bCs/>
              </w:rPr>
              <w:t>引至屋顶，再经初中效过</w:t>
            </w:r>
            <w:r>
              <w:t>滤器+高效过滤器（除碘）过滤后排放。</w:t>
            </w:r>
          </w:p>
          <w:p w14:paraId="79965FE7">
            <w:pPr>
              <w:ind w:firstLine="480"/>
            </w:pPr>
            <w:r>
              <w:rPr>
                <w:lang w:bidi="ar"/>
              </w:rPr>
              <w:t>以上各非密封放射性物质工作场所保持良好的通风，气流流向为：清洁区→监督区→控制区，保持非密封放射性物质工作场所为负压，防止放射性废气对工作场所造成交叉污染。</w:t>
            </w:r>
            <w:r>
              <w:rPr>
                <w:bCs/>
              </w:rPr>
              <w:t>各放射性废气排风系统过滤器总过滤效率均大于99%，</w:t>
            </w:r>
            <w:r>
              <w:rPr>
                <w:rFonts w:hint="eastAsia"/>
                <w:bCs/>
              </w:rPr>
              <w:t>排放口</w:t>
            </w:r>
            <w:r>
              <w:rPr>
                <w:rFonts w:hint="eastAsia"/>
                <w:bCs/>
                <w:highlight w:val="none"/>
              </w:rPr>
              <w:t>（仅1个）位于本建筑物屋顶东南侧，距离地面高度大于</w:t>
            </w:r>
            <w:r>
              <w:rPr>
                <w:rFonts w:hint="eastAsia"/>
                <w:bCs/>
                <w:highlight w:val="none"/>
                <w:lang w:val="en-US" w:eastAsia="zh-CN"/>
              </w:rPr>
              <w:t>90</w:t>
            </w:r>
            <w:r>
              <w:rPr>
                <w:bCs/>
                <w:highlight w:val="none"/>
              </w:rPr>
              <w:t>m，</w:t>
            </w:r>
            <w:r>
              <w:rPr>
                <w:bCs/>
              </w:rPr>
              <w:t>并</w:t>
            </w:r>
            <w:r>
              <w:rPr>
                <w:bCs/>
                <w:lang w:bidi="ar"/>
              </w:rPr>
              <w:t>已</w:t>
            </w:r>
            <w:r>
              <w:rPr>
                <w:bCs/>
              </w:rPr>
              <w:t>尽可能</w:t>
            </w:r>
            <w:r>
              <w:t>远离临</w:t>
            </w:r>
            <w:r>
              <w:rPr>
                <w:lang w:bidi="ar"/>
              </w:rPr>
              <w:t>近的高层建筑，满足《核医学辐射防护与安全要求》（HJ1188-2021）中的排风要求。此外，非密封放射性物质工作场所内的</w:t>
            </w:r>
            <w:r>
              <w:rPr>
                <w:bCs/>
                <w:lang w:bidi="ar"/>
              </w:rPr>
              <w:t>工作箱</w:t>
            </w:r>
            <w:r>
              <w:rPr>
                <w:lang w:bidi="ar"/>
              </w:rPr>
              <w:t>、手套箱、自动分药仪等设备均保持负压环境，且风速大于0.5m/s，满足《核医学放射防护要求》（GBZ120-2020）中“合成和操作放射性药物所用的通风橱应有专用的排风装置，风速应不小于0.5m/s”的规定。</w:t>
            </w:r>
          </w:p>
          <w:p w14:paraId="18EA2266">
            <w:pPr>
              <w:ind w:firstLine="480"/>
            </w:pPr>
            <w:r>
              <w:t>为保证放射性废气处理</w:t>
            </w:r>
            <w:r>
              <w:rPr>
                <w:rFonts w:hint="eastAsia"/>
                <w:lang w:eastAsia="zh-CN"/>
              </w:rPr>
              <w:t>设施</w:t>
            </w:r>
            <w:r>
              <w:t>正常安全运行，建设单位还需采取如下措施：</w:t>
            </w:r>
          </w:p>
          <w:p w14:paraId="693651BC">
            <w:pPr>
              <w:ind w:firstLine="480"/>
            </w:pPr>
            <w:r>
              <w:t>①建设单位需定期对通排风系统管道及过滤系统设施设备进行检修和维护，并建立设施设备维护台账，其中各过滤器需根据设备要求定期进行维护和校正。</w:t>
            </w:r>
          </w:p>
          <w:p w14:paraId="63EA795A">
            <w:pPr>
              <w:ind w:firstLine="480"/>
            </w:pPr>
            <w:r>
              <w:t>②更换下的过滤器应按放射性固体废物进行管理和处置。</w:t>
            </w:r>
          </w:p>
          <w:p w14:paraId="353E6CA7">
            <w:pPr>
              <w:ind w:firstLine="480"/>
              <w:rPr>
                <w:bCs/>
              </w:rPr>
            </w:pPr>
            <w:r>
              <w:rPr>
                <w:bCs/>
              </w:rPr>
              <w:fldChar w:fldCharType="begin"/>
            </w:r>
            <w:r>
              <w:rPr>
                <w:bCs/>
              </w:rPr>
              <w:instrText xml:space="preserve"> = 3 \* GB3 </w:instrText>
            </w:r>
            <w:r>
              <w:rPr>
                <w:bCs/>
              </w:rPr>
              <w:fldChar w:fldCharType="separate"/>
            </w:r>
            <w:r>
              <w:rPr>
                <w:bCs/>
              </w:rPr>
              <w:t>③</w:t>
            </w:r>
            <w:r>
              <w:rPr>
                <w:bCs/>
              </w:rPr>
              <w:fldChar w:fldCharType="end"/>
            </w:r>
            <w:r>
              <w:rPr>
                <w:bCs/>
              </w:rPr>
              <w:t>为防止公众进入楼顶避免不必要的误照射，要求建设单位将废气排风口楼顶划为管控区域，并进行封闭管理。</w:t>
            </w:r>
          </w:p>
          <w:p w14:paraId="36DB1F48">
            <w:pPr>
              <w:ind w:firstLine="480"/>
            </w:pPr>
            <w:r>
              <w:t>放射性废气治理措施见表10-</w:t>
            </w:r>
            <w:r>
              <w:rPr>
                <w:rFonts w:hint="eastAsia"/>
                <w:lang w:val="en-US" w:eastAsia="zh-CN"/>
              </w:rPr>
              <w:t>16</w:t>
            </w:r>
            <w:r>
              <w:t>。</w:t>
            </w:r>
          </w:p>
          <w:p w14:paraId="0F4BD41E">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16</w:t>
            </w:r>
            <w:r>
              <w:rPr>
                <w:rFonts w:eastAsia="黑体"/>
                <w:bCs/>
                <w:sz w:val="21"/>
                <w:szCs w:val="21"/>
              </w:rPr>
              <w:t xml:space="preserve">  </w:t>
            </w:r>
            <w:r>
              <w:rPr>
                <w:rFonts w:hint="eastAsia" w:eastAsia="黑体"/>
                <w:bCs/>
                <w:sz w:val="21"/>
                <w:szCs w:val="21"/>
                <w:lang w:val="en-US" w:eastAsia="zh-CN"/>
              </w:rPr>
              <w:t>核医学科</w:t>
            </w:r>
            <w:r>
              <w:rPr>
                <w:rFonts w:eastAsia="黑体"/>
                <w:bCs/>
                <w:sz w:val="21"/>
                <w:szCs w:val="21"/>
              </w:rPr>
              <w:t>放射性废气治理措施一览表</w:t>
            </w:r>
          </w:p>
          <w:tbl>
            <w:tblPr>
              <w:tblStyle w:val="57"/>
              <w:tblW w:w="498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852"/>
              <w:gridCol w:w="1078"/>
              <w:gridCol w:w="1066"/>
              <w:gridCol w:w="2907"/>
            </w:tblGrid>
            <w:tr w14:paraId="6745F0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122" w:type="pct"/>
                  <w:gridSpan w:val="2"/>
                  <w:vAlign w:val="center"/>
                </w:tcPr>
                <w:p w14:paraId="70ABA5C6">
                  <w:pPr>
                    <w:widowControl/>
                    <w:spacing w:line="360" w:lineRule="exact"/>
                    <w:contextualSpacing/>
                    <w:jc w:val="center"/>
                    <w:rPr>
                      <w:b/>
                      <w:bCs/>
                      <w:spacing w:val="-6"/>
                      <w:sz w:val="21"/>
                      <w:szCs w:val="21"/>
                    </w:rPr>
                  </w:pPr>
                  <w:r>
                    <w:rPr>
                      <w:b/>
                      <w:bCs/>
                      <w:spacing w:val="-6"/>
                      <w:sz w:val="21"/>
                      <w:szCs w:val="21"/>
                    </w:rPr>
                    <w:t>场所</w:t>
                  </w:r>
                </w:p>
              </w:tc>
              <w:tc>
                <w:tcPr>
                  <w:tcW w:w="614" w:type="pct"/>
                  <w:noWrap/>
                  <w:vAlign w:val="center"/>
                </w:tcPr>
                <w:p w14:paraId="27E7F1A5">
                  <w:pPr>
                    <w:widowControl/>
                    <w:spacing w:line="360" w:lineRule="exact"/>
                    <w:contextualSpacing/>
                    <w:jc w:val="center"/>
                    <w:rPr>
                      <w:b/>
                      <w:bCs/>
                      <w:spacing w:val="-6"/>
                      <w:sz w:val="21"/>
                      <w:szCs w:val="21"/>
                      <w:highlight w:val="none"/>
                    </w:rPr>
                  </w:pPr>
                  <w:r>
                    <w:rPr>
                      <w:b/>
                      <w:bCs/>
                      <w:spacing w:val="-6"/>
                      <w:sz w:val="21"/>
                      <w:szCs w:val="21"/>
                      <w:highlight w:val="none"/>
                    </w:rPr>
                    <w:t>排风量</w:t>
                  </w:r>
                </w:p>
                <w:p w14:paraId="082E0390">
                  <w:pPr>
                    <w:widowControl/>
                    <w:spacing w:line="360" w:lineRule="exact"/>
                    <w:contextualSpacing/>
                    <w:jc w:val="center"/>
                    <w:rPr>
                      <w:b/>
                      <w:bCs/>
                      <w:spacing w:val="-6"/>
                      <w:sz w:val="21"/>
                      <w:szCs w:val="21"/>
                      <w:highlight w:val="none"/>
                    </w:rPr>
                  </w:pPr>
                  <w:r>
                    <w:rPr>
                      <w:b/>
                      <w:bCs/>
                      <w:spacing w:val="-6"/>
                      <w:sz w:val="21"/>
                      <w:szCs w:val="21"/>
                      <w:highlight w:val="none"/>
                    </w:rPr>
                    <w:t>(m</w:t>
                  </w:r>
                  <w:r>
                    <w:rPr>
                      <w:b/>
                      <w:bCs/>
                      <w:spacing w:val="-6"/>
                      <w:sz w:val="21"/>
                      <w:szCs w:val="21"/>
                      <w:highlight w:val="none"/>
                      <w:vertAlign w:val="superscript"/>
                    </w:rPr>
                    <w:t>3</w:t>
                  </w:r>
                  <w:r>
                    <w:rPr>
                      <w:b/>
                      <w:bCs/>
                      <w:spacing w:val="-6"/>
                      <w:sz w:val="21"/>
                      <w:szCs w:val="21"/>
                      <w:highlight w:val="none"/>
                    </w:rPr>
                    <w:t>/h)</w:t>
                  </w:r>
                </w:p>
              </w:tc>
              <w:tc>
                <w:tcPr>
                  <w:tcW w:w="607" w:type="pct"/>
                  <w:vAlign w:val="center"/>
                </w:tcPr>
                <w:p w14:paraId="684B5CC3">
                  <w:pPr>
                    <w:widowControl/>
                    <w:spacing w:line="360" w:lineRule="exact"/>
                    <w:contextualSpacing/>
                    <w:jc w:val="center"/>
                    <w:rPr>
                      <w:b/>
                      <w:bCs/>
                      <w:spacing w:val="-6"/>
                      <w:sz w:val="21"/>
                      <w:szCs w:val="21"/>
                      <w:highlight w:val="none"/>
                    </w:rPr>
                  </w:pPr>
                  <w:r>
                    <w:rPr>
                      <w:b/>
                      <w:bCs/>
                      <w:spacing w:val="-6"/>
                      <w:sz w:val="21"/>
                      <w:szCs w:val="21"/>
                      <w:highlight w:val="none"/>
                    </w:rPr>
                    <w:t>汇入风井</w:t>
                  </w:r>
                </w:p>
              </w:tc>
              <w:tc>
                <w:tcPr>
                  <w:tcW w:w="1655" w:type="pct"/>
                  <w:vAlign w:val="center"/>
                </w:tcPr>
                <w:p w14:paraId="2E32A08C">
                  <w:pPr>
                    <w:widowControl/>
                    <w:spacing w:line="360" w:lineRule="exact"/>
                    <w:contextualSpacing/>
                    <w:jc w:val="center"/>
                    <w:rPr>
                      <w:b/>
                      <w:bCs/>
                      <w:spacing w:val="-6"/>
                      <w:sz w:val="21"/>
                      <w:szCs w:val="21"/>
                    </w:rPr>
                  </w:pPr>
                  <w:r>
                    <w:rPr>
                      <w:b/>
                      <w:bCs/>
                      <w:spacing w:val="-6"/>
                      <w:sz w:val="21"/>
                      <w:szCs w:val="21"/>
                    </w:rPr>
                    <w:t>废气处理设施</w:t>
                  </w:r>
                </w:p>
              </w:tc>
            </w:tr>
            <w:tr w14:paraId="5B9E9F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498" w:type="pct"/>
                  <w:vAlign w:val="center"/>
                </w:tcPr>
                <w:p w14:paraId="5B15AD73">
                  <w:pPr>
                    <w:widowControl/>
                    <w:spacing w:line="360" w:lineRule="exact"/>
                    <w:contextualSpacing/>
                    <w:jc w:val="center"/>
                    <w:rPr>
                      <w:spacing w:val="-6"/>
                      <w:sz w:val="21"/>
                      <w:szCs w:val="21"/>
                    </w:rPr>
                  </w:pPr>
                  <w:r>
                    <w:rPr>
                      <w:spacing w:val="-6"/>
                      <w:sz w:val="21"/>
                      <w:szCs w:val="21"/>
                    </w:rPr>
                    <w:t>1#排风系统</w:t>
                  </w:r>
                </w:p>
              </w:tc>
              <w:tc>
                <w:tcPr>
                  <w:tcW w:w="1624" w:type="pct"/>
                  <w:vAlign w:val="center"/>
                </w:tcPr>
                <w:p w14:paraId="69ABEF97">
                  <w:pPr>
                    <w:widowControl/>
                    <w:spacing w:line="360" w:lineRule="exact"/>
                    <w:contextualSpacing/>
                    <w:jc w:val="center"/>
                    <w:rPr>
                      <w:spacing w:val="-6"/>
                      <w:sz w:val="21"/>
                      <w:szCs w:val="21"/>
                    </w:rPr>
                  </w:pPr>
                  <w:r>
                    <w:rPr>
                      <w:spacing w:val="-6"/>
                      <w:sz w:val="21"/>
                      <w:szCs w:val="21"/>
                      <w:lang w:bidi="ar"/>
                    </w:rPr>
                    <w:t>分装室</w:t>
                  </w:r>
                  <w:r>
                    <w:rPr>
                      <w:rFonts w:hint="eastAsia"/>
                      <w:spacing w:val="-6"/>
                      <w:sz w:val="21"/>
                      <w:szCs w:val="21"/>
                      <w:lang w:val="en-US" w:eastAsia="zh-CN" w:bidi="ar"/>
                    </w:rPr>
                    <w:t>1#</w:t>
                  </w:r>
                  <w:r>
                    <w:rPr>
                      <w:spacing w:val="-6"/>
                      <w:sz w:val="21"/>
                      <w:szCs w:val="21"/>
                      <w:lang w:bidi="ar"/>
                    </w:rPr>
                    <w:t>的</w:t>
                  </w:r>
                  <w:r>
                    <w:rPr>
                      <w:rFonts w:hint="eastAsia"/>
                      <w:spacing w:val="-6"/>
                      <w:sz w:val="21"/>
                      <w:szCs w:val="21"/>
                      <w:lang w:val="en-US" w:eastAsia="zh-CN" w:bidi="ar"/>
                    </w:rPr>
                    <w:t>各</w:t>
                  </w:r>
                  <w:r>
                    <w:rPr>
                      <w:spacing w:val="-6"/>
                      <w:sz w:val="21"/>
                      <w:szCs w:val="21"/>
                      <w:lang w:bidi="ar"/>
                    </w:rPr>
                    <w:t>手套箱</w:t>
                  </w:r>
                </w:p>
              </w:tc>
              <w:tc>
                <w:tcPr>
                  <w:tcW w:w="614" w:type="pct"/>
                  <w:noWrap/>
                  <w:vAlign w:val="center"/>
                </w:tcPr>
                <w:p w14:paraId="04135365">
                  <w:pPr>
                    <w:widowControl/>
                    <w:spacing w:line="360" w:lineRule="exact"/>
                    <w:contextualSpacing/>
                    <w:jc w:val="center"/>
                    <w:rPr>
                      <w:rFonts w:hint="default" w:eastAsia="宋体"/>
                      <w:spacing w:val="-6"/>
                      <w:sz w:val="21"/>
                      <w:szCs w:val="21"/>
                      <w:highlight w:val="none"/>
                      <w:lang w:val="en-US" w:eastAsia="zh-CN"/>
                    </w:rPr>
                  </w:pPr>
                  <w:r>
                    <w:rPr>
                      <w:rFonts w:hint="eastAsia"/>
                      <w:spacing w:val="-6"/>
                      <w:sz w:val="21"/>
                      <w:szCs w:val="21"/>
                      <w:highlight w:val="none"/>
                      <w:lang w:val="en-US" w:eastAsia="zh-CN"/>
                    </w:rPr>
                    <w:t>7500</w:t>
                  </w:r>
                </w:p>
              </w:tc>
              <w:tc>
                <w:tcPr>
                  <w:tcW w:w="607" w:type="pct"/>
                  <w:vAlign w:val="center"/>
                </w:tcPr>
                <w:p w14:paraId="7472ED81">
                  <w:pPr>
                    <w:widowControl/>
                    <w:spacing w:line="360" w:lineRule="exact"/>
                    <w:contextualSpacing/>
                    <w:jc w:val="center"/>
                    <w:rPr>
                      <w:rFonts w:hint="default" w:eastAsia="宋体"/>
                      <w:spacing w:val="-6"/>
                      <w:sz w:val="21"/>
                      <w:szCs w:val="21"/>
                      <w:highlight w:val="none"/>
                      <w:lang w:val="en-US" w:eastAsia="zh-CN"/>
                    </w:rPr>
                  </w:pPr>
                  <w:r>
                    <w:rPr>
                      <w:rFonts w:hint="eastAsia"/>
                      <w:spacing w:val="-6"/>
                      <w:sz w:val="21"/>
                      <w:szCs w:val="21"/>
                      <w:highlight w:val="none"/>
                      <w:lang w:val="en-US" w:eastAsia="zh-CN"/>
                    </w:rPr>
                    <w:t>核医学科专用风井</w:t>
                  </w:r>
                </w:p>
              </w:tc>
              <w:tc>
                <w:tcPr>
                  <w:tcW w:w="1655" w:type="pct"/>
                  <w:vAlign w:val="center"/>
                </w:tcPr>
                <w:p w14:paraId="780E6752">
                  <w:pPr>
                    <w:widowControl/>
                    <w:spacing w:line="360" w:lineRule="exact"/>
                    <w:contextualSpacing/>
                    <w:jc w:val="center"/>
                    <w:rPr>
                      <w:spacing w:val="-6"/>
                      <w:sz w:val="21"/>
                      <w:szCs w:val="21"/>
                    </w:rPr>
                  </w:pPr>
                  <w:r>
                    <w:rPr>
                      <w:spacing w:val="-6"/>
                      <w:sz w:val="21"/>
                      <w:szCs w:val="21"/>
                      <w:lang w:bidi="ar"/>
                    </w:rPr>
                    <w:t>手套箱自带过滤器+</w:t>
                  </w:r>
                  <w:r>
                    <w:rPr>
                      <w:spacing w:val="-6"/>
                      <w:sz w:val="21"/>
                      <w:szCs w:val="21"/>
                    </w:rPr>
                    <w:t>独立排风管道+初中效过滤器+高效过滤器，总过滤效率大于99%</w:t>
                  </w:r>
                </w:p>
              </w:tc>
            </w:tr>
            <w:tr w14:paraId="00EDCC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7" w:hRule="atLeast"/>
              </w:trPr>
              <w:tc>
                <w:tcPr>
                  <w:tcW w:w="498" w:type="pct"/>
                  <w:vAlign w:val="center"/>
                </w:tcPr>
                <w:p w14:paraId="3DEAC172">
                  <w:pPr>
                    <w:widowControl/>
                    <w:spacing w:line="360" w:lineRule="exact"/>
                    <w:contextualSpacing/>
                    <w:jc w:val="center"/>
                    <w:rPr>
                      <w:spacing w:val="-6"/>
                      <w:sz w:val="21"/>
                      <w:szCs w:val="21"/>
                    </w:rPr>
                  </w:pPr>
                  <w:r>
                    <w:rPr>
                      <w:spacing w:val="-6"/>
                      <w:sz w:val="21"/>
                      <w:szCs w:val="21"/>
                    </w:rPr>
                    <w:t>2#排风系统</w:t>
                  </w:r>
                </w:p>
              </w:tc>
              <w:tc>
                <w:tcPr>
                  <w:tcW w:w="1624" w:type="pct"/>
                  <w:vAlign w:val="center"/>
                </w:tcPr>
                <w:p w14:paraId="720C0475">
                  <w:pPr>
                    <w:widowControl/>
                    <w:spacing w:line="360" w:lineRule="exact"/>
                    <w:contextualSpacing/>
                    <w:jc w:val="center"/>
                    <w:rPr>
                      <w:spacing w:val="-6"/>
                      <w:sz w:val="21"/>
                      <w:szCs w:val="21"/>
                    </w:rPr>
                  </w:pPr>
                  <w:r>
                    <w:rPr>
                      <w:bCs/>
                      <w:sz w:val="21"/>
                      <w:szCs w:val="21"/>
                    </w:rPr>
                    <w:t>分装室</w:t>
                  </w:r>
                  <w:r>
                    <w:rPr>
                      <w:rFonts w:hint="eastAsia"/>
                      <w:bCs/>
                      <w:sz w:val="21"/>
                      <w:szCs w:val="21"/>
                      <w:lang w:val="en-US" w:eastAsia="zh-CN"/>
                    </w:rPr>
                    <w:t>1#</w:t>
                  </w:r>
                  <w:r>
                    <w:rPr>
                      <w:bCs/>
                      <w:sz w:val="21"/>
                      <w:szCs w:val="21"/>
                    </w:rPr>
                    <w:t>、</w:t>
                  </w:r>
                  <w:r>
                    <w:rPr>
                      <w:rFonts w:hint="eastAsia"/>
                      <w:bCs/>
                      <w:sz w:val="21"/>
                      <w:szCs w:val="21"/>
                      <w:lang w:val="en-US" w:eastAsia="zh-CN"/>
                    </w:rPr>
                    <w:t>PET</w:t>
                  </w:r>
                  <w:r>
                    <w:rPr>
                      <w:bCs/>
                      <w:sz w:val="21"/>
                      <w:szCs w:val="21"/>
                    </w:rPr>
                    <w:t>注射室</w:t>
                  </w:r>
                  <w:r>
                    <w:rPr>
                      <w:rFonts w:hint="eastAsia"/>
                      <w:bCs/>
                      <w:sz w:val="21"/>
                      <w:szCs w:val="21"/>
                      <w:lang w:eastAsia="zh-CN"/>
                    </w:rPr>
                    <w:t>、</w:t>
                  </w:r>
                  <w:r>
                    <w:rPr>
                      <w:rFonts w:hint="eastAsia"/>
                      <w:bCs/>
                      <w:sz w:val="21"/>
                      <w:szCs w:val="21"/>
                      <w:lang w:val="en-US" w:eastAsia="zh-CN"/>
                    </w:rPr>
                    <w:t>ECT注射室</w:t>
                  </w:r>
                  <w:r>
                    <w:rPr>
                      <w:bCs/>
                      <w:sz w:val="21"/>
                      <w:szCs w:val="21"/>
                    </w:rPr>
                    <w:t>、储源室</w:t>
                  </w:r>
                  <w:r>
                    <w:rPr>
                      <w:rFonts w:hint="eastAsia"/>
                      <w:bCs/>
                      <w:sz w:val="21"/>
                      <w:szCs w:val="21"/>
                      <w:lang w:val="en-US" w:eastAsia="zh-CN"/>
                    </w:rPr>
                    <w:t>1#</w:t>
                  </w:r>
                  <w:r>
                    <w:rPr>
                      <w:bCs/>
                      <w:sz w:val="21"/>
                      <w:szCs w:val="21"/>
                    </w:rPr>
                    <w:t>、放废暂存间（房间风口设初中效过滤器预先过滤）、PET/CT机房、</w:t>
                  </w:r>
                  <w:r>
                    <w:rPr>
                      <w:rFonts w:hint="eastAsia"/>
                      <w:bCs/>
                      <w:sz w:val="21"/>
                      <w:szCs w:val="21"/>
                      <w:lang w:val="en-US" w:eastAsia="zh-CN"/>
                    </w:rPr>
                    <w:t>SPECT/CT</w:t>
                  </w:r>
                  <w:r>
                    <w:rPr>
                      <w:bCs/>
                      <w:sz w:val="21"/>
                      <w:szCs w:val="21"/>
                    </w:rPr>
                    <w:t>机房、</w:t>
                  </w:r>
                  <w:r>
                    <w:rPr>
                      <w:rFonts w:hint="eastAsia"/>
                      <w:bCs/>
                      <w:sz w:val="21"/>
                      <w:szCs w:val="21"/>
                      <w:lang w:val="en-US" w:eastAsia="zh-CN"/>
                    </w:rPr>
                    <w:t>PET</w:t>
                  </w:r>
                  <w:r>
                    <w:rPr>
                      <w:bCs/>
                      <w:sz w:val="21"/>
                      <w:szCs w:val="21"/>
                    </w:rPr>
                    <w:t>注射后等候室</w:t>
                  </w:r>
                  <w:r>
                    <w:rPr>
                      <w:rFonts w:hint="eastAsia"/>
                      <w:bCs/>
                      <w:sz w:val="21"/>
                      <w:szCs w:val="21"/>
                      <w:lang w:eastAsia="zh-CN"/>
                    </w:rPr>
                    <w:t>、</w:t>
                  </w:r>
                  <w:r>
                    <w:rPr>
                      <w:rFonts w:hint="eastAsia"/>
                      <w:bCs/>
                      <w:sz w:val="21"/>
                      <w:szCs w:val="21"/>
                      <w:lang w:val="en-US" w:eastAsia="zh-CN"/>
                    </w:rPr>
                    <w:t>ECT</w:t>
                  </w:r>
                  <w:r>
                    <w:rPr>
                      <w:bCs/>
                      <w:sz w:val="21"/>
                      <w:szCs w:val="21"/>
                    </w:rPr>
                    <w:t>注射后等候室、</w:t>
                  </w:r>
                  <w:r>
                    <w:rPr>
                      <w:rFonts w:hint="eastAsia"/>
                      <w:bCs/>
                      <w:sz w:val="21"/>
                      <w:szCs w:val="21"/>
                      <w:lang w:val="en-US" w:eastAsia="zh-CN"/>
                    </w:rPr>
                    <w:t>PET</w:t>
                  </w:r>
                  <w:r>
                    <w:rPr>
                      <w:bCs/>
                      <w:sz w:val="21"/>
                      <w:szCs w:val="21"/>
                    </w:rPr>
                    <w:t>留观室</w:t>
                  </w:r>
                  <w:r>
                    <w:rPr>
                      <w:rFonts w:hint="eastAsia"/>
                      <w:bCs/>
                      <w:sz w:val="21"/>
                      <w:szCs w:val="21"/>
                      <w:lang w:eastAsia="zh-CN"/>
                    </w:rPr>
                    <w:t>、</w:t>
                  </w:r>
                  <w:r>
                    <w:rPr>
                      <w:rFonts w:hint="eastAsia"/>
                      <w:bCs/>
                      <w:sz w:val="21"/>
                      <w:szCs w:val="21"/>
                      <w:lang w:val="en-US" w:eastAsia="zh-CN"/>
                    </w:rPr>
                    <w:t>ECT留观室</w:t>
                  </w:r>
                  <w:r>
                    <w:rPr>
                      <w:bCs/>
                      <w:sz w:val="21"/>
                      <w:szCs w:val="21"/>
                    </w:rPr>
                    <w:t>、</w:t>
                  </w:r>
                  <w:r>
                    <w:rPr>
                      <w:rFonts w:hint="eastAsia"/>
                      <w:bCs/>
                      <w:sz w:val="21"/>
                      <w:szCs w:val="21"/>
                      <w:lang w:val="en-US" w:eastAsia="zh-CN"/>
                    </w:rPr>
                    <w:t>抢救室</w:t>
                  </w:r>
                  <w:r>
                    <w:rPr>
                      <w:spacing w:val="-6"/>
                      <w:sz w:val="21"/>
                      <w:szCs w:val="21"/>
                    </w:rPr>
                    <w:t>等房间</w:t>
                  </w:r>
                </w:p>
              </w:tc>
              <w:tc>
                <w:tcPr>
                  <w:tcW w:w="614" w:type="pct"/>
                  <w:noWrap/>
                  <w:vAlign w:val="center"/>
                </w:tcPr>
                <w:p w14:paraId="5213F8BC">
                  <w:pPr>
                    <w:widowControl/>
                    <w:spacing w:line="360" w:lineRule="exact"/>
                    <w:contextualSpacing/>
                    <w:jc w:val="center"/>
                    <w:rPr>
                      <w:rFonts w:hint="default" w:eastAsia="宋体"/>
                      <w:spacing w:val="-6"/>
                      <w:sz w:val="21"/>
                      <w:szCs w:val="21"/>
                      <w:highlight w:val="none"/>
                      <w:lang w:val="en-US" w:eastAsia="zh-CN"/>
                    </w:rPr>
                  </w:pPr>
                  <w:r>
                    <w:rPr>
                      <w:rFonts w:hint="eastAsia"/>
                      <w:spacing w:val="-6"/>
                      <w:sz w:val="21"/>
                      <w:szCs w:val="21"/>
                      <w:highlight w:val="none"/>
                      <w:lang w:val="en-US" w:eastAsia="zh-CN"/>
                    </w:rPr>
                    <w:t>1200</w:t>
                  </w:r>
                </w:p>
              </w:tc>
              <w:tc>
                <w:tcPr>
                  <w:tcW w:w="607" w:type="pct"/>
                  <w:vAlign w:val="center"/>
                </w:tcPr>
                <w:p w14:paraId="633A246E">
                  <w:pPr>
                    <w:widowControl/>
                    <w:spacing w:line="360" w:lineRule="exact"/>
                    <w:contextualSpacing/>
                    <w:jc w:val="center"/>
                    <w:rPr>
                      <w:spacing w:val="-6"/>
                      <w:sz w:val="21"/>
                      <w:szCs w:val="21"/>
                      <w:highlight w:val="none"/>
                    </w:rPr>
                  </w:pPr>
                  <w:r>
                    <w:rPr>
                      <w:rFonts w:hint="eastAsia"/>
                      <w:spacing w:val="-6"/>
                      <w:sz w:val="21"/>
                      <w:szCs w:val="21"/>
                      <w:highlight w:val="none"/>
                      <w:lang w:val="en-US" w:eastAsia="zh-CN"/>
                    </w:rPr>
                    <w:t>核医学科专用风井</w:t>
                  </w:r>
                </w:p>
              </w:tc>
              <w:tc>
                <w:tcPr>
                  <w:tcW w:w="1655" w:type="pct"/>
                  <w:vAlign w:val="center"/>
                </w:tcPr>
                <w:p w14:paraId="48946B86">
                  <w:pPr>
                    <w:widowControl/>
                    <w:spacing w:line="360" w:lineRule="exact"/>
                    <w:contextualSpacing/>
                    <w:jc w:val="center"/>
                    <w:rPr>
                      <w:spacing w:val="-6"/>
                      <w:sz w:val="21"/>
                      <w:szCs w:val="21"/>
                    </w:rPr>
                  </w:pPr>
                  <w:r>
                    <w:rPr>
                      <w:spacing w:val="-6"/>
                      <w:sz w:val="21"/>
                      <w:szCs w:val="21"/>
                    </w:rPr>
                    <w:t>独立排风管道+初中效过滤器+高效过滤器，总过滤效率大于99%</w:t>
                  </w:r>
                </w:p>
              </w:tc>
            </w:tr>
            <w:tr w14:paraId="0E64A3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498" w:type="pct"/>
                  <w:vAlign w:val="center"/>
                </w:tcPr>
                <w:p w14:paraId="4F8DA945">
                  <w:pPr>
                    <w:widowControl/>
                    <w:spacing w:line="360" w:lineRule="exact"/>
                    <w:contextualSpacing/>
                    <w:jc w:val="center"/>
                    <w:rPr>
                      <w:spacing w:val="-6"/>
                      <w:sz w:val="21"/>
                      <w:szCs w:val="21"/>
                    </w:rPr>
                  </w:pPr>
                  <w:r>
                    <w:rPr>
                      <w:rFonts w:hint="eastAsia"/>
                      <w:spacing w:val="-6"/>
                      <w:sz w:val="21"/>
                      <w:szCs w:val="21"/>
                      <w:lang w:val="en-US" w:eastAsia="zh-CN"/>
                    </w:rPr>
                    <w:t>3</w:t>
                  </w:r>
                  <w:r>
                    <w:rPr>
                      <w:spacing w:val="-6"/>
                      <w:sz w:val="21"/>
                      <w:szCs w:val="21"/>
                    </w:rPr>
                    <w:t>#排风系统</w:t>
                  </w:r>
                </w:p>
              </w:tc>
              <w:tc>
                <w:tcPr>
                  <w:tcW w:w="1624" w:type="pct"/>
                  <w:vAlign w:val="center"/>
                </w:tcPr>
                <w:p w14:paraId="08A38F04">
                  <w:pPr>
                    <w:widowControl/>
                    <w:spacing w:line="360" w:lineRule="exact"/>
                    <w:contextualSpacing/>
                    <w:jc w:val="center"/>
                    <w:rPr>
                      <w:spacing w:val="-6"/>
                      <w:sz w:val="21"/>
                      <w:szCs w:val="21"/>
                    </w:rPr>
                  </w:pPr>
                  <w:r>
                    <w:rPr>
                      <w:rFonts w:hint="eastAsia"/>
                      <w:sz w:val="21"/>
                      <w:szCs w:val="21"/>
                      <w:lang w:val="en-US" w:eastAsia="zh-CN" w:bidi="ar"/>
                    </w:rPr>
                    <w:t>分装</w:t>
                  </w:r>
                  <w:r>
                    <w:rPr>
                      <w:sz w:val="21"/>
                      <w:szCs w:val="21"/>
                      <w:lang w:bidi="ar"/>
                    </w:rPr>
                    <w:t>室</w:t>
                  </w:r>
                  <w:r>
                    <w:rPr>
                      <w:rFonts w:hint="eastAsia"/>
                      <w:sz w:val="21"/>
                      <w:szCs w:val="21"/>
                      <w:lang w:val="en-US" w:eastAsia="zh-CN" w:bidi="ar"/>
                    </w:rPr>
                    <w:t>2#</w:t>
                  </w:r>
                  <w:r>
                    <w:rPr>
                      <w:sz w:val="21"/>
                      <w:szCs w:val="21"/>
                      <w:lang w:bidi="ar"/>
                    </w:rPr>
                    <w:t>的自动分药</w:t>
                  </w:r>
                  <w:r>
                    <w:rPr>
                      <w:rFonts w:hint="eastAsia"/>
                      <w:sz w:val="21"/>
                      <w:szCs w:val="21"/>
                      <w:lang w:val="en-US" w:eastAsia="zh-CN" w:bidi="ar"/>
                    </w:rPr>
                    <w:t>手套箱和锶分药手套箱</w:t>
                  </w:r>
                </w:p>
              </w:tc>
              <w:tc>
                <w:tcPr>
                  <w:tcW w:w="614" w:type="pct"/>
                  <w:noWrap/>
                  <w:vAlign w:val="center"/>
                </w:tcPr>
                <w:p w14:paraId="05B242DB">
                  <w:pPr>
                    <w:widowControl/>
                    <w:spacing w:line="360" w:lineRule="exact"/>
                    <w:contextualSpacing/>
                    <w:jc w:val="center"/>
                    <w:rPr>
                      <w:rFonts w:hint="default" w:eastAsia="宋体"/>
                      <w:spacing w:val="-6"/>
                      <w:sz w:val="21"/>
                      <w:szCs w:val="21"/>
                      <w:highlight w:val="none"/>
                      <w:lang w:val="en-US" w:eastAsia="zh-CN"/>
                    </w:rPr>
                  </w:pPr>
                  <w:r>
                    <w:rPr>
                      <w:rFonts w:hint="eastAsia"/>
                      <w:spacing w:val="-6"/>
                      <w:sz w:val="21"/>
                      <w:szCs w:val="21"/>
                      <w:highlight w:val="none"/>
                      <w:lang w:val="en-US" w:eastAsia="zh-CN"/>
                    </w:rPr>
                    <w:t>2400</w:t>
                  </w:r>
                </w:p>
              </w:tc>
              <w:tc>
                <w:tcPr>
                  <w:tcW w:w="607" w:type="pct"/>
                  <w:vAlign w:val="center"/>
                </w:tcPr>
                <w:p w14:paraId="22BB7A17">
                  <w:pPr>
                    <w:widowControl/>
                    <w:spacing w:line="360" w:lineRule="exact"/>
                    <w:contextualSpacing/>
                    <w:jc w:val="center"/>
                    <w:rPr>
                      <w:spacing w:val="-6"/>
                      <w:sz w:val="21"/>
                      <w:szCs w:val="21"/>
                      <w:highlight w:val="none"/>
                    </w:rPr>
                  </w:pPr>
                  <w:r>
                    <w:rPr>
                      <w:rFonts w:hint="eastAsia"/>
                      <w:spacing w:val="-6"/>
                      <w:sz w:val="21"/>
                      <w:szCs w:val="21"/>
                      <w:highlight w:val="none"/>
                      <w:lang w:val="en-US" w:eastAsia="zh-CN"/>
                    </w:rPr>
                    <w:t>核医学科专用风井</w:t>
                  </w:r>
                </w:p>
              </w:tc>
              <w:tc>
                <w:tcPr>
                  <w:tcW w:w="1655" w:type="pct"/>
                  <w:vAlign w:val="center"/>
                </w:tcPr>
                <w:p w14:paraId="0D47967B">
                  <w:pPr>
                    <w:widowControl/>
                    <w:spacing w:line="360" w:lineRule="exact"/>
                    <w:contextualSpacing/>
                    <w:jc w:val="center"/>
                    <w:rPr>
                      <w:spacing w:val="-6"/>
                      <w:sz w:val="21"/>
                      <w:szCs w:val="21"/>
                    </w:rPr>
                  </w:pPr>
                  <w:r>
                    <w:rPr>
                      <w:spacing w:val="-6"/>
                      <w:sz w:val="21"/>
                      <w:szCs w:val="21"/>
                      <w:lang w:bidi="ar"/>
                    </w:rPr>
                    <w:t>手套箱自带过滤器+</w:t>
                  </w:r>
                  <w:r>
                    <w:rPr>
                      <w:spacing w:val="-6"/>
                      <w:sz w:val="21"/>
                      <w:szCs w:val="21"/>
                    </w:rPr>
                    <w:t>独立排风管道+初中效过滤器+高效过滤器（除碘），总过滤效率大于99%</w:t>
                  </w:r>
                </w:p>
              </w:tc>
            </w:tr>
            <w:tr w14:paraId="7590FC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8" w:type="pct"/>
                  <w:vAlign w:val="center"/>
                </w:tcPr>
                <w:p w14:paraId="73AC1DB0">
                  <w:pPr>
                    <w:widowControl/>
                    <w:spacing w:line="360" w:lineRule="exact"/>
                    <w:contextualSpacing/>
                    <w:jc w:val="center"/>
                    <w:rPr>
                      <w:spacing w:val="-6"/>
                      <w:sz w:val="21"/>
                      <w:szCs w:val="21"/>
                    </w:rPr>
                  </w:pPr>
                  <w:r>
                    <w:rPr>
                      <w:rFonts w:hint="eastAsia"/>
                      <w:spacing w:val="-6"/>
                      <w:sz w:val="21"/>
                      <w:szCs w:val="21"/>
                      <w:lang w:val="en-US" w:eastAsia="zh-CN"/>
                    </w:rPr>
                    <w:t>4</w:t>
                  </w:r>
                  <w:r>
                    <w:rPr>
                      <w:spacing w:val="-6"/>
                      <w:sz w:val="21"/>
                      <w:szCs w:val="21"/>
                    </w:rPr>
                    <w:t>#排风系统</w:t>
                  </w:r>
                </w:p>
              </w:tc>
              <w:tc>
                <w:tcPr>
                  <w:tcW w:w="1624" w:type="pct"/>
                  <w:vAlign w:val="center"/>
                </w:tcPr>
                <w:p w14:paraId="2CFBEC83">
                  <w:pPr>
                    <w:widowControl/>
                    <w:spacing w:line="360" w:lineRule="exact"/>
                    <w:contextualSpacing/>
                    <w:jc w:val="center"/>
                    <w:rPr>
                      <w:spacing w:val="-6"/>
                      <w:sz w:val="21"/>
                      <w:szCs w:val="21"/>
                    </w:rPr>
                  </w:pPr>
                  <w:r>
                    <w:rPr>
                      <w:bCs/>
                      <w:sz w:val="21"/>
                      <w:szCs w:val="21"/>
                    </w:rPr>
                    <w:t>分装室</w:t>
                  </w:r>
                  <w:r>
                    <w:rPr>
                      <w:rFonts w:hint="eastAsia"/>
                      <w:bCs/>
                      <w:sz w:val="21"/>
                      <w:szCs w:val="21"/>
                      <w:lang w:val="en-US" w:eastAsia="zh-CN"/>
                    </w:rPr>
                    <w:t>2#</w:t>
                  </w:r>
                  <w:r>
                    <w:rPr>
                      <w:bCs/>
                      <w:sz w:val="21"/>
                      <w:szCs w:val="21"/>
                    </w:rPr>
                    <w:t>、储源室</w:t>
                  </w:r>
                  <w:r>
                    <w:rPr>
                      <w:rFonts w:hint="eastAsia"/>
                      <w:bCs/>
                      <w:sz w:val="21"/>
                      <w:szCs w:val="21"/>
                      <w:lang w:val="en-US" w:eastAsia="zh-CN"/>
                    </w:rPr>
                    <w:t>2#</w:t>
                  </w:r>
                  <w:r>
                    <w:rPr>
                      <w:bCs/>
                      <w:sz w:val="21"/>
                      <w:szCs w:val="21"/>
                    </w:rPr>
                    <w:t>、</w:t>
                  </w:r>
                  <w:r>
                    <w:rPr>
                      <w:rFonts w:hint="eastAsia"/>
                      <w:bCs/>
                      <w:sz w:val="21"/>
                      <w:szCs w:val="21"/>
                      <w:lang w:val="en-US" w:eastAsia="zh-CN"/>
                    </w:rPr>
                    <w:t>I-131</w:t>
                  </w:r>
                  <w:r>
                    <w:rPr>
                      <w:bCs/>
                      <w:sz w:val="21"/>
                      <w:szCs w:val="21"/>
                    </w:rPr>
                    <w:t>服药室、</w:t>
                  </w:r>
                  <w:r>
                    <w:rPr>
                      <w:rFonts w:hint="eastAsia"/>
                      <w:bCs/>
                      <w:sz w:val="21"/>
                      <w:szCs w:val="21"/>
                      <w:lang w:val="en-US" w:eastAsia="zh-CN"/>
                    </w:rPr>
                    <w:t>日间留观室</w:t>
                  </w:r>
                  <w:r>
                    <w:rPr>
                      <w:spacing w:val="-6"/>
                      <w:sz w:val="21"/>
                      <w:szCs w:val="21"/>
                    </w:rPr>
                    <w:t>等房间</w:t>
                  </w:r>
                </w:p>
              </w:tc>
              <w:tc>
                <w:tcPr>
                  <w:tcW w:w="614" w:type="pct"/>
                  <w:noWrap/>
                  <w:vAlign w:val="center"/>
                </w:tcPr>
                <w:p w14:paraId="57AD35EE">
                  <w:pPr>
                    <w:widowControl/>
                    <w:spacing w:line="360" w:lineRule="exact"/>
                    <w:contextualSpacing/>
                    <w:jc w:val="center"/>
                    <w:rPr>
                      <w:rFonts w:hint="default" w:eastAsia="宋体"/>
                      <w:spacing w:val="-6"/>
                      <w:sz w:val="21"/>
                      <w:szCs w:val="21"/>
                      <w:highlight w:val="none"/>
                      <w:lang w:val="en-US" w:eastAsia="zh-CN"/>
                    </w:rPr>
                  </w:pPr>
                  <w:r>
                    <w:rPr>
                      <w:rFonts w:hint="eastAsia"/>
                      <w:spacing w:val="-6"/>
                      <w:sz w:val="21"/>
                      <w:szCs w:val="21"/>
                      <w:highlight w:val="none"/>
                      <w:lang w:val="en-US" w:eastAsia="zh-CN"/>
                    </w:rPr>
                    <w:t>4200</w:t>
                  </w:r>
                </w:p>
              </w:tc>
              <w:tc>
                <w:tcPr>
                  <w:tcW w:w="607" w:type="pct"/>
                  <w:vAlign w:val="center"/>
                </w:tcPr>
                <w:p w14:paraId="2AFACB39">
                  <w:pPr>
                    <w:widowControl/>
                    <w:spacing w:line="360" w:lineRule="exact"/>
                    <w:contextualSpacing/>
                    <w:jc w:val="center"/>
                    <w:rPr>
                      <w:spacing w:val="-6"/>
                      <w:sz w:val="21"/>
                      <w:szCs w:val="21"/>
                      <w:highlight w:val="none"/>
                    </w:rPr>
                  </w:pPr>
                  <w:r>
                    <w:rPr>
                      <w:rFonts w:hint="eastAsia"/>
                      <w:spacing w:val="-6"/>
                      <w:sz w:val="21"/>
                      <w:szCs w:val="21"/>
                      <w:highlight w:val="none"/>
                      <w:lang w:val="en-US" w:eastAsia="zh-CN"/>
                    </w:rPr>
                    <w:t>核医学科专用风井</w:t>
                  </w:r>
                </w:p>
              </w:tc>
              <w:tc>
                <w:tcPr>
                  <w:tcW w:w="1655" w:type="pct"/>
                  <w:vAlign w:val="center"/>
                </w:tcPr>
                <w:p w14:paraId="7253026D">
                  <w:pPr>
                    <w:widowControl/>
                    <w:spacing w:line="360" w:lineRule="exact"/>
                    <w:contextualSpacing/>
                    <w:jc w:val="center"/>
                    <w:rPr>
                      <w:spacing w:val="-6"/>
                      <w:sz w:val="21"/>
                      <w:szCs w:val="21"/>
                    </w:rPr>
                  </w:pPr>
                  <w:r>
                    <w:rPr>
                      <w:spacing w:val="-6"/>
                      <w:sz w:val="21"/>
                      <w:szCs w:val="21"/>
                    </w:rPr>
                    <w:t>独立排风管道+初中效过滤器+高效过滤器（除碘），总过滤效率大于99%</w:t>
                  </w:r>
                </w:p>
              </w:tc>
            </w:tr>
          </w:tbl>
          <w:p w14:paraId="72F8B523">
            <w:pPr>
              <w:ind w:firstLine="482"/>
              <w:rPr>
                <w:b/>
              </w:rPr>
            </w:pPr>
            <w:r>
              <w:rPr>
                <w:b/>
              </w:rPr>
              <w:t>2、非放射性废气</w:t>
            </w:r>
          </w:p>
          <w:p w14:paraId="4A4A0024">
            <w:pPr>
              <w:widowControl/>
              <w:ind w:firstLine="480"/>
              <w:rPr>
                <w:bCs/>
                <w:lang w:bidi="ar"/>
              </w:rPr>
            </w:pPr>
            <w:r>
              <w:rPr>
                <w:bCs/>
              </w:rPr>
              <w:t>本项目非放射性废气主要来源于γ射线或X射线与空气发生电离作用，产生臭氧和氮氧化物，各房间设计有排风系统（含在放射性排风系统，其排风量见表10-2</w:t>
            </w:r>
            <w:r>
              <w:rPr>
                <w:rFonts w:hint="eastAsia"/>
                <w:bCs/>
                <w:lang w:val="en-US" w:eastAsia="zh-CN"/>
              </w:rPr>
              <w:t>8</w:t>
            </w:r>
            <w:r>
              <w:rPr>
                <w:bCs/>
              </w:rPr>
              <w:t>），少量臭氧和氮氧化物经各房间排风系统管道</w:t>
            </w:r>
            <w:r>
              <w:t>引至屋顶，并经过滤器过滤后排放</w:t>
            </w:r>
            <w:r>
              <w:rPr>
                <w:bCs/>
                <w:lang w:bidi="ar"/>
              </w:rPr>
              <w:t>。</w:t>
            </w:r>
          </w:p>
          <w:p w14:paraId="14137931">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17</w:t>
            </w:r>
            <w:r>
              <w:rPr>
                <w:rFonts w:eastAsia="黑体"/>
                <w:bCs/>
                <w:sz w:val="21"/>
                <w:szCs w:val="21"/>
              </w:rPr>
              <w:t xml:space="preserve">  </w:t>
            </w:r>
            <w:r>
              <w:rPr>
                <w:rFonts w:hint="default" w:ascii="Times New Roman" w:hAnsi="Times New Roman" w:eastAsia="黑体" w:cs="Times New Roman"/>
                <w:bCs/>
                <w:sz w:val="21"/>
                <w:szCs w:val="21"/>
              </w:rPr>
              <w:t>Ⅱ</w:t>
            </w:r>
            <w:r>
              <w:rPr>
                <w:rFonts w:hint="eastAsia" w:eastAsia="黑体"/>
                <w:bCs/>
                <w:sz w:val="21"/>
                <w:szCs w:val="21"/>
                <w:lang w:val="en-US" w:eastAsia="zh-CN"/>
              </w:rPr>
              <w:t>类射线装置机房非</w:t>
            </w:r>
            <w:r>
              <w:rPr>
                <w:rFonts w:eastAsia="黑体"/>
                <w:bCs/>
                <w:sz w:val="21"/>
                <w:szCs w:val="21"/>
              </w:rPr>
              <w:t>放射性废气治理措施一览表</w:t>
            </w:r>
          </w:p>
          <w:tbl>
            <w:tblPr>
              <w:tblStyle w:val="57"/>
              <w:tblW w:w="499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1583"/>
              <w:gridCol w:w="2033"/>
              <w:gridCol w:w="3457"/>
            </w:tblGrid>
            <w:tr w14:paraId="74F36C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76" w:type="pct"/>
                  <w:vAlign w:val="center"/>
                </w:tcPr>
                <w:p w14:paraId="4EC0C605">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b/>
                      <w:bCs/>
                      <w:spacing w:val="-6"/>
                      <w:sz w:val="21"/>
                      <w:szCs w:val="21"/>
                    </w:rPr>
                  </w:pPr>
                  <w:r>
                    <w:rPr>
                      <w:b/>
                      <w:bCs/>
                      <w:spacing w:val="-6"/>
                      <w:sz w:val="21"/>
                      <w:szCs w:val="21"/>
                    </w:rPr>
                    <w:t>场所</w:t>
                  </w:r>
                </w:p>
              </w:tc>
              <w:tc>
                <w:tcPr>
                  <w:tcW w:w="900" w:type="pct"/>
                  <w:vAlign w:val="center"/>
                </w:tcPr>
                <w:p w14:paraId="5EF3BA63">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default" w:eastAsia="宋体"/>
                      <w:b/>
                      <w:bCs/>
                      <w:spacing w:val="-6"/>
                      <w:sz w:val="21"/>
                      <w:szCs w:val="21"/>
                      <w:lang w:val="en-US" w:eastAsia="zh-CN"/>
                    </w:rPr>
                  </w:pPr>
                  <w:r>
                    <w:rPr>
                      <w:rFonts w:hint="eastAsia"/>
                      <w:b/>
                      <w:bCs/>
                      <w:spacing w:val="-6"/>
                      <w:sz w:val="21"/>
                      <w:szCs w:val="21"/>
                      <w:lang w:val="en-US" w:eastAsia="zh-CN"/>
                    </w:rPr>
                    <w:t>通风系统</w:t>
                  </w:r>
                </w:p>
              </w:tc>
              <w:tc>
                <w:tcPr>
                  <w:tcW w:w="1156" w:type="pct"/>
                  <w:noWrap/>
                  <w:vAlign w:val="center"/>
                </w:tcPr>
                <w:p w14:paraId="19E29A6C">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b/>
                      <w:bCs/>
                      <w:spacing w:val="-6"/>
                      <w:sz w:val="21"/>
                      <w:szCs w:val="21"/>
                    </w:rPr>
                  </w:pPr>
                  <w:r>
                    <w:rPr>
                      <w:rFonts w:hint="eastAsia"/>
                      <w:b/>
                      <w:bCs/>
                      <w:spacing w:val="-6"/>
                      <w:sz w:val="21"/>
                      <w:szCs w:val="21"/>
                      <w:lang w:val="en-US" w:eastAsia="zh-CN"/>
                    </w:rPr>
                    <w:t>设计</w:t>
                  </w:r>
                  <w:r>
                    <w:rPr>
                      <w:b/>
                      <w:bCs/>
                      <w:spacing w:val="-6"/>
                      <w:sz w:val="21"/>
                      <w:szCs w:val="21"/>
                    </w:rPr>
                    <w:t>风量</w:t>
                  </w:r>
                  <w:r>
                    <w:rPr>
                      <w:rFonts w:hint="eastAsia"/>
                      <w:b/>
                      <w:bCs/>
                      <w:spacing w:val="-6"/>
                      <w:sz w:val="21"/>
                      <w:szCs w:val="21"/>
                      <w:lang w:eastAsia="zh-CN"/>
                    </w:rPr>
                    <w:t>，</w:t>
                  </w:r>
                  <w:r>
                    <w:rPr>
                      <w:b/>
                      <w:bCs/>
                      <w:spacing w:val="-6"/>
                      <w:sz w:val="21"/>
                      <w:szCs w:val="21"/>
                    </w:rPr>
                    <w:t>m</w:t>
                  </w:r>
                  <w:r>
                    <w:rPr>
                      <w:b/>
                      <w:bCs/>
                      <w:spacing w:val="-6"/>
                      <w:sz w:val="21"/>
                      <w:szCs w:val="21"/>
                      <w:vertAlign w:val="superscript"/>
                    </w:rPr>
                    <w:t>3</w:t>
                  </w:r>
                  <w:r>
                    <w:rPr>
                      <w:b/>
                      <w:bCs/>
                      <w:spacing w:val="-6"/>
                      <w:sz w:val="21"/>
                      <w:szCs w:val="21"/>
                    </w:rPr>
                    <w:t>/h</w:t>
                  </w:r>
                </w:p>
              </w:tc>
              <w:tc>
                <w:tcPr>
                  <w:tcW w:w="1966" w:type="pct"/>
                  <w:vAlign w:val="center"/>
                </w:tcPr>
                <w:p w14:paraId="7720FF7C">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eastAsia" w:eastAsia="宋体"/>
                      <w:b/>
                      <w:bCs/>
                      <w:spacing w:val="-6"/>
                      <w:sz w:val="21"/>
                      <w:szCs w:val="21"/>
                      <w:lang w:val="en-US" w:eastAsia="zh-CN"/>
                    </w:rPr>
                  </w:pPr>
                  <w:r>
                    <w:rPr>
                      <w:b/>
                      <w:bCs/>
                      <w:spacing w:val="-6"/>
                      <w:sz w:val="21"/>
                      <w:szCs w:val="21"/>
                    </w:rPr>
                    <w:t>处理设施</w:t>
                  </w:r>
                  <w:r>
                    <w:rPr>
                      <w:rFonts w:hint="eastAsia"/>
                      <w:b/>
                      <w:bCs/>
                      <w:spacing w:val="-6"/>
                      <w:sz w:val="21"/>
                      <w:szCs w:val="21"/>
                      <w:lang w:val="en-US" w:eastAsia="zh-CN"/>
                    </w:rPr>
                    <w:t>设计</w:t>
                  </w:r>
                </w:p>
              </w:tc>
            </w:tr>
            <w:tr w14:paraId="13DF4D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76" w:type="pct"/>
                  <w:vMerge w:val="restart"/>
                  <w:vAlign w:val="center"/>
                </w:tcPr>
                <w:p w14:paraId="7B4328D2">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default" w:eastAsia="宋体"/>
                      <w:spacing w:val="-6"/>
                      <w:sz w:val="21"/>
                      <w:szCs w:val="21"/>
                      <w:lang w:val="en-US" w:eastAsia="zh-CN"/>
                    </w:rPr>
                  </w:pPr>
                  <w:r>
                    <w:rPr>
                      <w:rFonts w:hint="eastAsia"/>
                      <w:spacing w:val="-6"/>
                      <w:sz w:val="21"/>
                      <w:szCs w:val="21"/>
                      <w:lang w:val="en-US" w:eastAsia="zh-CN"/>
                    </w:rPr>
                    <w:t>DSA+CT复合手术室</w:t>
                  </w:r>
                </w:p>
              </w:tc>
              <w:tc>
                <w:tcPr>
                  <w:tcW w:w="900" w:type="pct"/>
                  <w:vAlign w:val="center"/>
                </w:tcPr>
                <w:p w14:paraId="42E066C5">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rFonts w:hint="eastAsia"/>
                      <w:spacing w:val="-6"/>
                      <w:sz w:val="21"/>
                      <w:szCs w:val="21"/>
                      <w:lang w:val="en-US" w:eastAsia="zh-CN"/>
                    </w:rPr>
                    <w:t>新风</w:t>
                  </w:r>
                </w:p>
              </w:tc>
              <w:tc>
                <w:tcPr>
                  <w:tcW w:w="1156" w:type="pct"/>
                  <w:noWrap/>
                  <w:vAlign w:val="center"/>
                </w:tcPr>
                <w:p w14:paraId="5AF6828B">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1000</w:t>
                  </w:r>
                </w:p>
              </w:tc>
              <w:tc>
                <w:tcPr>
                  <w:tcW w:w="1966" w:type="pct"/>
                  <w:vAlign w:val="center"/>
                </w:tcPr>
                <w:p w14:paraId="3FEEC0AE">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4ADA55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76" w:type="pct"/>
                  <w:vMerge w:val="continue"/>
                  <w:vAlign w:val="center"/>
                </w:tcPr>
                <w:p w14:paraId="64E030A8">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p>
              </w:tc>
              <w:tc>
                <w:tcPr>
                  <w:tcW w:w="900" w:type="pct"/>
                  <w:vAlign w:val="center"/>
                </w:tcPr>
                <w:p w14:paraId="6612A253">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排风</w:t>
                  </w:r>
                </w:p>
              </w:tc>
              <w:tc>
                <w:tcPr>
                  <w:tcW w:w="1156" w:type="pct"/>
                  <w:noWrap/>
                  <w:vAlign w:val="center"/>
                </w:tcPr>
                <w:p w14:paraId="75DA71F1">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7000</w:t>
                  </w:r>
                </w:p>
              </w:tc>
              <w:tc>
                <w:tcPr>
                  <w:tcW w:w="1966" w:type="pct"/>
                  <w:vAlign w:val="center"/>
                </w:tcPr>
                <w:p w14:paraId="03F1CC22">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独立排风管道+初中效过滤器</w:t>
                  </w:r>
                </w:p>
              </w:tc>
            </w:tr>
            <w:tr w14:paraId="465D64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76" w:type="pct"/>
                  <w:vMerge w:val="restart"/>
                  <w:vAlign w:val="center"/>
                </w:tcPr>
                <w:p w14:paraId="498F6E94">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default" w:eastAsia="宋体"/>
                      <w:spacing w:val="-6"/>
                      <w:sz w:val="21"/>
                      <w:szCs w:val="21"/>
                      <w:lang w:val="en-US" w:eastAsia="zh-CN"/>
                    </w:rPr>
                  </w:pPr>
                  <w:r>
                    <w:rPr>
                      <w:rFonts w:hint="eastAsia"/>
                      <w:spacing w:val="-6"/>
                      <w:sz w:val="21"/>
                      <w:szCs w:val="21"/>
                      <w:lang w:val="en-US" w:eastAsia="zh-CN"/>
                    </w:rPr>
                    <w:t>3间DSA手术室（OR09、OR10、OR11）</w:t>
                  </w:r>
                </w:p>
              </w:tc>
              <w:tc>
                <w:tcPr>
                  <w:tcW w:w="900" w:type="pct"/>
                  <w:shd w:val="clear" w:color="auto" w:fill="auto"/>
                  <w:vAlign w:val="center"/>
                </w:tcPr>
                <w:p w14:paraId="4EF2CCA4">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ascii="Times New Roman" w:hAnsi="Times New Roman" w:eastAsia="宋体" w:cs="Times New Roman"/>
                      <w:spacing w:val="-6"/>
                      <w:sz w:val="21"/>
                      <w:szCs w:val="21"/>
                      <w:lang w:val="en-US" w:eastAsia="zh-CN" w:bidi="ar-SA"/>
                    </w:rPr>
                  </w:pPr>
                  <w:r>
                    <w:rPr>
                      <w:rFonts w:hint="eastAsia"/>
                      <w:spacing w:val="-6"/>
                      <w:sz w:val="21"/>
                      <w:szCs w:val="21"/>
                      <w:lang w:val="en-US" w:eastAsia="zh-CN"/>
                    </w:rPr>
                    <w:t>新风</w:t>
                  </w:r>
                </w:p>
              </w:tc>
              <w:tc>
                <w:tcPr>
                  <w:tcW w:w="1965" w:type="dxa"/>
                  <w:noWrap/>
                  <w:vAlign w:val="center"/>
                </w:tcPr>
                <w:p w14:paraId="4699FE2B">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1000</w:t>
                  </w:r>
                </w:p>
              </w:tc>
              <w:tc>
                <w:tcPr>
                  <w:tcW w:w="1966" w:type="pct"/>
                  <w:vAlign w:val="center"/>
                </w:tcPr>
                <w:p w14:paraId="34C46D32">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0326DF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76" w:type="pct"/>
                  <w:vMerge w:val="continue"/>
                  <w:vAlign w:val="center"/>
                </w:tcPr>
                <w:p w14:paraId="3C7B1B24">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p>
              </w:tc>
              <w:tc>
                <w:tcPr>
                  <w:tcW w:w="900" w:type="pct"/>
                  <w:shd w:val="clear" w:color="auto" w:fill="auto"/>
                  <w:vAlign w:val="center"/>
                </w:tcPr>
                <w:p w14:paraId="1E1F8E09">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ascii="Times New Roman" w:hAnsi="Times New Roman" w:eastAsia="宋体" w:cs="Times New Roman"/>
                      <w:spacing w:val="-6"/>
                      <w:sz w:val="21"/>
                      <w:szCs w:val="21"/>
                      <w:lang w:val="en-US" w:eastAsia="zh-CN" w:bidi="ar-SA"/>
                    </w:rPr>
                  </w:pPr>
                  <w:r>
                    <w:rPr>
                      <w:spacing w:val="-6"/>
                      <w:sz w:val="21"/>
                      <w:szCs w:val="21"/>
                    </w:rPr>
                    <w:t>排风</w:t>
                  </w:r>
                </w:p>
              </w:tc>
              <w:tc>
                <w:tcPr>
                  <w:tcW w:w="1965" w:type="dxa"/>
                  <w:noWrap/>
                  <w:vAlign w:val="center"/>
                </w:tcPr>
                <w:p w14:paraId="525340AF">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7000</w:t>
                  </w:r>
                </w:p>
              </w:tc>
              <w:tc>
                <w:tcPr>
                  <w:tcW w:w="1966" w:type="pct"/>
                  <w:vAlign w:val="center"/>
                </w:tcPr>
                <w:p w14:paraId="0CEF238A">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独立排风管道+初中效过滤器</w:t>
                  </w:r>
                </w:p>
              </w:tc>
            </w:tr>
            <w:tr w14:paraId="08AB2D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76" w:type="pct"/>
                  <w:vMerge w:val="restart"/>
                  <w:vAlign w:val="center"/>
                </w:tcPr>
                <w:p w14:paraId="44380033">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default" w:eastAsia="宋体"/>
                      <w:spacing w:val="-6"/>
                      <w:sz w:val="21"/>
                      <w:szCs w:val="21"/>
                      <w:lang w:val="en-US" w:eastAsia="zh-CN"/>
                    </w:rPr>
                  </w:pPr>
                  <w:r>
                    <w:rPr>
                      <w:rFonts w:hint="eastAsia"/>
                      <w:spacing w:val="-6"/>
                      <w:sz w:val="21"/>
                      <w:szCs w:val="21"/>
                      <w:lang w:val="en-US" w:eastAsia="zh-CN"/>
                    </w:rPr>
                    <w:t>ERCP室</w:t>
                  </w:r>
                </w:p>
              </w:tc>
              <w:tc>
                <w:tcPr>
                  <w:tcW w:w="900" w:type="pct"/>
                  <w:shd w:val="clear" w:color="auto" w:fill="auto"/>
                  <w:vAlign w:val="center"/>
                </w:tcPr>
                <w:p w14:paraId="2923C706">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ascii="Times New Roman" w:hAnsi="Times New Roman" w:eastAsia="宋体" w:cs="Times New Roman"/>
                      <w:spacing w:val="-6"/>
                      <w:sz w:val="21"/>
                      <w:szCs w:val="21"/>
                      <w:lang w:val="en-US" w:eastAsia="zh-CN" w:bidi="ar-SA"/>
                    </w:rPr>
                  </w:pPr>
                  <w:r>
                    <w:rPr>
                      <w:rFonts w:hint="eastAsia"/>
                      <w:spacing w:val="-6"/>
                      <w:sz w:val="21"/>
                      <w:szCs w:val="21"/>
                      <w:lang w:val="en-US" w:eastAsia="zh-CN"/>
                    </w:rPr>
                    <w:t>新风</w:t>
                  </w:r>
                </w:p>
              </w:tc>
              <w:tc>
                <w:tcPr>
                  <w:tcW w:w="1965" w:type="dxa"/>
                  <w:noWrap/>
                  <w:vAlign w:val="center"/>
                </w:tcPr>
                <w:p w14:paraId="20954F71">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1000</w:t>
                  </w:r>
                </w:p>
              </w:tc>
              <w:tc>
                <w:tcPr>
                  <w:tcW w:w="1966" w:type="pct"/>
                  <w:vAlign w:val="center"/>
                </w:tcPr>
                <w:p w14:paraId="538B8F31">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hint="eastAsia" w:eastAsia="宋体"/>
                      <w:spacing w:val="-6"/>
                      <w:sz w:val="21"/>
                      <w:szCs w:val="21"/>
                      <w:lang w:val="en-US" w:eastAsia="zh-CN"/>
                    </w:rPr>
                  </w:pPr>
                  <w:r>
                    <w:rPr>
                      <w:rFonts w:hint="eastAsia"/>
                      <w:spacing w:val="-6"/>
                      <w:sz w:val="21"/>
                      <w:szCs w:val="21"/>
                      <w:lang w:val="en-US" w:eastAsia="zh-CN"/>
                    </w:rPr>
                    <w:t>/</w:t>
                  </w:r>
                </w:p>
              </w:tc>
            </w:tr>
            <w:tr w14:paraId="1C3377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76" w:type="pct"/>
                  <w:vMerge w:val="continue"/>
                  <w:vAlign w:val="center"/>
                </w:tcPr>
                <w:p w14:paraId="46D27C81">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p>
              </w:tc>
              <w:tc>
                <w:tcPr>
                  <w:tcW w:w="900" w:type="pct"/>
                  <w:shd w:val="clear" w:color="auto" w:fill="auto"/>
                  <w:vAlign w:val="center"/>
                </w:tcPr>
                <w:p w14:paraId="297C84C5">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rFonts w:ascii="Times New Roman" w:hAnsi="Times New Roman" w:eastAsia="宋体" w:cs="Times New Roman"/>
                      <w:spacing w:val="-6"/>
                      <w:sz w:val="21"/>
                      <w:szCs w:val="21"/>
                      <w:lang w:val="en-US" w:eastAsia="zh-CN" w:bidi="ar-SA"/>
                    </w:rPr>
                  </w:pPr>
                  <w:r>
                    <w:rPr>
                      <w:spacing w:val="-6"/>
                      <w:sz w:val="21"/>
                      <w:szCs w:val="21"/>
                    </w:rPr>
                    <w:t>排风</w:t>
                  </w:r>
                </w:p>
              </w:tc>
              <w:tc>
                <w:tcPr>
                  <w:tcW w:w="1965" w:type="dxa"/>
                  <w:noWrap/>
                  <w:vAlign w:val="center"/>
                </w:tcPr>
                <w:p w14:paraId="54C8996C">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7000</w:t>
                  </w:r>
                </w:p>
              </w:tc>
              <w:tc>
                <w:tcPr>
                  <w:tcW w:w="1966" w:type="pct"/>
                  <w:vAlign w:val="center"/>
                </w:tcPr>
                <w:p w14:paraId="5F4D3077">
                  <w:pPr>
                    <w:keepNext w:val="0"/>
                    <w:keepLines w:val="0"/>
                    <w:pageBreakBefore w:val="0"/>
                    <w:widowControl/>
                    <w:kinsoku/>
                    <w:wordWrap/>
                    <w:overflowPunct/>
                    <w:topLinePunct w:val="0"/>
                    <w:autoSpaceDE/>
                    <w:autoSpaceDN/>
                    <w:bidi w:val="0"/>
                    <w:adjustRightInd/>
                    <w:snapToGrid/>
                    <w:spacing w:line="360" w:lineRule="exact"/>
                    <w:contextualSpacing/>
                    <w:jc w:val="center"/>
                    <w:textAlignment w:val="auto"/>
                    <w:rPr>
                      <w:spacing w:val="-6"/>
                      <w:sz w:val="21"/>
                      <w:szCs w:val="21"/>
                    </w:rPr>
                  </w:pPr>
                  <w:r>
                    <w:rPr>
                      <w:spacing w:val="-6"/>
                      <w:sz w:val="21"/>
                      <w:szCs w:val="21"/>
                    </w:rPr>
                    <w:t>独立排风管道+初中效过滤器</w:t>
                  </w:r>
                </w:p>
              </w:tc>
            </w:tr>
          </w:tbl>
          <w:p w14:paraId="3EEC4705">
            <w:pPr>
              <w:pStyle w:val="322"/>
              <w:spacing w:line="360" w:lineRule="auto"/>
              <w:jc w:val="both"/>
            </w:pPr>
          </w:p>
          <w:p w14:paraId="1E0CF8CD">
            <w:pPr>
              <w:rPr>
                <w:rFonts w:eastAsia="黑体"/>
              </w:rPr>
            </w:pPr>
            <w:r>
              <w:rPr>
                <w:rFonts w:eastAsia="黑体"/>
              </w:rPr>
              <w:t>二、废水处理措施</w:t>
            </w:r>
          </w:p>
          <w:p w14:paraId="72B19794">
            <w:pPr>
              <w:ind w:firstLine="482"/>
              <w:rPr>
                <w:b/>
              </w:rPr>
            </w:pPr>
            <w:r>
              <w:rPr>
                <w:b/>
              </w:rPr>
              <w:t>1、放射性废水</w:t>
            </w:r>
          </w:p>
          <w:p w14:paraId="2210F111">
            <w:pPr>
              <w:ind w:firstLine="482"/>
              <w:rPr>
                <w:b/>
              </w:rPr>
            </w:pPr>
            <w:r>
              <w:rPr>
                <w:b/>
              </w:rPr>
              <w:t>（1）放射性废水的收集</w:t>
            </w:r>
          </w:p>
          <w:p w14:paraId="481DBC79">
            <w:pPr>
              <w:ind w:firstLine="480"/>
              <w:rPr>
                <w:bCs/>
              </w:rPr>
            </w:pPr>
            <w:r>
              <w:rPr>
                <w:bCs/>
              </w:rPr>
              <w:t>本项目</w:t>
            </w:r>
            <w:r>
              <w:rPr>
                <w:rFonts w:hint="eastAsia"/>
                <w:bCs/>
                <w:lang w:val="en-US" w:eastAsia="zh-CN"/>
              </w:rPr>
              <w:t>核医学科</w:t>
            </w:r>
            <w:r>
              <w:rPr>
                <w:bCs/>
              </w:rPr>
              <w:t>产生的放射性废水主要为就诊病人排泄、清洗废水和场所及人员清洗废水，对于病人就诊区域已设置有独立的病人专用卫生间、放射性下水口，最终通过独立的下水管道排入衰变池。根据污染源项分析，</w:t>
            </w:r>
            <w:r>
              <w:rPr>
                <w:rFonts w:hint="eastAsia"/>
                <w:bCs/>
                <w:lang w:val="en-US" w:eastAsia="zh-CN"/>
              </w:rPr>
              <w:t>参考《建筑给水排水设计标准》（GB50015-2019）中表6.2.1中规定的人员用水定额情况分析，本项目核医学科单日用水量</w:t>
            </w:r>
            <w:r>
              <w:rPr>
                <w:bCs/>
              </w:rPr>
              <w:t>详见表10-</w:t>
            </w:r>
            <w:r>
              <w:rPr>
                <w:rFonts w:hint="eastAsia"/>
                <w:bCs/>
                <w:lang w:val="en-US" w:eastAsia="zh-CN"/>
              </w:rPr>
              <w:t>1</w:t>
            </w:r>
            <w:r>
              <w:rPr>
                <w:bCs/>
              </w:rPr>
              <w:t>8。</w:t>
            </w:r>
          </w:p>
          <w:p w14:paraId="37D437E9">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1</w:t>
            </w:r>
            <w:r>
              <w:rPr>
                <w:rFonts w:eastAsia="黑体"/>
                <w:bCs/>
                <w:sz w:val="21"/>
                <w:szCs w:val="21"/>
              </w:rPr>
              <w:t>8  各辐射工作场所放射性废水排放途径汇总表</w:t>
            </w:r>
          </w:p>
          <w:tbl>
            <w:tblPr>
              <w:tblStyle w:val="58"/>
              <w:tblW w:w="5000"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93"/>
              <w:gridCol w:w="1116"/>
              <w:gridCol w:w="1953"/>
              <w:gridCol w:w="1473"/>
              <w:gridCol w:w="1091"/>
              <w:gridCol w:w="1026"/>
              <w:gridCol w:w="1047"/>
            </w:tblGrid>
            <w:tr w14:paraId="241DBE9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21" w:type="pct"/>
                  <w:shd w:val="clear" w:color="auto" w:fill="auto"/>
                  <w:vAlign w:val="center"/>
                </w:tcPr>
                <w:p w14:paraId="6371CA32">
                  <w:pPr>
                    <w:spacing w:line="360" w:lineRule="exact"/>
                    <w:jc w:val="center"/>
                    <w:rPr>
                      <w:rFonts w:ascii="Times New Roman" w:hAnsi="Times New Roman" w:eastAsia="宋体" w:cs="Times New Roman"/>
                      <w:b/>
                      <w:bCs/>
                      <w:spacing w:val="-11"/>
                      <w:sz w:val="21"/>
                      <w:szCs w:val="21"/>
                      <w:lang w:val="en-US" w:eastAsia="zh-CN" w:bidi="ar-SA"/>
                    </w:rPr>
                  </w:pPr>
                  <w:r>
                    <w:rPr>
                      <w:b/>
                      <w:bCs/>
                      <w:spacing w:val="-11"/>
                      <w:sz w:val="21"/>
                      <w:szCs w:val="21"/>
                    </w:rPr>
                    <w:t>涉及场所</w:t>
                  </w:r>
                </w:p>
              </w:tc>
              <w:tc>
                <w:tcPr>
                  <w:tcW w:w="634" w:type="pct"/>
                  <w:vAlign w:val="center"/>
                </w:tcPr>
                <w:p w14:paraId="1F66D73A">
                  <w:pPr>
                    <w:spacing w:line="360" w:lineRule="exact"/>
                    <w:jc w:val="center"/>
                    <w:rPr>
                      <w:rFonts w:hint="default" w:eastAsia="宋体"/>
                      <w:b/>
                      <w:bCs/>
                      <w:spacing w:val="-11"/>
                      <w:sz w:val="21"/>
                      <w:szCs w:val="21"/>
                      <w:lang w:val="en-US" w:eastAsia="zh-CN"/>
                    </w:rPr>
                  </w:pPr>
                  <w:r>
                    <w:rPr>
                      <w:rFonts w:hint="eastAsia"/>
                      <w:b/>
                      <w:bCs/>
                      <w:spacing w:val="-11"/>
                      <w:sz w:val="21"/>
                      <w:szCs w:val="21"/>
                      <w:lang w:val="en-US" w:eastAsia="zh-CN"/>
                    </w:rPr>
                    <w:t>废水来源</w:t>
                  </w:r>
                </w:p>
              </w:tc>
              <w:tc>
                <w:tcPr>
                  <w:tcW w:w="1110" w:type="pct"/>
                  <w:vAlign w:val="center"/>
                </w:tcPr>
                <w:p w14:paraId="475B9799">
                  <w:pPr>
                    <w:spacing w:line="360" w:lineRule="exact"/>
                    <w:jc w:val="center"/>
                    <w:rPr>
                      <w:b/>
                      <w:bCs/>
                      <w:spacing w:val="-11"/>
                      <w:sz w:val="21"/>
                      <w:szCs w:val="21"/>
                    </w:rPr>
                  </w:pPr>
                  <w:r>
                    <w:rPr>
                      <w:b/>
                      <w:bCs/>
                      <w:spacing w:val="-11"/>
                      <w:sz w:val="21"/>
                      <w:szCs w:val="21"/>
                    </w:rPr>
                    <w:t>下水口位置</w:t>
                  </w:r>
                </w:p>
              </w:tc>
              <w:tc>
                <w:tcPr>
                  <w:tcW w:w="837" w:type="pct"/>
                  <w:vAlign w:val="center"/>
                </w:tcPr>
                <w:p w14:paraId="1FD3A605">
                  <w:pPr>
                    <w:spacing w:line="360" w:lineRule="exact"/>
                    <w:jc w:val="center"/>
                    <w:rPr>
                      <w:b/>
                      <w:bCs/>
                      <w:spacing w:val="-11"/>
                      <w:sz w:val="21"/>
                      <w:szCs w:val="21"/>
                    </w:rPr>
                  </w:pPr>
                  <w:r>
                    <w:rPr>
                      <w:b/>
                      <w:bCs/>
                      <w:spacing w:val="-11"/>
                      <w:sz w:val="21"/>
                      <w:szCs w:val="21"/>
                    </w:rPr>
                    <w:t>核素组成</w:t>
                  </w:r>
                </w:p>
              </w:tc>
              <w:tc>
                <w:tcPr>
                  <w:tcW w:w="620" w:type="pct"/>
                  <w:vAlign w:val="center"/>
                </w:tcPr>
                <w:p w14:paraId="1594D4B4">
                  <w:pPr>
                    <w:spacing w:line="360" w:lineRule="exact"/>
                    <w:jc w:val="center"/>
                    <w:rPr>
                      <w:b/>
                      <w:bCs/>
                      <w:spacing w:val="-17"/>
                      <w:sz w:val="21"/>
                      <w:szCs w:val="21"/>
                    </w:rPr>
                  </w:pPr>
                  <w:r>
                    <w:rPr>
                      <w:b/>
                      <w:bCs/>
                      <w:spacing w:val="-17"/>
                      <w:sz w:val="21"/>
                      <w:szCs w:val="21"/>
                    </w:rPr>
                    <w:t>所含核素最长半衰期</w:t>
                  </w:r>
                </w:p>
              </w:tc>
              <w:tc>
                <w:tcPr>
                  <w:tcW w:w="583" w:type="pct"/>
                  <w:vAlign w:val="center"/>
                </w:tcPr>
                <w:p w14:paraId="09B0AA6D">
                  <w:pPr>
                    <w:spacing w:line="360" w:lineRule="exact"/>
                    <w:jc w:val="center"/>
                    <w:rPr>
                      <w:b/>
                      <w:bCs/>
                      <w:spacing w:val="-17"/>
                      <w:sz w:val="21"/>
                      <w:szCs w:val="21"/>
                    </w:rPr>
                  </w:pPr>
                  <w:r>
                    <w:rPr>
                      <w:b/>
                      <w:bCs/>
                      <w:spacing w:val="-17"/>
                      <w:sz w:val="21"/>
                      <w:szCs w:val="21"/>
                    </w:rPr>
                    <w:t>单日最大废水量（L）</w:t>
                  </w:r>
                </w:p>
              </w:tc>
              <w:tc>
                <w:tcPr>
                  <w:tcW w:w="591" w:type="pct"/>
                  <w:vAlign w:val="center"/>
                </w:tcPr>
                <w:p w14:paraId="5986D171">
                  <w:pPr>
                    <w:spacing w:line="360" w:lineRule="exact"/>
                    <w:jc w:val="center"/>
                    <w:rPr>
                      <w:b/>
                      <w:bCs/>
                      <w:spacing w:val="-11"/>
                      <w:sz w:val="21"/>
                      <w:szCs w:val="21"/>
                    </w:rPr>
                  </w:pPr>
                  <w:r>
                    <w:rPr>
                      <w:b/>
                      <w:bCs/>
                      <w:spacing w:val="-11"/>
                      <w:sz w:val="21"/>
                      <w:szCs w:val="21"/>
                    </w:rPr>
                    <w:t>合计（L）</w:t>
                  </w:r>
                </w:p>
              </w:tc>
            </w:tr>
            <w:tr w14:paraId="04F6557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21" w:type="pct"/>
                  <w:vMerge w:val="restart"/>
                  <w:shd w:val="clear" w:color="auto" w:fill="auto"/>
                  <w:vAlign w:val="center"/>
                </w:tcPr>
                <w:p w14:paraId="12E9B933">
                  <w:pPr>
                    <w:spacing w:line="360" w:lineRule="exact"/>
                    <w:jc w:val="center"/>
                    <w:rPr>
                      <w:rFonts w:hint="default" w:ascii="Times New Roman" w:hAnsi="Times New Roman" w:eastAsia="宋体" w:cs="Times New Roman"/>
                      <w:spacing w:val="-11"/>
                      <w:sz w:val="21"/>
                      <w:szCs w:val="21"/>
                      <w:highlight w:val="none"/>
                      <w:vertAlign w:val="superscript"/>
                      <w:lang w:val="en-US" w:eastAsia="zh-CN" w:bidi="ar-SA"/>
                    </w:rPr>
                  </w:pPr>
                  <w:r>
                    <w:rPr>
                      <w:rFonts w:hint="eastAsia"/>
                      <w:spacing w:val="-11"/>
                      <w:sz w:val="21"/>
                      <w:szCs w:val="21"/>
                      <w:highlight w:val="none"/>
                      <w:lang w:val="en-US" w:eastAsia="zh-CN"/>
                    </w:rPr>
                    <w:t>负一层核医学科</w:t>
                  </w:r>
                </w:p>
              </w:tc>
              <w:tc>
                <w:tcPr>
                  <w:tcW w:w="634" w:type="pct"/>
                  <w:tcBorders>
                    <w:bottom w:val="single" w:color="auto" w:sz="4" w:space="0"/>
                  </w:tcBorders>
                  <w:vAlign w:val="center"/>
                </w:tcPr>
                <w:p w14:paraId="2B72892F">
                  <w:pPr>
                    <w:spacing w:line="360" w:lineRule="exact"/>
                    <w:jc w:val="center"/>
                    <w:rPr>
                      <w:rFonts w:hint="default" w:eastAsia="宋体"/>
                      <w:spacing w:val="-11"/>
                      <w:sz w:val="21"/>
                      <w:szCs w:val="21"/>
                      <w:highlight w:val="none"/>
                      <w:vertAlign w:val="superscript"/>
                      <w:lang w:val="en-US" w:eastAsia="zh-CN"/>
                    </w:rPr>
                  </w:pPr>
                  <w:r>
                    <w:rPr>
                      <w:rFonts w:hint="eastAsia"/>
                      <w:spacing w:val="-11"/>
                      <w:sz w:val="21"/>
                      <w:szCs w:val="21"/>
                      <w:highlight w:val="none"/>
                      <w:vertAlign w:val="baseline"/>
                      <w:lang w:val="en-US" w:eastAsia="zh-CN"/>
                    </w:rPr>
                    <w:t>病患用水</w:t>
                  </w:r>
                </w:p>
              </w:tc>
              <w:tc>
                <w:tcPr>
                  <w:tcW w:w="1110" w:type="pct"/>
                  <w:tcBorders>
                    <w:bottom w:val="single" w:color="auto" w:sz="4" w:space="0"/>
                  </w:tcBorders>
                  <w:vAlign w:val="center"/>
                </w:tcPr>
                <w:p w14:paraId="640597A1">
                  <w:pPr>
                    <w:spacing w:line="360" w:lineRule="exact"/>
                    <w:jc w:val="center"/>
                    <w:rPr>
                      <w:bCs/>
                      <w:spacing w:val="-17"/>
                      <w:sz w:val="21"/>
                      <w:szCs w:val="21"/>
                      <w:highlight w:val="none"/>
                    </w:rPr>
                  </w:pPr>
                  <w:r>
                    <w:rPr>
                      <w:bCs/>
                      <w:spacing w:val="-11"/>
                      <w:sz w:val="21"/>
                      <w:szCs w:val="21"/>
                      <w:highlight w:val="none"/>
                    </w:rPr>
                    <w:t>病人专用卫生间</w:t>
                  </w:r>
                </w:p>
              </w:tc>
              <w:tc>
                <w:tcPr>
                  <w:tcW w:w="837" w:type="pct"/>
                  <w:vAlign w:val="center"/>
                </w:tcPr>
                <w:p w14:paraId="4596E73C">
                  <w:pPr>
                    <w:spacing w:line="360" w:lineRule="exact"/>
                    <w:jc w:val="center"/>
                    <w:rPr>
                      <w:bCs/>
                      <w:spacing w:val="-11"/>
                      <w:sz w:val="21"/>
                      <w:szCs w:val="21"/>
                      <w:highlight w:val="none"/>
                    </w:rPr>
                  </w:pPr>
                  <w:r>
                    <w:rPr>
                      <w:bCs/>
                      <w:spacing w:val="-11"/>
                      <w:sz w:val="21"/>
                      <w:szCs w:val="21"/>
                      <w:highlight w:val="none"/>
                      <w:vertAlign w:val="superscript"/>
                    </w:rPr>
                    <w:t>18</w:t>
                  </w:r>
                  <w:r>
                    <w:rPr>
                      <w:bCs/>
                      <w:spacing w:val="-11"/>
                      <w:sz w:val="21"/>
                      <w:szCs w:val="21"/>
                      <w:highlight w:val="none"/>
                    </w:rPr>
                    <w:t>F、</w:t>
                  </w:r>
                  <w:r>
                    <w:rPr>
                      <w:bCs/>
                      <w:spacing w:val="-11"/>
                      <w:sz w:val="21"/>
                      <w:szCs w:val="21"/>
                      <w:highlight w:val="none"/>
                      <w:vertAlign w:val="superscript"/>
                    </w:rPr>
                    <w:t>68</w:t>
                  </w:r>
                  <w:r>
                    <w:rPr>
                      <w:bCs/>
                      <w:spacing w:val="-11"/>
                      <w:sz w:val="21"/>
                      <w:szCs w:val="21"/>
                      <w:highlight w:val="none"/>
                    </w:rPr>
                    <w:t>Ga、</w:t>
                  </w:r>
                  <w:r>
                    <w:rPr>
                      <w:sz w:val="21"/>
                      <w:szCs w:val="21"/>
                      <w:highlight w:val="none"/>
                      <w:vertAlign w:val="superscript"/>
                    </w:rPr>
                    <w:t>99m</w:t>
                  </w:r>
                  <w:r>
                    <w:rPr>
                      <w:sz w:val="21"/>
                      <w:szCs w:val="21"/>
                      <w:highlight w:val="none"/>
                    </w:rPr>
                    <w:t>Tc</w:t>
                  </w:r>
                  <w:r>
                    <w:rPr>
                      <w:rFonts w:hint="eastAsia"/>
                      <w:sz w:val="21"/>
                      <w:szCs w:val="21"/>
                      <w:highlight w:val="none"/>
                      <w:lang w:eastAsia="zh-CN"/>
                    </w:rPr>
                    <w:t>、</w:t>
                  </w:r>
                  <w:r>
                    <w:rPr>
                      <w:spacing w:val="-11"/>
                      <w:sz w:val="21"/>
                      <w:szCs w:val="21"/>
                      <w:highlight w:val="none"/>
                      <w:vertAlign w:val="superscript"/>
                    </w:rPr>
                    <w:t>131</w:t>
                  </w:r>
                  <w:r>
                    <w:rPr>
                      <w:spacing w:val="-11"/>
                      <w:sz w:val="21"/>
                      <w:szCs w:val="21"/>
                      <w:highlight w:val="none"/>
                    </w:rPr>
                    <w:t>I</w:t>
                  </w:r>
                </w:p>
              </w:tc>
              <w:tc>
                <w:tcPr>
                  <w:tcW w:w="620" w:type="pct"/>
                  <w:vAlign w:val="center"/>
                </w:tcPr>
                <w:p w14:paraId="4931CA47">
                  <w:pPr>
                    <w:spacing w:line="360" w:lineRule="exact"/>
                    <w:jc w:val="center"/>
                    <w:rPr>
                      <w:bCs/>
                      <w:spacing w:val="-11"/>
                      <w:sz w:val="21"/>
                      <w:szCs w:val="21"/>
                      <w:highlight w:val="none"/>
                    </w:rPr>
                  </w:pPr>
                  <w:r>
                    <w:rPr>
                      <w:rFonts w:hint="eastAsia"/>
                      <w:bCs/>
                      <w:spacing w:val="-11"/>
                      <w:sz w:val="21"/>
                      <w:szCs w:val="21"/>
                      <w:highlight w:val="none"/>
                      <w:lang w:val="en-US" w:eastAsia="zh-CN"/>
                    </w:rPr>
                    <w:t>8.02</w:t>
                  </w:r>
                  <w:r>
                    <w:rPr>
                      <w:bCs/>
                      <w:spacing w:val="-11"/>
                      <w:sz w:val="21"/>
                      <w:szCs w:val="21"/>
                      <w:highlight w:val="none"/>
                    </w:rPr>
                    <w:t>d</w:t>
                  </w:r>
                </w:p>
              </w:tc>
              <w:tc>
                <w:tcPr>
                  <w:tcW w:w="583" w:type="pct"/>
                  <w:vAlign w:val="center"/>
                </w:tcPr>
                <w:p w14:paraId="1629EBB3">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480</w:t>
                  </w:r>
                </w:p>
              </w:tc>
              <w:tc>
                <w:tcPr>
                  <w:tcW w:w="591" w:type="pct"/>
                  <w:vMerge w:val="restart"/>
                  <w:vAlign w:val="center"/>
                </w:tcPr>
                <w:p w14:paraId="6143E6B3">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1226</w:t>
                  </w:r>
                </w:p>
              </w:tc>
            </w:tr>
            <w:tr w14:paraId="3D4C6C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21" w:type="pct"/>
                  <w:vMerge w:val="continue"/>
                  <w:vAlign w:val="center"/>
                </w:tcPr>
                <w:p w14:paraId="24C3EC0F">
                  <w:pPr>
                    <w:spacing w:line="360" w:lineRule="exact"/>
                    <w:jc w:val="center"/>
                    <w:rPr>
                      <w:spacing w:val="-11"/>
                      <w:sz w:val="21"/>
                      <w:szCs w:val="21"/>
                      <w:highlight w:val="none"/>
                    </w:rPr>
                  </w:pPr>
                </w:p>
              </w:tc>
              <w:tc>
                <w:tcPr>
                  <w:tcW w:w="634" w:type="pct"/>
                  <w:tcBorders>
                    <w:top w:val="single" w:color="auto" w:sz="4" w:space="0"/>
                    <w:bottom w:val="single" w:color="auto" w:sz="4" w:space="0"/>
                  </w:tcBorders>
                  <w:vAlign w:val="center"/>
                </w:tcPr>
                <w:p w14:paraId="0A9B2C53">
                  <w:pPr>
                    <w:spacing w:line="360" w:lineRule="exact"/>
                    <w:jc w:val="center"/>
                    <w:rPr>
                      <w:rFonts w:hint="default"/>
                      <w:spacing w:val="-11"/>
                      <w:sz w:val="21"/>
                      <w:szCs w:val="21"/>
                      <w:highlight w:val="none"/>
                      <w:lang w:val="en-US" w:eastAsia="zh-CN"/>
                    </w:rPr>
                  </w:pPr>
                  <w:r>
                    <w:rPr>
                      <w:rFonts w:hint="eastAsia"/>
                      <w:spacing w:val="-11"/>
                      <w:sz w:val="21"/>
                      <w:szCs w:val="21"/>
                      <w:highlight w:val="none"/>
                      <w:lang w:val="en-US" w:eastAsia="zh-CN"/>
                    </w:rPr>
                    <w:t>医护人员用水</w:t>
                  </w:r>
                </w:p>
              </w:tc>
              <w:tc>
                <w:tcPr>
                  <w:tcW w:w="1110" w:type="pct"/>
                  <w:tcBorders>
                    <w:top w:val="single" w:color="auto" w:sz="4" w:space="0"/>
                    <w:bottom w:val="single" w:color="auto" w:sz="4" w:space="0"/>
                  </w:tcBorders>
                  <w:vAlign w:val="center"/>
                </w:tcPr>
                <w:p w14:paraId="75A193E3">
                  <w:pPr>
                    <w:spacing w:line="360" w:lineRule="exact"/>
                    <w:jc w:val="center"/>
                    <w:rPr>
                      <w:rFonts w:hint="default" w:eastAsia="宋体"/>
                      <w:spacing w:val="-11"/>
                      <w:sz w:val="21"/>
                      <w:szCs w:val="21"/>
                      <w:highlight w:val="none"/>
                      <w:lang w:val="en-US" w:eastAsia="zh-CN"/>
                    </w:rPr>
                  </w:pPr>
                  <w:r>
                    <w:rPr>
                      <w:spacing w:val="-11"/>
                      <w:sz w:val="21"/>
                      <w:szCs w:val="21"/>
                      <w:highlight w:val="none"/>
                    </w:rPr>
                    <w:t>紧急冲淋间</w:t>
                  </w:r>
                  <w:r>
                    <w:rPr>
                      <w:rFonts w:hint="eastAsia"/>
                      <w:spacing w:val="-11"/>
                      <w:sz w:val="21"/>
                      <w:szCs w:val="21"/>
                      <w:highlight w:val="none"/>
                    </w:rPr>
                    <w:t>、</w:t>
                  </w:r>
                  <w:r>
                    <w:rPr>
                      <w:rFonts w:hint="eastAsia"/>
                      <w:bCs/>
                      <w:spacing w:val="-11"/>
                      <w:sz w:val="21"/>
                      <w:szCs w:val="21"/>
                      <w:highlight w:val="none"/>
                      <w:lang w:val="en-US" w:eastAsia="zh-CN"/>
                    </w:rPr>
                    <w:t>卫生通过间（1#、2#）</w:t>
                  </w:r>
                </w:p>
              </w:tc>
              <w:tc>
                <w:tcPr>
                  <w:tcW w:w="837" w:type="pct"/>
                  <w:vAlign w:val="center"/>
                </w:tcPr>
                <w:p w14:paraId="27F9D12E">
                  <w:pPr>
                    <w:spacing w:line="360" w:lineRule="exact"/>
                    <w:jc w:val="center"/>
                    <w:rPr>
                      <w:bCs/>
                      <w:spacing w:val="-11"/>
                      <w:sz w:val="21"/>
                      <w:szCs w:val="21"/>
                      <w:highlight w:val="none"/>
                      <w:vertAlign w:val="superscript"/>
                    </w:rPr>
                  </w:pPr>
                  <w:r>
                    <w:rPr>
                      <w:bCs/>
                      <w:spacing w:val="-11"/>
                      <w:sz w:val="21"/>
                      <w:szCs w:val="21"/>
                      <w:highlight w:val="none"/>
                      <w:vertAlign w:val="superscript"/>
                    </w:rPr>
                    <w:t>18</w:t>
                  </w:r>
                  <w:r>
                    <w:rPr>
                      <w:bCs/>
                      <w:spacing w:val="-11"/>
                      <w:sz w:val="21"/>
                      <w:szCs w:val="21"/>
                      <w:highlight w:val="none"/>
                    </w:rPr>
                    <w:t>F、</w:t>
                  </w:r>
                  <w:r>
                    <w:rPr>
                      <w:bCs/>
                      <w:spacing w:val="-11"/>
                      <w:sz w:val="21"/>
                      <w:szCs w:val="21"/>
                      <w:highlight w:val="none"/>
                      <w:vertAlign w:val="superscript"/>
                    </w:rPr>
                    <w:t>68</w:t>
                  </w:r>
                  <w:r>
                    <w:rPr>
                      <w:bCs/>
                      <w:spacing w:val="-11"/>
                      <w:sz w:val="21"/>
                      <w:szCs w:val="21"/>
                      <w:highlight w:val="none"/>
                    </w:rPr>
                    <w:t>Ga、</w:t>
                  </w:r>
                  <w:r>
                    <w:rPr>
                      <w:sz w:val="21"/>
                      <w:szCs w:val="21"/>
                      <w:highlight w:val="none"/>
                      <w:vertAlign w:val="superscript"/>
                    </w:rPr>
                    <w:t>99m</w:t>
                  </w:r>
                  <w:r>
                    <w:rPr>
                      <w:sz w:val="21"/>
                      <w:szCs w:val="21"/>
                      <w:highlight w:val="none"/>
                    </w:rPr>
                    <w:t>Tc</w:t>
                  </w:r>
                  <w:r>
                    <w:rPr>
                      <w:rFonts w:hint="eastAsia"/>
                      <w:sz w:val="21"/>
                      <w:szCs w:val="21"/>
                      <w:highlight w:val="none"/>
                      <w:lang w:eastAsia="zh-CN"/>
                    </w:rPr>
                    <w:t>、</w:t>
                  </w:r>
                  <w:r>
                    <w:rPr>
                      <w:spacing w:val="-11"/>
                      <w:sz w:val="21"/>
                      <w:szCs w:val="21"/>
                      <w:highlight w:val="none"/>
                      <w:vertAlign w:val="superscript"/>
                    </w:rPr>
                    <w:t>131</w:t>
                  </w:r>
                  <w:r>
                    <w:rPr>
                      <w:spacing w:val="-11"/>
                      <w:sz w:val="21"/>
                      <w:szCs w:val="21"/>
                      <w:highlight w:val="none"/>
                    </w:rPr>
                    <w:t>I</w:t>
                  </w:r>
                </w:p>
              </w:tc>
              <w:tc>
                <w:tcPr>
                  <w:tcW w:w="620" w:type="pct"/>
                  <w:vAlign w:val="center"/>
                </w:tcPr>
                <w:p w14:paraId="1772C73E">
                  <w:pPr>
                    <w:spacing w:line="360" w:lineRule="exact"/>
                    <w:jc w:val="center"/>
                    <w:rPr>
                      <w:rFonts w:hint="eastAsia"/>
                      <w:bCs/>
                      <w:spacing w:val="-11"/>
                      <w:sz w:val="21"/>
                      <w:szCs w:val="21"/>
                      <w:highlight w:val="none"/>
                      <w:lang w:val="en-US" w:eastAsia="zh-CN"/>
                    </w:rPr>
                  </w:pPr>
                  <w:r>
                    <w:rPr>
                      <w:rFonts w:hint="eastAsia"/>
                      <w:bCs/>
                      <w:spacing w:val="-11"/>
                      <w:sz w:val="21"/>
                      <w:szCs w:val="21"/>
                      <w:highlight w:val="none"/>
                      <w:lang w:val="en-US" w:eastAsia="zh-CN"/>
                    </w:rPr>
                    <w:t>8.02</w:t>
                  </w:r>
                  <w:r>
                    <w:rPr>
                      <w:bCs/>
                      <w:spacing w:val="-11"/>
                      <w:sz w:val="21"/>
                      <w:szCs w:val="21"/>
                      <w:highlight w:val="none"/>
                    </w:rPr>
                    <w:t>d</w:t>
                  </w:r>
                </w:p>
              </w:tc>
              <w:tc>
                <w:tcPr>
                  <w:tcW w:w="583" w:type="pct"/>
                  <w:vAlign w:val="center"/>
                </w:tcPr>
                <w:p w14:paraId="50EAC643">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340</w:t>
                  </w:r>
                </w:p>
              </w:tc>
              <w:tc>
                <w:tcPr>
                  <w:tcW w:w="591" w:type="pct"/>
                  <w:vMerge w:val="continue"/>
                  <w:vAlign w:val="center"/>
                </w:tcPr>
                <w:p w14:paraId="175C1F16">
                  <w:pPr>
                    <w:spacing w:line="360" w:lineRule="exact"/>
                    <w:jc w:val="center"/>
                    <w:rPr>
                      <w:spacing w:val="-11"/>
                      <w:sz w:val="21"/>
                      <w:szCs w:val="21"/>
                      <w:highlight w:val="none"/>
                    </w:rPr>
                  </w:pPr>
                </w:p>
              </w:tc>
            </w:tr>
            <w:tr w14:paraId="2EA61FE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21" w:type="pct"/>
                  <w:vMerge w:val="continue"/>
                  <w:vAlign w:val="center"/>
                </w:tcPr>
                <w:p w14:paraId="328BC502">
                  <w:pPr>
                    <w:spacing w:line="360" w:lineRule="exact"/>
                    <w:jc w:val="center"/>
                    <w:rPr>
                      <w:spacing w:val="-11"/>
                      <w:sz w:val="21"/>
                      <w:szCs w:val="21"/>
                      <w:highlight w:val="none"/>
                    </w:rPr>
                  </w:pPr>
                </w:p>
              </w:tc>
              <w:tc>
                <w:tcPr>
                  <w:tcW w:w="634" w:type="pct"/>
                  <w:tcBorders>
                    <w:top w:val="single" w:color="auto" w:sz="4" w:space="0"/>
                    <w:bottom w:val="single" w:color="auto" w:sz="4" w:space="0"/>
                  </w:tcBorders>
                  <w:vAlign w:val="center"/>
                </w:tcPr>
                <w:p w14:paraId="66C5C111">
                  <w:pPr>
                    <w:spacing w:line="360" w:lineRule="exact"/>
                    <w:jc w:val="center"/>
                    <w:rPr>
                      <w:rFonts w:hint="default"/>
                      <w:spacing w:val="-11"/>
                      <w:sz w:val="21"/>
                      <w:szCs w:val="21"/>
                      <w:highlight w:val="none"/>
                      <w:lang w:val="en-US" w:eastAsia="zh-CN"/>
                    </w:rPr>
                  </w:pPr>
                  <w:r>
                    <w:rPr>
                      <w:rFonts w:hint="eastAsia"/>
                      <w:spacing w:val="-11"/>
                      <w:sz w:val="21"/>
                      <w:szCs w:val="21"/>
                      <w:highlight w:val="none"/>
                      <w:lang w:val="en-US" w:eastAsia="zh-CN"/>
                    </w:rPr>
                    <w:t>清洁用水</w:t>
                  </w:r>
                </w:p>
              </w:tc>
              <w:tc>
                <w:tcPr>
                  <w:tcW w:w="1110" w:type="pct"/>
                  <w:tcBorders>
                    <w:top w:val="single" w:color="auto" w:sz="4" w:space="0"/>
                    <w:bottom w:val="single" w:color="auto" w:sz="4" w:space="0"/>
                  </w:tcBorders>
                  <w:vAlign w:val="center"/>
                </w:tcPr>
                <w:p w14:paraId="17EFE9BC">
                  <w:pPr>
                    <w:spacing w:line="360" w:lineRule="exact"/>
                    <w:jc w:val="center"/>
                    <w:rPr>
                      <w:rFonts w:hint="default" w:eastAsia="宋体"/>
                      <w:spacing w:val="-11"/>
                      <w:sz w:val="21"/>
                      <w:szCs w:val="21"/>
                      <w:highlight w:val="none"/>
                      <w:lang w:val="en-US" w:eastAsia="zh-CN"/>
                    </w:rPr>
                  </w:pPr>
                  <w:r>
                    <w:rPr>
                      <w:rFonts w:hint="eastAsia"/>
                      <w:spacing w:val="-11"/>
                      <w:sz w:val="21"/>
                      <w:szCs w:val="21"/>
                      <w:highlight w:val="none"/>
                      <w:lang w:val="en-US" w:eastAsia="zh-CN"/>
                    </w:rPr>
                    <w:t>各房间地漏</w:t>
                  </w:r>
                  <w:r>
                    <w:rPr>
                      <w:spacing w:val="-11"/>
                      <w:sz w:val="21"/>
                      <w:szCs w:val="21"/>
                      <w:highlight w:val="none"/>
                    </w:rPr>
                    <w:t>、</w:t>
                  </w:r>
                  <w:r>
                    <w:rPr>
                      <w:rFonts w:hint="eastAsia"/>
                      <w:spacing w:val="-11"/>
                      <w:sz w:val="21"/>
                      <w:szCs w:val="21"/>
                      <w:highlight w:val="none"/>
                    </w:rPr>
                    <w:t>污洗间</w:t>
                  </w:r>
                </w:p>
              </w:tc>
              <w:tc>
                <w:tcPr>
                  <w:tcW w:w="837" w:type="pct"/>
                  <w:shd w:val="clear" w:color="auto" w:fill="auto"/>
                  <w:vAlign w:val="center"/>
                </w:tcPr>
                <w:p w14:paraId="422F9778">
                  <w:pPr>
                    <w:spacing w:line="360" w:lineRule="exact"/>
                    <w:jc w:val="center"/>
                    <w:rPr>
                      <w:rFonts w:ascii="Times New Roman" w:hAnsi="Times New Roman" w:eastAsia="宋体" w:cs="Times New Roman"/>
                      <w:bCs/>
                      <w:spacing w:val="-11"/>
                      <w:sz w:val="21"/>
                      <w:szCs w:val="21"/>
                      <w:highlight w:val="none"/>
                      <w:vertAlign w:val="superscript"/>
                      <w:lang w:val="en-US" w:eastAsia="zh-CN" w:bidi="ar-SA"/>
                    </w:rPr>
                  </w:pPr>
                  <w:r>
                    <w:rPr>
                      <w:bCs/>
                      <w:spacing w:val="-11"/>
                      <w:sz w:val="21"/>
                      <w:szCs w:val="21"/>
                      <w:highlight w:val="none"/>
                      <w:vertAlign w:val="superscript"/>
                    </w:rPr>
                    <w:t>18</w:t>
                  </w:r>
                  <w:r>
                    <w:rPr>
                      <w:bCs/>
                      <w:spacing w:val="-11"/>
                      <w:sz w:val="21"/>
                      <w:szCs w:val="21"/>
                      <w:highlight w:val="none"/>
                    </w:rPr>
                    <w:t>F、</w:t>
                  </w:r>
                  <w:r>
                    <w:rPr>
                      <w:bCs/>
                      <w:spacing w:val="-11"/>
                      <w:sz w:val="21"/>
                      <w:szCs w:val="21"/>
                      <w:highlight w:val="none"/>
                      <w:vertAlign w:val="superscript"/>
                    </w:rPr>
                    <w:t>68</w:t>
                  </w:r>
                  <w:r>
                    <w:rPr>
                      <w:bCs/>
                      <w:spacing w:val="-11"/>
                      <w:sz w:val="21"/>
                      <w:szCs w:val="21"/>
                      <w:highlight w:val="none"/>
                    </w:rPr>
                    <w:t>Ga、</w:t>
                  </w:r>
                  <w:r>
                    <w:rPr>
                      <w:sz w:val="21"/>
                      <w:szCs w:val="21"/>
                      <w:highlight w:val="none"/>
                      <w:vertAlign w:val="superscript"/>
                    </w:rPr>
                    <w:t>99m</w:t>
                  </w:r>
                  <w:r>
                    <w:rPr>
                      <w:sz w:val="21"/>
                      <w:szCs w:val="21"/>
                      <w:highlight w:val="none"/>
                    </w:rPr>
                    <w:t>Tc</w:t>
                  </w:r>
                  <w:r>
                    <w:rPr>
                      <w:rFonts w:hint="eastAsia"/>
                      <w:sz w:val="21"/>
                      <w:szCs w:val="21"/>
                      <w:highlight w:val="none"/>
                      <w:lang w:eastAsia="zh-CN"/>
                    </w:rPr>
                    <w:t>、</w:t>
                  </w:r>
                  <w:r>
                    <w:rPr>
                      <w:spacing w:val="-11"/>
                      <w:sz w:val="21"/>
                      <w:szCs w:val="21"/>
                      <w:highlight w:val="none"/>
                      <w:vertAlign w:val="superscript"/>
                    </w:rPr>
                    <w:t>131</w:t>
                  </w:r>
                  <w:r>
                    <w:rPr>
                      <w:spacing w:val="-11"/>
                      <w:sz w:val="21"/>
                      <w:szCs w:val="21"/>
                      <w:highlight w:val="none"/>
                    </w:rPr>
                    <w:t>I</w:t>
                  </w:r>
                </w:p>
              </w:tc>
              <w:tc>
                <w:tcPr>
                  <w:tcW w:w="620" w:type="pct"/>
                  <w:shd w:val="clear" w:color="auto" w:fill="auto"/>
                  <w:vAlign w:val="center"/>
                </w:tcPr>
                <w:p w14:paraId="046A5696">
                  <w:pPr>
                    <w:spacing w:line="360" w:lineRule="exact"/>
                    <w:jc w:val="center"/>
                    <w:rPr>
                      <w:rFonts w:hint="eastAsia" w:ascii="Times New Roman" w:hAnsi="Times New Roman" w:eastAsia="宋体" w:cs="Times New Roman"/>
                      <w:bCs/>
                      <w:spacing w:val="-11"/>
                      <w:sz w:val="21"/>
                      <w:szCs w:val="21"/>
                      <w:highlight w:val="none"/>
                      <w:lang w:val="en-US" w:eastAsia="zh-CN" w:bidi="ar-SA"/>
                    </w:rPr>
                  </w:pPr>
                  <w:r>
                    <w:rPr>
                      <w:rFonts w:hint="eastAsia"/>
                      <w:bCs/>
                      <w:spacing w:val="-11"/>
                      <w:sz w:val="21"/>
                      <w:szCs w:val="21"/>
                      <w:highlight w:val="none"/>
                      <w:lang w:val="en-US" w:eastAsia="zh-CN"/>
                    </w:rPr>
                    <w:t>8.02</w:t>
                  </w:r>
                  <w:r>
                    <w:rPr>
                      <w:bCs/>
                      <w:spacing w:val="-11"/>
                      <w:sz w:val="21"/>
                      <w:szCs w:val="21"/>
                      <w:highlight w:val="none"/>
                    </w:rPr>
                    <w:t>d</w:t>
                  </w:r>
                </w:p>
              </w:tc>
              <w:tc>
                <w:tcPr>
                  <w:tcW w:w="583" w:type="pct"/>
                  <w:vAlign w:val="center"/>
                </w:tcPr>
                <w:p w14:paraId="3670F140">
                  <w:pPr>
                    <w:spacing w:line="360" w:lineRule="exact"/>
                    <w:jc w:val="center"/>
                    <w:rPr>
                      <w:rFonts w:hint="default"/>
                      <w:spacing w:val="-11"/>
                      <w:sz w:val="21"/>
                      <w:szCs w:val="21"/>
                      <w:highlight w:val="none"/>
                      <w:lang w:val="en-US" w:eastAsia="zh-CN"/>
                    </w:rPr>
                  </w:pPr>
                  <w:r>
                    <w:rPr>
                      <w:rFonts w:hint="eastAsia"/>
                      <w:spacing w:val="-11"/>
                      <w:sz w:val="21"/>
                      <w:szCs w:val="21"/>
                      <w:highlight w:val="none"/>
                      <w:lang w:val="en-US" w:eastAsia="zh-CN"/>
                    </w:rPr>
                    <w:t>406</w:t>
                  </w:r>
                </w:p>
              </w:tc>
              <w:tc>
                <w:tcPr>
                  <w:tcW w:w="591" w:type="pct"/>
                  <w:vMerge w:val="continue"/>
                  <w:vAlign w:val="center"/>
                </w:tcPr>
                <w:p w14:paraId="77E51084">
                  <w:pPr>
                    <w:spacing w:line="360" w:lineRule="exact"/>
                    <w:jc w:val="center"/>
                    <w:rPr>
                      <w:spacing w:val="-11"/>
                      <w:sz w:val="21"/>
                      <w:szCs w:val="21"/>
                      <w:highlight w:val="none"/>
                    </w:rPr>
                  </w:pPr>
                </w:p>
              </w:tc>
            </w:tr>
            <w:tr w14:paraId="784C3A5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7"/>
                  <w:vAlign w:val="center"/>
                </w:tcPr>
                <w:p w14:paraId="2EF60B5D">
                  <w:pPr>
                    <w:spacing w:line="360" w:lineRule="exact"/>
                    <w:jc w:val="both"/>
                    <w:rPr>
                      <w:rFonts w:hint="default" w:eastAsia="宋体"/>
                      <w:spacing w:val="-11"/>
                      <w:sz w:val="21"/>
                      <w:szCs w:val="21"/>
                      <w:highlight w:val="none"/>
                      <w:lang w:val="en-US" w:eastAsia="zh-CN"/>
                    </w:rPr>
                  </w:pPr>
                  <w:r>
                    <w:rPr>
                      <w:rFonts w:hint="eastAsia"/>
                      <w:spacing w:val="-11"/>
                      <w:sz w:val="21"/>
                      <w:szCs w:val="21"/>
                      <w:highlight w:val="none"/>
                      <w:lang w:val="en-US" w:eastAsia="zh-CN"/>
                    </w:rPr>
                    <w:t>注：药物操作人员按全时段工作计，设备操作人员仅考虑摆位接触取1/3时段接触计算。</w:t>
                  </w:r>
                </w:p>
              </w:tc>
            </w:tr>
          </w:tbl>
          <w:p w14:paraId="1211857D">
            <w:pPr>
              <w:spacing w:line="240" w:lineRule="auto"/>
              <w:jc w:val="center"/>
              <w:rPr>
                <w:rFonts w:hint="eastAsia" w:eastAsia="黑体"/>
                <w:bCs/>
                <w:sz w:val="21"/>
                <w:szCs w:val="21"/>
                <w:lang w:eastAsia="zh-CN"/>
              </w:rPr>
            </w:pPr>
            <w:r>
              <w:rPr>
                <w:rFonts w:hint="eastAsia" w:eastAsia="黑体"/>
                <w:bCs/>
                <w:sz w:val="21"/>
                <w:szCs w:val="21"/>
                <w:lang w:eastAsia="zh-CN"/>
              </w:rPr>
              <w:drawing>
                <wp:inline distT="0" distB="0" distL="114300" distR="114300">
                  <wp:extent cx="3945890" cy="5581015"/>
                  <wp:effectExtent l="0" t="0" r="635" b="16510"/>
                  <wp:docPr id="4" name="图片 4" descr="负一层核医学科排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负一层核医学科排水-1"/>
                          <pic:cNvPicPr>
                            <a:picLocks noChangeAspect="1"/>
                          </pic:cNvPicPr>
                        </pic:nvPicPr>
                        <pic:blipFill>
                          <a:blip r:embed="rId38"/>
                          <a:stretch>
                            <a:fillRect/>
                          </a:stretch>
                        </pic:blipFill>
                        <pic:spPr>
                          <a:xfrm rot="16200000">
                            <a:off x="0" y="0"/>
                            <a:ext cx="3945890" cy="5581015"/>
                          </a:xfrm>
                          <a:prstGeom prst="rect">
                            <a:avLst/>
                          </a:prstGeom>
                        </pic:spPr>
                      </pic:pic>
                    </a:graphicData>
                  </a:graphic>
                </wp:inline>
              </w:drawing>
            </w:r>
          </w:p>
          <w:p w14:paraId="7D1816AC">
            <w:pPr>
              <w:spacing w:after="163" w:line="240" w:lineRule="auto"/>
              <w:jc w:val="center"/>
              <w:rPr>
                <w:rFonts w:hint="eastAsia" w:eastAsia="黑体"/>
                <w:bCs/>
                <w:sz w:val="21"/>
                <w:szCs w:val="21"/>
                <w:lang w:eastAsia="zh-CN"/>
              </w:rPr>
            </w:pPr>
            <w:r>
              <w:rPr>
                <w:rFonts w:eastAsia="黑体"/>
                <w:bCs/>
                <w:sz w:val="21"/>
                <w:szCs w:val="21"/>
              </w:rPr>
              <w:t>图10-</w:t>
            </w:r>
            <w:r>
              <w:rPr>
                <w:rFonts w:hint="eastAsia" w:eastAsia="黑体"/>
                <w:bCs/>
                <w:sz w:val="21"/>
                <w:szCs w:val="21"/>
                <w:lang w:val="en-US" w:eastAsia="zh-CN"/>
              </w:rPr>
              <w:t>6</w:t>
            </w:r>
            <w:r>
              <w:rPr>
                <w:rFonts w:eastAsia="黑体"/>
                <w:bCs/>
                <w:sz w:val="21"/>
                <w:szCs w:val="21"/>
              </w:rPr>
              <w:t xml:space="preserve">  放射性废水水流路径示意图</w:t>
            </w:r>
            <w:r>
              <w:rPr>
                <w:rFonts w:hint="eastAsia" w:eastAsia="黑体"/>
                <w:bCs/>
                <w:sz w:val="21"/>
                <w:szCs w:val="21"/>
                <w:lang w:eastAsia="zh-CN"/>
              </w:rPr>
              <w:t>（</w:t>
            </w:r>
            <w:r>
              <w:rPr>
                <w:rFonts w:hint="eastAsia" w:eastAsia="黑体"/>
                <w:bCs/>
                <w:sz w:val="21"/>
                <w:szCs w:val="21"/>
                <w:lang w:val="en-US" w:eastAsia="zh-CN"/>
              </w:rPr>
              <w:t>红色为放射性废水管道</w:t>
            </w:r>
            <w:r>
              <w:rPr>
                <w:rFonts w:hint="eastAsia" w:eastAsia="黑体"/>
                <w:bCs/>
                <w:sz w:val="21"/>
                <w:szCs w:val="21"/>
                <w:lang w:eastAsia="zh-CN"/>
              </w:rPr>
              <w:t>）</w:t>
            </w:r>
          </w:p>
          <w:p w14:paraId="11FFDD2B">
            <w:pPr>
              <w:ind w:firstLine="482"/>
              <w:rPr>
                <w:b/>
              </w:rPr>
            </w:pPr>
            <w:r>
              <w:rPr>
                <w:b/>
              </w:rPr>
              <w:t>（2）衰变池设计方案</w:t>
            </w:r>
          </w:p>
          <w:p w14:paraId="1FD4755E">
            <w:pPr>
              <w:ind w:firstLine="480" w:firstLineChars="200"/>
              <w:rPr>
                <w:bCs/>
                <w:sz w:val="24"/>
                <w:szCs w:val="24"/>
              </w:rPr>
            </w:pPr>
            <w:r>
              <w:rPr>
                <w:bCs/>
                <w:sz w:val="24"/>
                <w:szCs w:val="24"/>
                <w:highlight w:val="none"/>
              </w:rPr>
              <w:t>本项目</w:t>
            </w:r>
            <w:r>
              <w:rPr>
                <w:rFonts w:hint="eastAsia"/>
                <w:bCs/>
                <w:sz w:val="24"/>
                <w:szCs w:val="24"/>
                <w:highlight w:val="none"/>
              </w:rPr>
              <w:t>衰变池区域位于院区西侧绿化带地下，建筑面积</w:t>
            </w:r>
            <w:r>
              <w:rPr>
                <w:rFonts w:hint="eastAsia"/>
                <w:bCs/>
                <w:sz w:val="24"/>
                <w:szCs w:val="24"/>
                <w:highlight w:val="none"/>
                <w:lang w:val="en-US" w:eastAsia="zh-CN"/>
              </w:rPr>
              <w:t>238.9</w:t>
            </w:r>
            <w:r>
              <w:rPr>
                <w:rFonts w:hint="eastAsia"/>
                <w:bCs/>
                <w:sz w:val="24"/>
                <w:szCs w:val="24"/>
                <w:highlight w:val="none"/>
              </w:rPr>
              <w:t>m</w:t>
            </w:r>
            <w:r>
              <w:rPr>
                <w:rFonts w:hint="eastAsia"/>
                <w:bCs/>
                <w:sz w:val="24"/>
                <w:szCs w:val="24"/>
                <w:highlight w:val="none"/>
                <w:vertAlign w:val="superscript"/>
              </w:rPr>
              <w:t>2</w:t>
            </w:r>
            <w:r>
              <w:rPr>
                <w:rFonts w:hint="eastAsia"/>
                <w:bCs/>
                <w:sz w:val="24"/>
                <w:szCs w:val="24"/>
                <w:highlight w:val="none"/>
              </w:rPr>
              <w:t>，用于整个核医学科放射性废水的收集、衰变和排放。衰变池设计为三格，每格有效容积约为1</w:t>
            </w:r>
            <w:r>
              <w:rPr>
                <w:rFonts w:hint="eastAsia"/>
                <w:bCs/>
                <w:sz w:val="24"/>
                <w:szCs w:val="24"/>
                <w:highlight w:val="none"/>
                <w:lang w:val="en-US" w:eastAsia="zh-CN"/>
              </w:rPr>
              <w:t>22.5</w:t>
            </w:r>
            <w:r>
              <w:rPr>
                <w:rFonts w:hint="eastAsia"/>
                <w:bCs/>
                <w:sz w:val="24"/>
                <w:szCs w:val="24"/>
                <w:highlight w:val="none"/>
              </w:rPr>
              <w:t>m</w:t>
            </w:r>
            <w:r>
              <w:rPr>
                <w:rFonts w:hint="eastAsia"/>
                <w:bCs/>
                <w:sz w:val="24"/>
                <w:szCs w:val="24"/>
                <w:highlight w:val="none"/>
                <w:vertAlign w:val="superscript"/>
              </w:rPr>
              <w:t>3</w:t>
            </w:r>
            <w:r>
              <w:rPr>
                <w:rFonts w:hint="eastAsia"/>
                <w:bCs/>
                <w:sz w:val="24"/>
                <w:szCs w:val="24"/>
                <w:highlight w:val="none"/>
              </w:rPr>
              <w:t>，三格总有效容积为3</w:t>
            </w:r>
            <w:r>
              <w:rPr>
                <w:rFonts w:hint="eastAsia"/>
                <w:bCs/>
                <w:sz w:val="24"/>
                <w:szCs w:val="24"/>
                <w:highlight w:val="none"/>
                <w:lang w:val="en-US" w:eastAsia="zh-CN"/>
              </w:rPr>
              <w:t>67.5</w:t>
            </w:r>
            <w:r>
              <w:rPr>
                <w:rFonts w:hint="eastAsia"/>
                <w:bCs/>
                <w:sz w:val="24"/>
                <w:szCs w:val="24"/>
                <w:highlight w:val="none"/>
              </w:rPr>
              <w:t>m</w:t>
            </w:r>
            <w:r>
              <w:rPr>
                <w:rFonts w:hint="eastAsia"/>
                <w:bCs/>
                <w:sz w:val="24"/>
                <w:szCs w:val="24"/>
                <w:highlight w:val="none"/>
                <w:vertAlign w:val="superscript"/>
              </w:rPr>
              <w:t>3</w:t>
            </w:r>
            <w:r>
              <w:rPr>
                <w:rFonts w:hint="eastAsia"/>
                <w:bCs/>
                <w:sz w:val="24"/>
                <w:szCs w:val="24"/>
                <w:highlight w:val="none"/>
              </w:rPr>
              <w:t>。</w:t>
            </w:r>
            <w:r>
              <w:rPr>
                <w:rFonts w:hint="eastAsia"/>
                <w:bCs/>
                <w:sz w:val="24"/>
                <w:szCs w:val="24"/>
              </w:rPr>
              <w:t>衰变池采用三池间歇式贮存衰变法，轮流接纳含有放射性同位素的污水并定期提升排放。</w:t>
            </w:r>
          </w:p>
          <w:p w14:paraId="2BDF3CC8">
            <w:pPr>
              <w:ind w:firstLine="480"/>
              <w:rPr>
                <w:bCs/>
              </w:rPr>
            </w:pPr>
            <w:r>
              <w:rPr>
                <w:rFonts w:hint="eastAsia"/>
                <w:bCs/>
                <w:sz w:val="24"/>
                <w:szCs w:val="24"/>
              </w:rPr>
              <w:t>衰变池及沉淀池的四周池壁、底面及池盖均拟采用300mm混凝土（抗渗等级为P6）+涂抹20mm防水砂浆</w:t>
            </w:r>
            <w:r>
              <w:rPr>
                <w:bCs/>
              </w:rPr>
              <w:t>，衰变池本身已具备防渗漏能力。</w:t>
            </w:r>
            <w:r>
              <w:t>衰变池整体采用自动化设计，设置有在线液位显示、报警系统和自动取样装置，</w:t>
            </w:r>
            <w:r>
              <w:rPr>
                <w:rFonts w:hint="eastAsia"/>
                <w:lang w:val="en-US" w:eastAsia="zh-CN"/>
              </w:rPr>
              <w:t>其主控系统</w:t>
            </w:r>
            <w:r>
              <w:t>设置在</w:t>
            </w:r>
            <w:r>
              <w:rPr>
                <w:rFonts w:hint="eastAsia"/>
                <w:highlight w:val="none"/>
                <w:lang w:val="en-US" w:eastAsia="zh-CN"/>
              </w:rPr>
              <w:t>门诊医技楼西侧绿化带内的衰变池控制柜内</w:t>
            </w:r>
            <w:r>
              <w:t>，同时衰变池管道阀门采用自动控制，可实现废水导流自动切换，</w:t>
            </w:r>
            <w:r>
              <w:rPr>
                <w:bCs/>
              </w:rPr>
              <w:t>满足《核医学辐射防护与安全要求》（HJ1188-2021）规定的坚固、耐酸碱腐蚀、无渗透性和具有可靠的防泄漏措施等要求。</w:t>
            </w:r>
            <w:r>
              <w:rPr>
                <w:bCs/>
                <w:szCs w:val="32"/>
              </w:rPr>
              <w:t>放射性废水的排放管道采用</w:t>
            </w:r>
            <w:r>
              <w:rPr>
                <w:rFonts w:hint="eastAsia"/>
                <w:bCs/>
                <w:szCs w:val="32"/>
                <w:lang w:val="en-US" w:eastAsia="zh-CN"/>
              </w:rPr>
              <w:t>机制含铅柔性接口排水铸铁管</w:t>
            </w:r>
            <w:r>
              <w:rPr>
                <w:bCs/>
                <w:szCs w:val="32"/>
              </w:rPr>
              <w:t>，对于排放管道裸露部分拟采用</w:t>
            </w:r>
            <w:r>
              <w:rPr>
                <w:rFonts w:hint="eastAsia"/>
                <w:bCs/>
                <w:szCs w:val="32"/>
                <w:lang w:val="en-US" w:eastAsia="zh-CN"/>
              </w:rPr>
              <w:t>6</w:t>
            </w:r>
            <w:r>
              <w:rPr>
                <w:bCs/>
                <w:szCs w:val="32"/>
              </w:rPr>
              <w:t>mmPb的铅皮</w:t>
            </w:r>
            <w:r>
              <w:rPr>
                <w:rFonts w:hint="eastAsia"/>
                <w:bCs/>
                <w:szCs w:val="32"/>
                <w:lang w:eastAsia="zh-CN"/>
              </w:rPr>
              <w:t>包裹</w:t>
            </w:r>
            <w:r>
              <w:rPr>
                <w:bCs/>
                <w:szCs w:val="32"/>
              </w:rPr>
              <w:t>，排放管道走线避开人群密集区域，尽量减小对公众的辐射影响。</w:t>
            </w:r>
          </w:p>
          <w:p w14:paraId="2E2B9F19">
            <w:pPr>
              <w:ind w:firstLine="482"/>
              <w:rPr>
                <w:b/>
              </w:rPr>
            </w:pPr>
            <w:r>
              <w:rPr>
                <w:b/>
              </w:rPr>
              <w:t>（3）衰变池的运行工艺</w:t>
            </w:r>
          </w:p>
          <w:p w14:paraId="5A833EC6">
            <w:pPr>
              <w:ind w:firstLine="480"/>
              <w:rPr>
                <w:lang w:val="zh-CN"/>
              </w:rPr>
            </w:pPr>
            <w:r>
              <w:t>本项目衰变池采用3格并联方式</w:t>
            </w:r>
            <w:r>
              <w:rPr>
                <w:lang w:val="zh-CN"/>
              </w:rPr>
              <w:t>间歇交替运行，初使用时，1#衰变池电动阀开启，其余衰变池电动阀关闭，</w:t>
            </w:r>
            <w:r>
              <w:rPr>
                <w:bCs/>
              </w:rPr>
              <w:t>废水排入1#衰变池池体内。</w:t>
            </w:r>
            <w:r>
              <w:rPr>
                <w:lang w:val="zh-CN"/>
              </w:rPr>
              <w:t>1#衰变池水位达到最高水位时，1#衰变池电动阀关闭，</w:t>
            </w:r>
            <w:r>
              <w:rPr>
                <w:bCs/>
              </w:rPr>
              <w:t>进行封闭衰变，</w:t>
            </w:r>
            <w:r>
              <w:rPr>
                <w:lang w:val="zh-CN"/>
              </w:rPr>
              <w:t>2#衰变池电动阀开启，</w:t>
            </w:r>
            <w:r>
              <w:rPr>
                <w:bCs/>
              </w:rPr>
              <w:t>废水排入2#衰变池池体内</w:t>
            </w:r>
            <w:r>
              <w:rPr>
                <w:lang w:val="zh-CN"/>
              </w:rPr>
              <w:t>。2#衰变池水位达到最高水位时，2#衰变池电动阀关闭，</w:t>
            </w:r>
            <w:r>
              <w:rPr>
                <w:bCs/>
              </w:rPr>
              <w:t>进行封闭衰变，</w:t>
            </w:r>
            <w:r>
              <w:rPr>
                <w:lang w:val="zh-CN"/>
              </w:rPr>
              <w:t>3#衰变池电动阀开启，</w:t>
            </w:r>
            <w:r>
              <w:rPr>
                <w:bCs/>
              </w:rPr>
              <w:t>废水排入3#衰变池池体内</w:t>
            </w:r>
            <w:r>
              <w:rPr>
                <w:lang w:val="zh-CN"/>
              </w:rPr>
              <w:t>，</w:t>
            </w:r>
            <w:r>
              <w:t>当3</w:t>
            </w:r>
            <w:r>
              <w:rPr>
                <w:lang w:val="zh-CN"/>
              </w:rPr>
              <w:t>#衰变池水位达到最高水位时，1#衰变池电动阀开启，</w:t>
            </w:r>
            <w:r>
              <w:rPr>
                <w:bCs/>
              </w:rPr>
              <w:t>如此循环反复</w:t>
            </w:r>
            <w:r>
              <w:rPr>
                <w:lang w:val="zh-CN"/>
              </w:rPr>
              <w:t>。</w:t>
            </w:r>
          </w:p>
          <w:p w14:paraId="33E9E3ED">
            <w:pPr>
              <w:ind w:firstLine="480"/>
              <w:rPr>
                <w:bCs/>
              </w:rPr>
            </w:pPr>
            <w:r>
              <w:rPr>
                <w:bCs/>
              </w:rPr>
              <w:t>放射性废水在衰变池内停留一个排水周期，经监测达标后，按照GB18871中8.6.2规定方式排放进入医院污水管道，各衰变池体轮流使用，</w:t>
            </w:r>
            <w:r>
              <w:rPr>
                <w:highlight w:val="none"/>
              </w:rPr>
              <w:t>衰变池控制</w:t>
            </w:r>
            <w:r>
              <w:rPr>
                <w:rFonts w:hint="eastAsia"/>
                <w:highlight w:val="none"/>
                <w:lang w:val="en-US" w:eastAsia="zh-CN"/>
              </w:rPr>
              <w:t>柜</w:t>
            </w:r>
            <w:r>
              <w:rPr>
                <w:bCs/>
                <w:highlight w:val="none"/>
              </w:rPr>
              <w:t>上</w:t>
            </w:r>
            <w:r>
              <w:rPr>
                <w:bCs/>
              </w:rPr>
              <w:t>锁，并安排专人管理。</w:t>
            </w:r>
          </w:p>
          <w:p w14:paraId="2ED9C102">
            <w:pPr>
              <w:ind w:firstLine="482"/>
              <w:rPr>
                <w:b/>
              </w:rPr>
            </w:pPr>
            <w:r>
              <w:rPr>
                <w:b/>
              </w:rPr>
              <w:t>（4）衰变池容量可行性分析</w:t>
            </w:r>
          </w:p>
          <w:p w14:paraId="72CE2F42">
            <w:pPr>
              <w:ind w:firstLine="480"/>
              <w:rPr>
                <w:bCs/>
                <w:highlight w:val="yellow"/>
              </w:rPr>
            </w:pPr>
            <w:r>
              <w:rPr>
                <w:bCs/>
              </w:rPr>
              <w:t>根据</w:t>
            </w:r>
            <w:r>
              <w:t>表10-28，</w:t>
            </w:r>
            <w:r>
              <w:rPr>
                <w:highlight w:val="none"/>
              </w:rPr>
              <w:t>本项目</w:t>
            </w:r>
            <w:r>
              <w:rPr>
                <w:bCs/>
                <w:highlight w:val="none"/>
              </w:rPr>
              <w:t>排入衰变池的日最大废水量为</w:t>
            </w:r>
            <w:r>
              <w:rPr>
                <w:rFonts w:hint="eastAsia"/>
                <w:bCs/>
                <w:highlight w:val="none"/>
                <w:lang w:val="en-US" w:eastAsia="zh-CN"/>
              </w:rPr>
              <w:t>1226</w:t>
            </w:r>
            <w:r>
              <w:rPr>
                <w:bCs/>
                <w:highlight w:val="none"/>
              </w:rPr>
              <w:t>L，注满</w:t>
            </w:r>
            <w:r>
              <w:rPr>
                <w:highlight w:val="none"/>
              </w:rPr>
              <w:t>1#衰变池体约需</w:t>
            </w:r>
            <w:r>
              <w:rPr>
                <w:rFonts w:hint="eastAsia"/>
                <w:highlight w:val="none"/>
                <w:lang w:val="en-US" w:eastAsia="zh-CN"/>
              </w:rPr>
              <w:t>99</w:t>
            </w:r>
            <w:r>
              <w:rPr>
                <w:highlight w:val="none"/>
              </w:rPr>
              <w:t>天，此时1#衰变池体已封闭开始计算衰变时间，当注满2#、3#衰变池体时1#衰变池体已衰变约</w:t>
            </w:r>
            <w:r>
              <w:rPr>
                <w:rFonts w:hint="eastAsia"/>
                <w:highlight w:val="none"/>
                <w:lang w:val="en-US" w:eastAsia="zh-CN"/>
              </w:rPr>
              <w:t>198</w:t>
            </w:r>
            <w:r>
              <w:rPr>
                <w:highlight w:val="none"/>
              </w:rPr>
              <w:t>天，满足</w:t>
            </w:r>
            <w:r>
              <w:rPr>
                <w:bCs/>
                <w:highlight w:val="none"/>
              </w:rPr>
              <w:t>《核医学辐射防护与安全要求》（HJ1188-2021）中槽式衰变池含碘-131核素放射性废液暂存时间超过180天的要求。因此，本项目衰变池设计容积是合理的。</w:t>
            </w:r>
          </w:p>
          <w:p w14:paraId="6AF7E665">
            <w:pPr>
              <w:ind w:firstLine="480"/>
            </w:pPr>
            <w:r>
              <w:t>衰变池设有废水自动取样装置，可对放射性废水进行取样监测。建设单位应结合废水在衰变池中的储存周期，制定排水计划，按照计划定期将废水排放至医院污水管网。</w:t>
            </w:r>
          </w:p>
          <w:p w14:paraId="434E8E6D">
            <w:pPr>
              <w:ind w:firstLine="482"/>
              <w:rPr>
                <w:b/>
              </w:rPr>
            </w:pPr>
            <w:r>
              <w:rPr>
                <w:b/>
              </w:rPr>
              <w:t>（5）衰变池运行管理措施</w:t>
            </w:r>
          </w:p>
          <w:p w14:paraId="37BACE6E">
            <w:pPr>
              <w:ind w:firstLine="480"/>
              <w:rPr>
                <w:bCs/>
              </w:rPr>
            </w:pPr>
            <w:r>
              <w:rPr>
                <w:bCs/>
              </w:rPr>
              <w:t>为保障该衰变池的长效可靠运行，还需采取如下管理措施：</w:t>
            </w:r>
          </w:p>
          <w:p w14:paraId="148E1BD8">
            <w:pPr>
              <w:ind w:firstLine="480"/>
            </w:pPr>
            <w:r>
              <w:rPr>
                <w:bCs/>
              </w:rPr>
              <w:fldChar w:fldCharType="begin"/>
            </w:r>
            <w:r>
              <w:rPr>
                <w:bCs/>
              </w:rPr>
              <w:instrText xml:space="preserve"> = 1 \* GB3 </w:instrText>
            </w:r>
            <w:r>
              <w:rPr>
                <w:bCs/>
              </w:rPr>
              <w:fldChar w:fldCharType="separate"/>
            </w:r>
            <w:r>
              <w:rPr>
                <w:bCs/>
              </w:rPr>
              <w:t>①</w:t>
            </w:r>
            <w:r>
              <w:rPr>
                <w:bCs/>
              </w:rPr>
              <w:fldChar w:fldCharType="end"/>
            </w:r>
            <w:bookmarkStart w:id="51" w:name="_Hlk193893838"/>
            <w:r>
              <w:rPr>
                <w:bCs/>
              </w:rPr>
              <w:t>根据《核医学辐射防护与安全要求》（HJ1188-2021）和</w:t>
            </w:r>
            <w:r>
              <w:t>《关于核医学标准相关条款咨询的复函》（辐射函[2023]20号），</w:t>
            </w:r>
            <w:bookmarkStart w:id="52" w:name="_Hlk193893939"/>
            <w:r>
              <w:t>对于对于衰变池B放射性废水应暂存超过180天或</w:t>
            </w:r>
            <w:r>
              <w:rPr>
                <w:bCs/>
                <w:lang w:bidi="ar"/>
              </w:rPr>
              <w:t>暂存不满180天但</w:t>
            </w:r>
            <w:r>
              <w:t>经监测达标</w:t>
            </w:r>
            <w:r>
              <w:rPr>
                <w:bCs/>
              </w:rPr>
              <w:t>（</w:t>
            </w:r>
            <w:r>
              <w:t>总β≤10Bq/L、碘</w:t>
            </w:r>
            <w:r>
              <w:rPr>
                <w:bCs/>
              </w:rPr>
              <w:t>-131活度浓度</w:t>
            </w:r>
            <w:r>
              <w:t>≤10Bq/L</w:t>
            </w:r>
            <w:r>
              <w:rPr>
                <w:bCs/>
              </w:rPr>
              <w:t>）</w:t>
            </w:r>
            <w:r>
              <w:t>后排放。</w:t>
            </w:r>
            <w:bookmarkEnd w:id="51"/>
            <w:bookmarkEnd w:id="52"/>
          </w:p>
          <w:p w14:paraId="2ACEE4B1">
            <w:pPr>
              <w:ind w:firstLine="480"/>
              <w:rPr>
                <w:bCs/>
              </w:rPr>
            </w:pPr>
            <w:r>
              <w:rPr>
                <w:bCs/>
              </w:rPr>
              <w:fldChar w:fldCharType="begin"/>
            </w:r>
            <w:r>
              <w:rPr>
                <w:bCs/>
              </w:rPr>
              <w:instrText xml:space="preserve"> = 2 \* GB3 </w:instrText>
            </w:r>
            <w:r>
              <w:rPr>
                <w:bCs/>
              </w:rPr>
              <w:fldChar w:fldCharType="separate"/>
            </w:r>
            <w:r>
              <w:rPr>
                <w:bCs/>
              </w:rPr>
              <w:t>②</w:t>
            </w:r>
            <w:r>
              <w:rPr>
                <w:bCs/>
              </w:rPr>
              <w:fldChar w:fldCharType="end"/>
            </w:r>
            <w:r>
              <w:rPr>
                <w:bCs/>
              </w:rPr>
              <w:t>建设单位应严格建立放射性废水管理台账，安排专职部门或专人进行管理，放射性废水排放应建立台账，记录每次封闭暂存时间、排放时间、排放量及监测结果情况，并妥善保管。</w:t>
            </w:r>
          </w:p>
          <w:p w14:paraId="5E282F1E">
            <w:pPr>
              <w:ind w:firstLine="480"/>
              <w:rPr>
                <w:bCs/>
              </w:rPr>
            </w:pPr>
            <w:r>
              <w:rPr>
                <w:bCs/>
              </w:rPr>
              <w:fldChar w:fldCharType="begin"/>
            </w:r>
            <w:r>
              <w:rPr>
                <w:bCs/>
              </w:rPr>
              <w:instrText xml:space="preserve"> = 3 \* GB3 </w:instrText>
            </w:r>
            <w:r>
              <w:rPr>
                <w:bCs/>
              </w:rPr>
              <w:fldChar w:fldCharType="separate"/>
            </w:r>
            <w:r>
              <w:rPr>
                <w:bCs/>
              </w:rPr>
              <w:t>③</w:t>
            </w:r>
            <w:r>
              <w:rPr>
                <w:bCs/>
              </w:rPr>
              <w:fldChar w:fldCharType="end"/>
            </w:r>
            <w:r>
              <w:rPr>
                <w:bCs/>
                <w:lang w:bidi="ar"/>
              </w:rPr>
              <w:t>衰变池区应作为重点防渗区（渗透系数需≤10</w:t>
            </w:r>
            <w:r>
              <w:rPr>
                <w:bCs/>
                <w:vertAlign w:val="superscript"/>
                <w:lang w:bidi="ar"/>
              </w:rPr>
              <w:t>-7</w:t>
            </w:r>
            <w:r>
              <w:rPr>
                <w:bCs/>
                <w:lang w:bidi="ar"/>
              </w:rPr>
              <w:t>cm/s）和控制区进行独立管理，建设单位专职部门应</w:t>
            </w:r>
            <w:r>
              <w:t>定期对放射性废水管道、阀门、池体及附属安全设施（如液位报警、电控系统）及防渗设施进行维护和检修，防止“跑、冒、滴、漏”情况出现，同时防止污泥硬化淤积、堵塞进出水口、池体超压等情况发生，不得随意对下水管道进行改线或接入非放下水管道，不得设置U型下水管路，保持管道内径光滑并具有一定的下水坡度，防止出现放射性物质沉积。</w:t>
            </w:r>
          </w:p>
          <w:p w14:paraId="46A4836A">
            <w:pPr>
              <w:ind w:firstLine="482"/>
              <w:rPr>
                <w:b/>
              </w:rPr>
            </w:pPr>
            <w:r>
              <w:rPr>
                <w:b/>
              </w:rPr>
              <w:t>2、非放射性废水</w:t>
            </w:r>
          </w:p>
          <w:p w14:paraId="30525A77">
            <w:pPr>
              <w:ind w:firstLine="480"/>
            </w:pPr>
            <w:r>
              <w:t>非放射性废水主要</w:t>
            </w:r>
            <w:r>
              <w:rPr>
                <w:rFonts w:hint="eastAsia"/>
                <w:lang w:eastAsia="zh-CN"/>
              </w:rPr>
              <w:t>来自</w:t>
            </w:r>
            <w:r>
              <w:t>运行期间工作人员</w:t>
            </w:r>
            <w:r>
              <w:rPr>
                <w:bCs/>
              </w:rPr>
              <w:t>产生</w:t>
            </w:r>
            <w:r>
              <w:t>的生活废水，该部分废水经医院污水管网后排入医院污水处理站，处理达标后排入市政污水管网。</w:t>
            </w:r>
          </w:p>
          <w:p w14:paraId="626562B7">
            <w:pPr>
              <w:rPr>
                <w:rFonts w:eastAsia="黑体"/>
              </w:rPr>
            </w:pPr>
            <w:r>
              <w:rPr>
                <w:rFonts w:eastAsia="黑体"/>
              </w:rPr>
              <w:t>三、固体废物处理措施</w:t>
            </w:r>
          </w:p>
          <w:p w14:paraId="6688FE5D">
            <w:pPr>
              <w:ind w:firstLine="482"/>
              <w:rPr>
                <w:b/>
              </w:rPr>
            </w:pPr>
            <w:r>
              <w:rPr>
                <w:b/>
              </w:rPr>
              <w:t>1、放射性固废</w:t>
            </w:r>
          </w:p>
          <w:p w14:paraId="3093279A">
            <w:pPr>
              <w:ind w:firstLine="482"/>
            </w:pPr>
            <w:r>
              <w:rPr>
                <w:b/>
              </w:rPr>
              <w:t>（1）</w:t>
            </w:r>
            <w:r>
              <w:rPr>
                <w:rFonts w:hint="eastAsia"/>
                <w:b/>
                <w:lang w:eastAsia="zh-CN"/>
              </w:rPr>
              <w:t>放废暂存间</w:t>
            </w:r>
            <w:r>
              <w:rPr>
                <w:b/>
              </w:rPr>
              <w:t>容量分析</w:t>
            </w:r>
          </w:p>
          <w:p w14:paraId="1863156A">
            <w:pPr>
              <w:ind w:firstLine="480"/>
              <w:rPr>
                <w:sz w:val="24"/>
                <w:szCs w:val="24"/>
              </w:rPr>
            </w:pPr>
            <w:r>
              <w:t>根据污染源分析，本项目</w:t>
            </w:r>
            <w:r>
              <w:rPr>
                <w:bCs/>
              </w:rPr>
              <w:t>产生的放射性固废主要是：</w:t>
            </w:r>
            <w:r>
              <w:rPr>
                <w:bCs/>
                <w:sz w:val="24"/>
                <w:szCs w:val="24"/>
              </w:rPr>
              <w:t>①药物</w:t>
            </w:r>
            <w:r>
              <w:rPr>
                <w:rFonts w:hint="eastAsia"/>
                <w:bCs/>
                <w:sz w:val="24"/>
                <w:szCs w:val="24"/>
                <w:lang w:val="en-US" w:eastAsia="zh-CN"/>
              </w:rPr>
              <w:t>抽检</w:t>
            </w:r>
            <w:r>
              <w:rPr>
                <w:bCs/>
                <w:sz w:val="24"/>
                <w:szCs w:val="24"/>
              </w:rPr>
              <w:t>过</w:t>
            </w:r>
            <w:r>
              <w:rPr>
                <w:rFonts w:hint="eastAsia"/>
                <w:bCs/>
                <w:sz w:val="24"/>
                <w:szCs w:val="24"/>
                <w:lang w:eastAsia="zh-CN"/>
              </w:rPr>
              <w:t>程中</w:t>
            </w:r>
            <w:r>
              <w:rPr>
                <w:bCs/>
                <w:sz w:val="24"/>
                <w:szCs w:val="24"/>
              </w:rPr>
              <w:t>产生</w:t>
            </w:r>
            <w:r>
              <w:rPr>
                <w:rFonts w:hint="eastAsia"/>
                <w:bCs/>
                <w:sz w:val="24"/>
                <w:szCs w:val="24"/>
                <w:lang w:eastAsia="zh-CN"/>
              </w:rPr>
              <w:t>的</w:t>
            </w:r>
            <w:r>
              <w:rPr>
                <w:bCs/>
                <w:sz w:val="24"/>
                <w:szCs w:val="24"/>
              </w:rPr>
              <w:t>棉签、质检废液（卫生纸/脱脂棉球吸取）、原液玻璃瓶、试验台垫层吸水纸、pH试纸、纯化测定层析纸、移液器枪头、毛细管、稀释液玻璃瓶、擦拭废物等一次性耗材；②门诊</w:t>
            </w:r>
            <w:r>
              <w:rPr>
                <w:rFonts w:hint="eastAsia"/>
                <w:bCs/>
                <w:sz w:val="24"/>
                <w:szCs w:val="24"/>
                <w:lang w:val="en-US" w:eastAsia="zh-CN"/>
              </w:rPr>
              <w:t>病患</w:t>
            </w:r>
            <w:r>
              <w:rPr>
                <w:bCs/>
                <w:sz w:val="24"/>
                <w:szCs w:val="24"/>
              </w:rPr>
              <w:t>产生的一次性注射器/口杯</w:t>
            </w:r>
            <w:r>
              <w:rPr>
                <w:rFonts w:hint="eastAsia"/>
                <w:bCs/>
                <w:sz w:val="24"/>
                <w:szCs w:val="24"/>
                <w:lang w:eastAsia="zh-CN"/>
              </w:rPr>
              <w:t>、</w:t>
            </w:r>
            <w:r>
              <w:rPr>
                <w:rFonts w:hint="eastAsia" w:ascii="Times New Roman" w:hAnsi="Times New Roman" w:eastAsia="宋体" w:cs="Times New Roman"/>
                <w:bCs/>
                <w:spacing w:val="-11"/>
                <w:sz w:val="24"/>
                <w:szCs w:val="24"/>
                <w:lang w:val="en-US" w:eastAsia="zh-CN" w:bidi="ar-SA"/>
              </w:rPr>
              <w:t>移液瓶、</w:t>
            </w:r>
            <w:r>
              <w:rPr>
                <w:rFonts w:hint="eastAsia" w:cs="Times New Roman"/>
                <w:bCs/>
                <w:spacing w:val="-11"/>
                <w:sz w:val="24"/>
                <w:szCs w:val="24"/>
                <w:lang w:val="en-US" w:eastAsia="zh-CN" w:bidi="ar-SA"/>
              </w:rPr>
              <w:t>滤纸、塑料薄膜、胶布、橡皮泥</w:t>
            </w:r>
            <w:r>
              <w:rPr>
                <w:bCs/>
                <w:sz w:val="24"/>
                <w:szCs w:val="24"/>
              </w:rPr>
              <w:t>药棉、口罩、手套、空药瓶、台面/器皿吸收垫、滤纸及擦拭废物等；③给药后的</w:t>
            </w:r>
            <w:r>
              <w:rPr>
                <w:rFonts w:hint="eastAsia"/>
                <w:bCs/>
                <w:sz w:val="24"/>
                <w:szCs w:val="24"/>
                <w:lang w:val="en-US" w:eastAsia="zh-CN"/>
              </w:rPr>
              <w:t>病患</w:t>
            </w:r>
            <w:r>
              <w:rPr>
                <w:bCs/>
                <w:sz w:val="24"/>
                <w:szCs w:val="24"/>
              </w:rPr>
              <w:t>排泄物</w:t>
            </w:r>
            <w:r>
              <w:rPr>
                <w:rFonts w:hint="eastAsia"/>
                <w:bCs/>
                <w:sz w:val="24"/>
                <w:szCs w:val="24"/>
                <w:lang w:val="en-US" w:eastAsia="zh-CN"/>
              </w:rPr>
              <w:t>及生活垃圾</w:t>
            </w:r>
            <w:r>
              <w:rPr>
                <w:bCs/>
                <w:sz w:val="24"/>
                <w:szCs w:val="24"/>
              </w:rPr>
              <w:t>；④定期更换的废过滤器滤芯。</w:t>
            </w:r>
          </w:p>
          <w:p w14:paraId="2C394E83">
            <w:pPr>
              <w:ind w:firstLine="480"/>
              <w:rPr>
                <w:bCs/>
              </w:rPr>
            </w:pPr>
            <w:r>
              <w:rPr>
                <w:bCs/>
              </w:rPr>
              <w:t>各场所内分装室、注射室（注射/服药室）、注射后等候室、留观室等均设置放射性固废收集桶用于分类收集放射性固废，到达一定量时转入相应放废暂存间内采用放射性固废暂存容器进行暂存衰变，清洁解控后交有资质的单位进行无害化处理</w:t>
            </w:r>
            <w:r>
              <w:rPr>
                <w:rFonts w:hint="eastAsia"/>
                <w:bCs/>
              </w:rPr>
              <w:t>。</w:t>
            </w:r>
          </w:p>
          <w:p w14:paraId="2D85CA9D">
            <w:pPr>
              <w:ind w:firstLine="480"/>
            </w:pPr>
            <w:r>
              <w:rPr>
                <w:bCs/>
              </w:rPr>
              <w:t>本项目各场所内</w:t>
            </w:r>
            <w:r>
              <w:rPr>
                <w:rFonts w:hint="eastAsia"/>
                <w:bCs/>
                <w:lang w:eastAsia="zh-CN"/>
              </w:rPr>
              <w:t>放废暂存间</w:t>
            </w:r>
            <w:r>
              <w:rPr>
                <w:bCs/>
              </w:rPr>
              <w:t>设置情况见表10-</w:t>
            </w:r>
            <w:r>
              <w:rPr>
                <w:rFonts w:hint="eastAsia"/>
                <w:bCs/>
                <w:lang w:val="en-US" w:eastAsia="zh-CN"/>
              </w:rPr>
              <w:t>1</w:t>
            </w:r>
            <w:r>
              <w:rPr>
                <w:bCs/>
              </w:rPr>
              <w:t>9，放废暂存间</w:t>
            </w:r>
            <w:r>
              <w:t>的暂存能力分析见表10-</w:t>
            </w:r>
            <w:r>
              <w:rPr>
                <w:rFonts w:hint="eastAsia"/>
                <w:lang w:val="en-US" w:eastAsia="zh-CN"/>
              </w:rPr>
              <w:t>2</w:t>
            </w:r>
            <w:r>
              <w:t>0。</w:t>
            </w:r>
          </w:p>
          <w:p w14:paraId="00BAA668">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1</w:t>
            </w:r>
            <w:r>
              <w:rPr>
                <w:rFonts w:eastAsia="黑体"/>
                <w:bCs/>
                <w:sz w:val="21"/>
                <w:szCs w:val="21"/>
              </w:rPr>
              <w:t>9  放废暂存间设置情况一览表</w:t>
            </w:r>
          </w:p>
          <w:tbl>
            <w:tblPr>
              <w:tblStyle w:val="58"/>
              <w:tblW w:w="4997"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404"/>
              <w:gridCol w:w="1814"/>
              <w:gridCol w:w="2821"/>
              <w:gridCol w:w="1755"/>
            </w:tblGrid>
            <w:tr w14:paraId="2D0A9C5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366" w:type="pct"/>
                  <w:vAlign w:val="center"/>
                </w:tcPr>
                <w:p w14:paraId="138E8E32">
                  <w:pPr>
                    <w:spacing w:line="360" w:lineRule="exact"/>
                    <w:jc w:val="center"/>
                    <w:rPr>
                      <w:b/>
                      <w:bCs/>
                      <w:spacing w:val="-6"/>
                      <w:sz w:val="21"/>
                      <w:szCs w:val="21"/>
                    </w:rPr>
                  </w:pPr>
                  <w:r>
                    <w:rPr>
                      <w:b/>
                      <w:bCs/>
                      <w:spacing w:val="-6"/>
                      <w:sz w:val="21"/>
                      <w:szCs w:val="21"/>
                    </w:rPr>
                    <w:t>工作场所</w:t>
                  </w:r>
                </w:p>
              </w:tc>
              <w:tc>
                <w:tcPr>
                  <w:tcW w:w="1031" w:type="pct"/>
                  <w:vAlign w:val="center"/>
                </w:tcPr>
                <w:p w14:paraId="5EF1C04C">
                  <w:pPr>
                    <w:spacing w:line="360" w:lineRule="exact"/>
                    <w:jc w:val="center"/>
                    <w:rPr>
                      <w:b/>
                      <w:bCs/>
                      <w:spacing w:val="-6"/>
                      <w:sz w:val="21"/>
                      <w:szCs w:val="21"/>
                    </w:rPr>
                  </w:pPr>
                  <w:r>
                    <w:rPr>
                      <w:b/>
                      <w:bCs/>
                      <w:spacing w:val="-6"/>
                      <w:sz w:val="21"/>
                      <w:szCs w:val="21"/>
                    </w:rPr>
                    <w:t>暂存场所</w:t>
                  </w:r>
                </w:p>
              </w:tc>
              <w:tc>
                <w:tcPr>
                  <w:tcW w:w="1603" w:type="pct"/>
                  <w:vAlign w:val="center"/>
                </w:tcPr>
                <w:p w14:paraId="7B6B086C">
                  <w:pPr>
                    <w:spacing w:line="360" w:lineRule="exact"/>
                    <w:jc w:val="center"/>
                    <w:rPr>
                      <w:b/>
                      <w:bCs/>
                      <w:spacing w:val="-6"/>
                      <w:sz w:val="21"/>
                      <w:szCs w:val="21"/>
                    </w:rPr>
                  </w:pPr>
                  <w:r>
                    <w:rPr>
                      <w:b/>
                      <w:bCs/>
                      <w:spacing w:val="-6"/>
                      <w:sz w:val="21"/>
                      <w:szCs w:val="21"/>
                    </w:rPr>
                    <w:t>净空尺寸</w:t>
                  </w:r>
                </w:p>
              </w:tc>
              <w:tc>
                <w:tcPr>
                  <w:tcW w:w="997" w:type="pct"/>
                  <w:vAlign w:val="center"/>
                </w:tcPr>
                <w:p w14:paraId="542F1377">
                  <w:pPr>
                    <w:spacing w:line="360" w:lineRule="exact"/>
                    <w:jc w:val="center"/>
                    <w:rPr>
                      <w:b/>
                      <w:bCs/>
                      <w:spacing w:val="-6"/>
                      <w:sz w:val="21"/>
                      <w:szCs w:val="21"/>
                    </w:rPr>
                  </w:pPr>
                  <w:r>
                    <w:rPr>
                      <w:b/>
                      <w:bCs/>
                      <w:spacing w:val="-6"/>
                      <w:sz w:val="21"/>
                      <w:szCs w:val="21"/>
                    </w:rPr>
                    <w:t>有效容积*（m</w:t>
                  </w:r>
                  <w:r>
                    <w:rPr>
                      <w:b/>
                      <w:bCs/>
                      <w:sz w:val="21"/>
                      <w:szCs w:val="21"/>
                      <w:vertAlign w:val="superscript"/>
                    </w:rPr>
                    <w:t>3</w:t>
                  </w:r>
                  <w:r>
                    <w:rPr>
                      <w:b/>
                      <w:bCs/>
                      <w:spacing w:val="-6"/>
                      <w:sz w:val="21"/>
                      <w:szCs w:val="21"/>
                    </w:rPr>
                    <w:t>）</w:t>
                  </w:r>
                </w:p>
              </w:tc>
            </w:tr>
            <w:tr w14:paraId="2A280FD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366" w:type="pct"/>
                  <w:vAlign w:val="center"/>
                </w:tcPr>
                <w:p w14:paraId="0B1D775A">
                  <w:pPr>
                    <w:spacing w:line="360" w:lineRule="exact"/>
                    <w:jc w:val="center"/>
                    <w:rPr>
                      <w:rFonts w:hint="eastAsia" w:eastAsia="宋体"/>
                      <w:spacing w:val="-6"/>
                      <w:sz w:val="21"/>
                      <w:szCs w:val="21"/>
                      <w:lang w:eastAsia="zh-CN"/>
                    </w:rPr>
                  </w:pPr>
                  <w:r>
                    <w:rPr>
                      <w:spacing w:val="-6"/>
                      <w:sz w:val="21"/>
                      <w:szCs w:val="21"/>
                    </w:rPr>
                    <w:t>负</w:t>
                  </w:r>
                  <w:r>
                    <w:rPr>
                      <w:rFonts w:hint="eastAsia"/>
                      <w:spacing w:val="-6"/>
                      <w:sz w:val="21"/>
                      <w:szCs w:val="21"/>
                      <w:lang w:val="en-US" w:eastAsia="zh-CN"/>
                    </w:rPr>
                    <w:t>一</w:t>
                  </w:r>
                  <w:r>
                    <w:rPr>
                      <w:spacing w:val="-6"/>
                      <w:sz w:val="21"/>
                      <w:szCs w:val="21"/>
                    </w:rPr>
                    <w:t>层</w:t>
                  </w:r>
                  <w:r>
                    <w:rPr>
                      <w:rFonts w:hint="eastAsia"/>
                      <w:spacing w:val="-6"/>
                      <w:sz w:val="21"/>
                      <w:szCs w:val="21"/>
                      <w:lang w:val="en-US" w:eastAsia="zh-CN"/>
                    </w:rPr>
                    <w:t>核医学科</w:t>
                  </w:r>
                </w:p>
              </w:tc>
              <w:tc>
                <w:tcPr>
                  <w:tcW w:w="1031" w:type="pct"/>
                  <w:vAlign w:val="center"/>
                </w:tcPr>
                <w:p w14:paraId="047869D4">
                  <w:pPr>
                    <w:spacing w:line="360" w:lineRule="exact"/>
                    <w:jc w:val="center"/>
                    <w:rPr>
                      <w:spacing w:val="-6"/>
                      <w:sz w:val="21"/>
                      <w:szCs w:val="21"/>
                    </w:rPr>
                  </w:pPr>
                  <w:r>
                    <w:rPr>
                      <w:spacing w:val="-6"/>
                      <w:sz w:val="21"/>
                      <w:szCs w:val="21"/>
                    </w:rPr>
                    <w:t>放废暂存间</w:t>
                  </w:r>
                </w:p>
              </w:tc>
              <w:tc>
                <w:tcPr>
                  <w:tcW w:w="1603" w:type="pct"/>
                  <w:vAlign w:val="center"/>
                </w:tcPr>
                <w:p w14:paraId="1A808AFD">
                  <w:pPr>
                    <w:spacing w:line="360" w:lineRule="exact"/>
                    <w:jc w:val="center"/>
                    <w:rPr>
                      <w:spacing w:val="-6"/>
                      <w:sz w:val="21"/>
                      <w:szCs w:val="21"/>
                    </w:rPr>
                  </w:pPr>
                  <w:r>
                    <w:rPr>
                      <w:spacing w:val="-6"/>
                      <w:sz w:val="21"/>
                      <w:szCs w:val="21"/>
                    </w:rPr>
                    <w:t>长</w:t>
                  </w:r>
                  <w:r>
                    <w:rPr>
                      <w:rFonts w:hint="eastAsia"/>
                      <w:spacing w:val="-6"/>
                      <w:sz w:val="21"/>
                      <w:szCs w:val="21"/>
                      <w:lang w:val="en-US" w:eastAsia="zh-CN"/>
                    </w:rPr>
                    <w:t>3.5</w:t>
                  </w:r>
                  <w:r>
                    <w:rPr>
                      <w:spacing w:val="-6"/>
                      <w:sz w:val="21"/>
                      <w:szCs w:val="21"/>
                    </w:rPr>
                    <w:t>m×宽</w:t>
                  </w:r>
                  <w:r>
                    <w:rPr>
                      <w:rFonts w:hint="eastAsia"/>
                      <w:spacing w:val="-6"/>
                      <w:sz w:val="21"/>
                      <w:szCs w:val="21"/>
                      <w:lang w:val="en-US" w:eastAsia="zh-CN"/>
                    </w:rPr>
                    <w:t>2.0</w:t>
                  </w:r>
                  <w:r>
                    <w:rPr>
                      <w:spacing w:val="-6"/>
                      <w:sz w:val="21"/>
                      <w:szCs w:val="21"/>
                    </w:rPr>
                    <w:t>m×高</w:t>
                  </w:r>
                  <w:r>
                    <w:rPr>
                      <w:rFonts w:hint="eastAsia"/>
                      <w:spacing w:val="-6"/>
                      <w:sz w:val="21"/>
                      <w:szCs w:val="21"/>
                      <w:lang w:val="en-US" w:eastAsia="zh-CN"/>
                    </w:rPr>
                    <w:t>4.7</w:t>
                  </w:r>
                  <w:r>
                    <w:rPr>
                      <w:spacing w:val="-6"/>
                      <w:sz w:val="21"/>
                      <w:szCs w:val="21"/>
                    </w:rPr>
                    <w:t>m</w:t>
                  </w:r>
                </w:p>
              </w:tc>
              <w:tc>
                <w:tcPr>
                  <w:tcW w:w="997" w:type="pct"/>
                  <w:vAlign w:val="center"/>
                </w:tcPr>
                <w:p w14:paraId="5060BC63">
                  <w:pPr>
                    <w:spacing w:line="360" w:lineRule="exact"/>
                    <w:jc w:val="center"/>
                    <w:rPr>
                      <w:rFonts w:hint="default" w:eastAsia="宋体"/>
                      <w:spacing w:val="-6"/>
                      <w:sz w:val="21"/>
                      <w:szCs w:val="21"/>
                      <w:lang w:val="en-US" w:eastAsia="zh-CN"/>
                    </w:rPr>
                  </w:pPr>
                  <w:r>
                    <w:rPr>
                      <w:rFonts w:hint="eastAsia"/>
                      <w:spacing w:val="-6"/>
                      <w:sz w:val="21"/>
                      <w:szCs w:val="21"/>
                      <w:lang w:val="en-US" w:eastAsia="zh-CN"/>
                    </w:rPr>
                    <w:t>12.6</w:t>
                  </w:r>
                </w:p>
              </w:tc>
            </w:tr>
          </w:tbl>
          <w:p w14:paraId="6FBC97D5">
            <w:pPr>
              <w:spacing w:line="240" w:lineRule="auto"/>
              <w:rPr>
                <w:rFonts w:eastAsia="黑体"/>
                <w:bCs/>
                <w:sz w:val="21"/>
                <w:szCs w:val="21"/>
              </w:rPr>
            </w:pPr>
            <w:r>
              <w:rPr>
                <w:rFonts w:eastAsia="黑体"/>
                <w:bCs/>
                <w:sz w:val="21"/>
                <w:szCs w:val="21"/>
              </w:rPr>
              <w:t>*注：有效容积保守按废物暂存高度1.8m计算。</w:t>
            </w:r>
          </w:p>
          <w:p w14:paraId="3119CA67">
            <w:pPr>
              <w:spacing w:before="163" w:line="240" w:lineRule="auto"/>
              <w:jc w:val="center"/>
              <w:rPr>
                <w:rFonts w:eastAsia="黑体"/>
                <w:bCs/>
                <w:sz w:val="21"/>
                <w:szCs w:val="21"/>
                <w:highlight w:val="none"/>
              </w:rPr>
            </w:pPr>
            <w:r>
              <w:rPr>
                <w:rFonts w:eastAsia="黑体"/>
                <w:bCs/>
                <w:sz w:val="21"/>
                <w:szCs w:val="21"/>
                <w:highlight w:val="none"/>
              </w:rPr>
              <w:t>表10-</w:t>
            </w:r>
            <w:r>
              <w:rPr>
                <w:rFonts w:hint="eastAsia" w:eastAsia="黑体"/>
                <w:bCs/>
                <w:sz w:val="21"/>
                <w:szCs w:val="21"/>
                <w:highlight w:val="none"/>
                <w:lang w:val="en-US" w:eastAsia="zh-CN"/>
              </w:rPr>
              <w:t>2</w:t>
            </w:r>
            <w:r>
              <w:rPr>
                <w:rFonts w:eastAsia="黑体"/>
                <w:bCs/>
                <w:sz w:val="21"/>
                <w:szCs w:val="21"/>
                <w:highlight w:val="none"/>
              </w:rPr>
              <w:t>0  放废暂存间暂存能力分析表</w:t>
            </w:r>
          </w:p>
          <w:tbl>
            <w:tblPr>
              <w:tblStyle w:val="57"/>
              <w:tblW w:w="873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5"/>
              <w:gridCol w:w="1312"/>
              <w:gridCol w:w="735"/>
              <w:gridCol w:w="930"/>
              <w:gridCol w:w="930"/>
              <w:gridCol w:w="780"/>
              <w:gridCol w:w="900"/>
              <w:gridCol w:w="780"/>
              <w:gridCol w:w="780"/>
              <w:gridCol w:w="694"/>
            </w:tblGrid>
            <w:tr w14:paraId="518434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512" w:type="pct"/>
                  <w:vAlign w:val="center"/>
                </w:tcPr>
                <w:p w14:paraId="74E55106">
                  <w:pPr>
                    <w:spacing w:line="240" w:lineRule="auto"/>
                    <w:jc w:val="center"/>
                    <w:rPr>
                      <w:b/>
                      <w:bCs/>
                      <w:spacing w:val="-11"/>
                      <w:sz w:val="18"/>
                      <w:szCs w:val="18"/>
                      <w:highlight w:val="none"/>
                    </w:rPr>
                  </w:pPr>
                  <w:r>
                    <w:rPr>
                      <w:b/>
                      <w:bCs/>
                      <w:spacing w:val="-11"/>
                      <w:sz w:val="18"/>
                      <w:szCs w:val="18"/>
                      <w:highlight w:val="none"/>
                    </w:rPr>
                    <w:t>核素</w:t>
                  </w:r>
                </w:p>
              </w:tc>
              <w:tc>
                <w:tcPr>
                  <w:tcW w:w="750" w:type="pct"/>
                  <w:vAlign w:val="center"/>
                </w:tcPr>
                <w:p w14:paraId="1C6252A3">
                  <w:pPr>
                    <w:spacing w:line="240" w:lineRule="auto"/>
                    <w:jc w:val="center"/>
                    <w:rPr>
                      <w:b/>
                      <w:bCs/>
                      <w:spacing w:val="-11"/>
                      <w:sz w:val="18"/>
                      <w:szCs w:val="18"/>
                      <w:highlight w:val="none"/>
                    </w:rPr>
                  </w:pPr>
                  <w:r>
                    <w:rPr>
                      <w:b/>
                      <w:bCs/>
                      <w:spacing w:val="-11"/>
                      <w:sz w:val="18"/>
                      <w:szCs w:val="18"/>
                      <w:highlight w:val="none"/>
                    </w:rPr>
                    <w:t>产生来源</w:t>
                  </w:r>
                </w:p>
              </w:tc>
              <w:tc>
                <w:tcPr>
                  <w:tcW w:w="420" w:type="pct"/>
                  <w:vAlign w:val="center"/>
                </w:tcPr>
                <w:p w14:paraId="0308E9A5">
                  <w:pPr>
                    <w:spacing w:line="240" w:lineRule="auto"/>
                    <w:jc w:val="center"/>
                    <w:rPr>
                      <w:b/>
                      <w:bCs/>
                      <w:spacing w:val="-11"/>
                      <w:sz w:val="18"/>
                      <w:szCs w:val="18"/>
                      <w:highlight w:val="none"/>
                    </w:rPr>
                  </w:pPr>
                  <w:r>
                    <w:rPr>
                      <w:b/>
                      <w:bCs/>
                      <w:spacing w:val="-11"/>
                      <w:sz w:val="18"/>
                      <w:szCs w:val="18"/>
                      <w:highlight w:val="none"/>
                    </w:rPr>
                    <w:t>废物所含核素半衰期</w:t>
                  </w:r>
                </w:p>
              </w:tc>
              <w:tc>
                <w:tcPr>
                  <w:tcW w:w="532" w:type="pct"/>
                  <w:vAlign w:val="center"/>
                </w:tcPr>
                <w:p w14:paraId="07F81BC9">
                  <w:pPr>
                    <w:spacing w:line="240" w:lineRule="auto"/>
                    <w:jc w:val="center"/>
                    <w:rPr>
                      <w:b/>
                      <w:bCs/>
                      <w:spacing w:val="-11"/>
                      <w:sz w:val="18"/>
                      <w:szCs w:val="18"/>
                      <w:highlight w:val="none"/>
                    </w:rPr>
                  </w:pPr>
                  <w:r>
                    <w:rPr>
                      <w:b/>
                      <w:bCs/>
                      <w:spacing w:val="-11"/>
                      <w:sz w:val="18"/>
                      <w:szCs w:val="18"/>
                      <w:highlight w:val="none"/>
                    </w:rPr>
                    <w:t>暂存时间</w:t>
                  </w:r>
                  <w:r>
                    <w:rPr>
                      <w:rFonts w:eastAsia="黑体"/>
                      <w:b/>
                      <w:bCs/>
                      <w:spacing w:val="-11"/>
                      <w:sz w:val="18"/>
                      <w:szCs w:val="18"/>
                      <w:highlight w:val="none"/>
                      <w:vertAlign w:val="superscript"/>
                    </w:rPr>
                    <w:t>②</w:t>
                  </w:r>
                </w:p>
              </w:tc>
              <w:tc>
                <w:tcPr>
                  <w:tcW w:w="532" w:type="pct"/>
                  <w:vAlign w:val="center"/>
                </w:tcPr>
                <w:p w14:paraId="544EB461">
                  <w:pPr>
                    <w:spacing w:line="240" w:lineRule="auto"/>
                    <w:jc w:val="center"/>
                    <w:rPr>
                      <w:b/>
                      <w:bCs/>
                      <w:spacing w:val="-11"/>
                      <w:sz w:val="18"/>
                      <w:szCs w:val="18"/>
                      <w:highlight w:val="none"/>
                    </w:rPr>
                  </w:pPr>
                  <w:r>
                    <w:rPr>
                      <w:b/>
                      <w:bCs/>
                      <w:spacing w:val="-11"/>
                      <w:sz w:val="18"/>
                      <w:szCs w:val="18"/>
                      <w:highlight w:val="none"/>
                    </w:rPr>
                    <w:t>暂存时间内工作日天数</w:t>
                  </w:r>
                </w:p>
              </w:tc>
              <w:tc>
                <w:tcPr>
                  <w:tcW w:w="446" w:type="pct"/>
                  <w:vAlign w:val="center"/>
                </w:tcPr>
                <w:p w14:paraId="1E4F7553">
                  <w:pPr>
                    <w:spacing w:line="240" w:lineRule="auto"/>
                    <w:jc w:val="center"/>
                    <w:rPr>
                      <w:b/>
                      <w:bCs/>
                      <w:spacing w:val="-11"/>
                      <w:sz w:val="18"/>
                      <w:szCs w:val="18"/>
                      <w:highlight w:val="none"/>
                    </w:rPr>
                  </w:pPr>
                  <w:r>
                    <w:rPr>
                      <w:b/>
                      <w:bCs/>
                      <w:spacing w:val="-11"/>
                      <w:sz w:val="18"/>
                      <w:szCs w:val="18"/>
                      <w:highlight w:val="none"/>
                    </w:rPr>
                    <w:t>日产生量(kg/d)</w:t>
                  </w:r>
                </w:p>
              </w:tc>
              <w:tc>
                <w:tcPr>
                  <w:tcW w:w="515" w:type="pct"/>
                  <w:vAlign w:val="center"/>
                </w:tcPr>
                <w:p w14:paraId="6954A96C">
                  <w:pPr>
                    <w:spacing w:line="240" w:lineRule="auto"/>
                    <w:jc w:val="center"/>
                    <w:rPr>
                      <w:b/>
                      <w:bCs/>
                      <w:spacing w:val="-11"/>
                      <w:sz w:val="18"/>
                      <w:szCs w:val="18"/>
                      <w:highlight w:val="none"/>
                    </w:rPr>
                  </w:pPr>
                  <w:r>
                    <w:rPr>
                      <w:b/>
                      <w:bCs/>
                      <w:spacing w:val="-11"/>
                      <w:sz w:val="18"/>
                      <w:szCs w:val="18"/>
                      <w:highlight w:val="none"/>
                    </w:rPr>
                    <w:t>暂存周期内产生量（kg）</w:t>
                  </w:r>
                </w:p>
              </w:tc>
              <w:tc>
                <w:tcPr>
                  <w:tcW w:w="446" w:type="pct"/>
                  <w:vAlign w:val="center"/>
                </w:tcPr>
                <w:p w14:paraId="6FF47DE1">
                  <w:pPr>
                    <w:spacing w:line="240" w:lineRule="auto"/>
                    <w:jc w:val="center"/>
                    <w:rPr>
                      <w:b/>
                      <w:bCs/>
                      <w:spacing w:val="-11"/>
                      <w:sz w:val="18"/>
                      <w:szCs w:val="18"/>
                      <w:highlight w:val="none"/>
                    </w:rPr>
                  </w:pPr>
                  <w:r>
                    <w:rPr>
                      <w:b/>
                      <w:bCs/>
                      <w:spacing w:val="-11"/>
                      <w:sz w:val="18"/>
                      <w:szCs w:val="18"/>
                      <w:highlight w:val="none"/>
                    </w:rPr>
                    <w:t>暂存密度</w:t>
                  </w:r>
                  <w:r>
                    <w:rPr>
                      <w:rFonts w:eastAsia="黑体"/>
                      <w:b/>
                      <w:bCs/>
                      <w:spacing w:val="-11"/>
                      <w:sz w:val="18"/>
                      <w:szCs w:val="18"/>
                      <w:highlight w:val="none"/>
                      <w:vertAlign w:val="superscript"/>
                    </w:rPr>
                    <w:t>①</w:t>
                  </w:r>
                  <w:r>
                    <w:rPr>
                      <w:rFonts w:eastAsia="黑体"/>
                      <w:b/>
                      <w:bCs/>
                      <w:spacing w:val="-17"/>
                      <w:sz w:val="18"/>
                      <w:szCs w:val="18"/>
                      <w:highlight w:val="none"/>
                    </w:rPr>
                    <w:t>(</w:t>
                  </w:r>
                  <w:r>
                    <w:rPr>
                      <w:b/>
                      <w:bCs/>
                      <w:spacing w:val="-17"/>
                      <w:sz w:val="18"/>
                      <w:szCs w:val="18"/>
                      <w:highlight w:val="none"/>
                    </w:rPr>
                    <w:t>kg/m</w:t>
                  </w:r>
                  <w:r>
                    <w:rPr>
                      <w:b/>
                      <w:bCs/>
                      <w:spacing w:val="-17"/>
                      <w:sz w:val="18"/>
                      <w:szCs w:val="18"/>
                      <w:highlight w:val="none"/>
                      <w:vertAlign w:val="superscript"/>
                    </w:rPr>
                    <w:t>3</w:t>
                  </w:r>
                  <w:r>
                    <w:rPr>
                      <w:b/>
                      <w:bCs/>
                      <w:spacing w:val="-17"/>
                      <w:sz w:val="18"/>
                      <w:szCs w:val="18"/>
                      <w:highlight w:val="none"/>
                    </w:rPr>
                    <w:t>)</w:t>
                  </w:r>
                </w:p>
              </w:tc>
              <w:tc>
                <w:tcPr>
                  <w:tcW w:w="446" w:type="pct"/>
                  <w:vAlign w:val="center"/>
                </w:tcPr>
                <w:p w14:paraId="118E254A">
                  <w:pPr>
                    <w:spacing w:line="240" w:lineRule="auto"/>
                    <w:jc w:val="center"/>
                    <w:rPr>
                      <w:b/>
                      <w:bCs/>
                      <w:spacing w:val="-11"/>
                      <w:sz w:val="18"/>
                      <w:szCs w:val="18"/>
                      <w:highlight w:val="none"/>
                    </w:rPr>
                  </w:pPr>
                  <w:r>
                    <w:rPr>
                      <w:b/>
                      <w:bCs/>
                      <w:spacing w:val="-11"/>
                      <w:sz w:val="18"/>
                      <w:szCs w:val="18"/>
                      <w:highlight w:val="none"/>
                    </w:rPr>
                    <w:t>暂存所需容积(m</w:t>
                  </w:r>
                  <w:r>
                    <w:rPr>
                      <w:b/>
                      <w:bCs/>
                      <w:spacing w:val="-11"/>
                      <w:sz w:val="18"/>
                      <w:szCs w:val="18"/>
                      <w:highlight w:val="none"/>
                      <w:vertAlign w:val="superscript"/>
                    </w:rPr>
                    <w:t>3</w:t>
                  </w:r>
                  <w:r>
                    <w:rPr>
                      <w:b/>
                      <w:bCs/>
                      <w:spacing w:val="-11"/>
                      <w:sz w:val="18"/>
                      <w:szCs w:val="18"/>
                      <w:highlight w:val="none"/>
                    </w:rPr>
                    <w:t>)</w:t>
                  </w:r>
                </w:p>
              </w:tc>
              <w:tc>
                <w:tcPr>
                  <w:tcW w:w="397" w:type="pct"/>
                  <w:vAlign w:val="center"/>
                </w:tcPr>
                <w:p w14:paraId="153947CD">
                  <w:pPr>
                    <w:spacing w:line="240" w:lineRule="auto"/>
                    <w:jc w:val="center"/>
                    <w:rPr>
                      <w:b/>
                      <w:bCs/>
                      <w:spacing w:val="-11"/>
                      <w:sz w:val="18"/>
                      <w:szCs w:val="18"/>
                      <w:highlight w:val="none"/>
                    </w:rPr>
                  </w:pPr>
                  <w:r>
                    <w:rPr>
                      <w:b/>
                      <w:bCs/>
                      <w:spacing w:val="-11"/>
                      <w:sz w:val="18"/>
                      <w:szCs w:val="18"/>
                      <w:highlight w:val="none"/>
                    </w:rPr>
                    <w:t>暂存场所容积(m</w:t>
                  </w:r>
                  <w:r>
                    <w:rPr>
                      <w:b/>
                      <w:bCs/>
                      <w:spacing w:val="-11"/>
                      <w:sz w:val="18"/>
                      <w:szCs w:val="18"/>
                      <w:highlight w:val="none"/>
                      <w:vertAlign w:val="superscript"/>
                    </w:rPr>
                    <w:t>3</w:t>
                  </w:r>
                  <w:r>
                    <w:rPr>
                      <w:b/>
                      <w:bCs/>
                      <w:spacing w:val="-11"/>
                      <w:sz w:val="18"/>
                      <w:szCs w:val="18"/>
                      <w:highlight w:val="none"/>
                    </w:rPr>
                    <w:t>)</w:t>
                  </w:r>
                </w:p>
              </w:tc>
            </w:tr>
            <w:tr w14:paraId="0EC638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512" w:type="pct"/>
                  <w:vAlign w:val="center"/>
                </w:tcPr>
                <w:p w14:paraId="1A757DA8">
                  <w:pPr>
                    <w:spacing w:line="240" w:lineRule="auto"/>
                    <w:jc w:val="center"/>
                    <w:rPr>
                      <w:spacing w:val="-17"/>
                      <w:sz w:val="18"/>
                      <w:szCs w:val="18"/>
                      <w:highlight w:val="none"/>
                    </w:rPr>
                  </w:pPr>
                  <w:r>
                    <w:rPr>
                      <w:bCs/>
                      <w:spacing w:val="-17"/>
                      <w:sz w:val="18"/>
                      <w:szCs w:val="18"/>
                      <w:highlight w:val="none"/>
                      <w:vertAlign w:val="superscript"/>
                    </w:rPr>
                    <w:t>18</w:t>
                  </w:r>
                  <w:r>
                    <w:rPr>
                      <w:bCs/>
                      <w:spacing w:val="-17"/>
                      <w:sz w:val="18"/>
                      <w:szCs w:val="18"/>
                      <w:highlight w:val="none"/>
                    </w:rPr>
                    <w:t>F、</w:t>
                  </w:r>
                  <w:r>
                    <w:rPr>
                      <w:bCs/>
                      <w:spacing w:val="-17"/>
                      <w:sz w:val="18"/>
                      <w:szCs w:val="18"/>
                      <w:highlight w:val="none"/>
                      <w:vertAlign w:val="superscript"/>
                    </w:rPr>
                    <w:t>68</w:t>
                  </w:r>
                  <w:r>
                    <w:rPr>
                      <w:bCs/>
                      <w:spacing w:val="-17"/>
                      <w:sz w:val="18"/>
                      <w:szCs w:val="18"/>
                      <w:highlight w:val="none"/>
                    </w:rPr>
                    <w:t>Ga</w:t>
                  </w:r>
                  <w:r>
                    <w:rPr>
                      <w:rFonts w:hint="eastAsia"/>
                      <w:bCs/>
                      <w:spacing w:val="-17"/>
                      <w:sz w:val="18"/>
                      <w:szCs w:val="18"/>
                      <w:highlight w:val="none"/>
                      <w:lang w:eastAsia="zh-CN"/>
                    </w:rPr>
                    <w:t>、</w:t>
                  </w:r>
                  <w:r>
                    <w:rPr>
                      <w:bCs/>
                      <w:spacing w:val="-11"/>
                      <w:sz w:val="18"/>
                      <w:szCs w:val="18"/>
                      <w:highlight w:val="none"/>
                      <w:vertAlign w:val="superscript"/>
                    </w:rPr>
                    <w:t>99m</w:t>
                  </w:r>
                  <w:r>
                    <w:rPr>
                      <w:bCs/>
                      <w:spacing w:val="-11"/>
                      <w:sz w:val="18"/>
                      <w:szCs w:val="18"/>
                      <w:highlight w:val="none"/>
                    </w:rPr>
                    <w:t>Tc</w:t>
                  </w:r>
                </w:p>
              </w:tc>
              <w:tc>
                <w:tcPr>
                  <w:tcW w:w="750" w:type="pct"/>
                  <w:vAlign w:val="center"/>
                </w:tcPr>
                <w:p w14:paraId="286263CF">
                  <w:pPr>
                    <w:spacing w:line="240" w:lineRule="auto"/>
                    <w:ind w:left="-72" w:right="-72"/>
                    <w:jc w:val="center"/>
                    <w:rPr>
                      <w:spacing w:val="-11"/>
                      <w:sz w:val="18"/>
                      <w:szCs w:val="18"/>
                      <w:highlight w:val="none"/>
                    </w:rPr>
                  </w:pPr>
                  <w:r>
                    <w:rPr>
                      <w:bCs/>
                      <w:spacing w:val="-17"/>
                      <w:sz w:val="18"/>
                      <w:szCs w:val="18"/>
                      <w:highlight w:val="none"/>
                    </w:rPr>
                    <w:t>使用过的一次性注射器、口罩、手套、空药瓶、棉签及擦拭废物等</w:t>
                  </w:r>
                </w:p>
              </w:tc>
              <w:tc>
                <w:tcPr>
                  <w:tcW w:w="420" w:type="pct"/>
                  <w:vAlign w:val="center"/>
                </w:tcPr>
                <w:p w14:paraId="619BC481">
                  <w:pPr>
                    <w:spacing w:line="240" w:lineRule="auto"/>
                    <w:jc w:val="center"/>
                    <w:rPr>
                      <w:spacing w:val="-11"/>
                      <w:sz w:val="18"/>
                      <w:szCs w:val="18"/>
                      <w:highlight w:val="none"/>
                    </w:rPr>
                  </w:pPr>
                  <w:r>
                    <w:rPr>
                      <w:spacing w:val="-11"/>
                      <w:sz w:val="18"/>
                      <w:szCs w:val="18"/>
                      <w:highlight w:val="none"/>
                    </w:rPr>
                    <w:t>＜24h（核素混装）</w:t>
                  </w:r>
                </w:p>
              </w:tc>
              <w:tc>
                <w:tcPr>
                  <w:tcW w:w="532" w:type="pct"/>
                  <w:vAlign w:val="center"/>
                </w:tcPr>
                <w:p w14:paraId="2FCE6D91">
                  <w:pPr>
                    <w:spacing w:line="240" w:lineRule="auto"/>
                    <w:jc w:val="center"/>
                    <w:rPr>
                      <w:spacing w:val="-11"/>
                      <w:sz w:val="18"/>
                      <w:szCs w:val="18"/>
                      <w:highlight w:val="none"/>
                    </w:rPr>
                  </w:pPr>
                  <w:r>
                    <w:rPr>
                      <w:rFonts w:hint="eastAsia"/>
                      <w:spacing w:val="-11"/>
                      <w:sz w:val="18"/>
                      <w:szCs w:val="18"/>
                      <w:highlight w:val="none"/>
                      <w:lang w:val="en-US" w:eastAsia="zh-CN"/>
                    </w:rPr>
                    <w:t>60.2</w:t>
                  </w:r>
                  <w:r>
                    <w:rPr>
                      <w:spacing w:val="-11"/>
                      <w:sz w:val="18"/>
                      <w:szCs w:val="18"/>
                      <w:highlight w:val="none"/>
                    </w:rPr>
                    <w:t>d（以</w:t>
                  </w:r>
                  <w:r>
                    <w:rPr>
                      <w:rFonts w:hint="eastAsia"/>
                      <w:spacing w:val="-11"/>
                      <w:sz w:val="18"/>
                      <w:szCs w:val="18"/>
                      <w:highlight w:val="none"/>
                      <w:vertAlign w:val="superscript"/>
                      <w:lang w:val="en-US" w:eastAsia="zh-CN"/>
                    </w:rPr>
                    <w:t>99m</w:t>
                  </w:r>
                  <w:r>
                    <w:rPr>
                      <w:rFonts w:hint="eastAsia"/>
                      <w:spacing w:val="-11"/>
                      <w:sz w:val="18"/>
                      <w:szCs w:val="18"/>
                      <w:highlight w:val="none"/>
                      <w:vertAlign w:val="baseline"/>
                      <w:lang w:val="en-US" w:eastAsia="zh-CN"/>
                    </w:rPr>
                    <w:t>Tc</w:t>
                  </w:r>
                  <w:r>
                    <w:rPr>
                      <w:spacing w:val="-11"/>
                      <w:sz w:val="18"/>
                      <w:szCs w:val="18"/>
                      <w:highlight w:val="none"/>
                    </w:rPr>
                    <w:t>计）</w:t>
                  </w:r>
                </w:p>
              </w:tc>
              <w:tc>
                <w:tcPr>
                  <w:tcW w:w="532" w:type="pct"/>
                  <w:vAlign w:val="center"/>
                </w:tcPr>
                <w:p w14:paraId="1D4E3250">
                  <w:pPr>
                    <w:spacing w:line="240" w:lineRule="auto"/>
                    <w:jc w:val="center"/>
                    <w:rPr>
                      <w:spacing w:val="-11"/>
                      <w:sz w:val="18"/>
                      <w:szCs w:val="18"/>
                      <w:highlight w:val="none"/>
                    </w:rPr>
                  </w:pPr>
                  <w:r>
                    <w:rPr>
                      <w:rFonts w:hint="eastAsia"/>
                      <w:spacing w:val="-11"/>
                      <w:sz w:val="18"/>
                      <w:szCs w:val="18"/>
                      <w:highlight w:val="none"/>
                      <w:lang w:val="en-US" w:eastAsia="zh-CN"/>
                    </w:rPr>
                    <w:t>41</w:t>
                  </w:r>
                  <w:r>
                    <w:rPr>
                      <w:spacing w:val="-11"/>
                      <w:sz w:val="18"/>
                      <w:szCs w:val="18"/>
                      <w:highlight w:val="none"/>
                    </w:rPr>
                    <w:t>d</w:t>
                  </w:r>
                </w:p>
              </w:tc>
              <w:tc>
                <w:tcPr>
                  <w:tcW w:w="446" w:type="pct"/>
                  <w:vAlign w:val="center"/>
                </w:tcPr>
                <w:p w14:paraId="5BECEA59">
                  <w:pPr>
                    <w:spacing w:line="240" w:lineRule="auto"/>
                    <w:jc w:val="center"/>
                    <w:rPr>
                      <w:rFonts w:hint="default" w:eastAsia="宋体"/>
                      <w:spacing w:val="-11"/>
                      <w:sz w:val="18"/>
                      <w:szCs w:val="18"/>
                      <w:highlight w:val="none"/>
                      <w:lang w:val="en-US" w:eastAsia="zh-CN"/>
                    </w:rPr>
                  </w:pPr>
                  <w:r>
                    <w:rPr>
                      <w:rFonts w:hint="eastAsia"/>
                      <w:sz w:val="21"/>
                      <w:szCs w:val="21"/>
                      <w:lang w:val="en-US" w:eastAsia="zh-CN"/>
                    </w:rPr>
                    <w:t>**</w:t>
                  </w:r>
                </w:p>
              </w:tc>
              <w:tc>
                <w:tcPr>
                  <w:tcW w:w="515" w:type="pct"/>
                  <w:vAlign w:val="center"/>
                </w:tcPr>
                <w:p w14:paraId="2AE73685">
                  <w:pPr>
                    <w:spacing w:line="240" w:lineRule="auto"/>
                    <w:jc w:val="center"/>
                    <w:rPr>
                      <w:rFonts w:hint="default" w:eastAsia="宋体"/>
                      <w:spacing w:val="-11"/>
                      <w:sz w:val="18"/>
                      <w:szCs w:val="18"/>
                      <w:highlight w:val="none"/>
                      <w:lang w:val="en-US" w:eastAsia="zh-CN"/>
                    </w:rPr>
                  </w:pPr>
                  <w:r>
                    <w:rPr>
                      <w:rFonts w:hint="eastAsia"/>
                      <w:sz w:val="21"/>
                      <w:szCs w:val="21"/>
                      <w:lang w:val="en-US" w:eastAsia="zh-CN"/>
                    </w:rPr>
                    <w:t>**</w:t>
                  </w:r>
                </w:p>
              </w:tc>
              <w:tc>
                <w:tcPr>
                  <w:tcW w:w="446" w:type="pct"/>
                  <w:vAlign w:val="center"/>
                </w:tcPr>
                <w:p w14:paraId="03234C29">
                  <w:pPr>
                    <w:spacing w:line="240" w:lineRule="auto"/>
                    <w:jc w:val="center"/>
                    <w:rPr>
                      <w:spacing w:val="-11"/>
                      <w:sz w:val="18"/>
                      <w:szCs w:val="18"/>
                      <w:highlight w:val="none"/>
                    </w:rPr>
                  </w:pPr>
                  <w:r>
                    <w:rPr>
                      <w:rFonts w:hint="eastAsia"/>
                      <w:sz w:val="21"/>
                      <w:szCs w:val="21"/>
                      <w:lang w:val="en-US" w:eastAsia="zh-CN"/>
                    </w:rPr>
                    <w:t>**</w:t>
                  </w:r>
                </w:p>
              </w:tc>
              <w:tc>
                <w:tcPr>
                  <w:tcW w:w="446" w:type="pct"/>
                  <w:vAlign w:val="center"/>
                </w:tcPr>
                <w:p w14:paraId="7C2D6B13">
                  <w:pPr>
                    <w:widowControl/>
                    <w:jc w:val="center"/>
                    <w:rPr>
                      <w:rFonts w:hint="default" w:eastAsia="宋体"/>
                      <w:spacing w:val="-11"/>
                      <w:sz w:val="18"/>
                      <w:szCs w:val="18"/>
                      <w:highlight w:val="none"/>
                      <w:lang w:val="en-US" w:eastAsia="zh-CN" w:bidi="ar"/>
                    </w:rPr>
                  </w:pPr>
                  <w:r>
                    <w:rPr>
                      <w:rFonts w:hint="eastAsia"/>
                      <w:spacing w:val="-11"/>
                      <w:sz w:val="18"/>
                      <w:szCs w:val="18"/>
                      <w:highlight w:val="none"/>
                      <w:lang w:val="en-US" w:eastAsia="zh-CN" w:bidi="ar"/>
                    </w:rPr>
                    <w:t>0.293</w:t>
                  </w:r>
                </w:p>
              </w:tc>
              <w:tc>
                <w:tcPr>
                  <w:tcW w:w="397" w:type="pct"/>
                  <w:vMerge w:val="restart"/>
                  <w:vAlign w:val="center"/>
                </w:tcPr>
                <w:p w14:paraId="365919DB">
                  <w:pPr>
                    <w:widowControl/>
                    <w:jc w:val="center"/>
                    <w:rPr>
                      <w:rFonts w:hint="default" w:eastAsia="宋体"/>
                      <w:spacing w:val="-11"/>
                      <w:sz w:val="18"/>
                      <w:szCs w:val="18"/>
                      <w:highlight w:val="none"/>
                      <w:lang w:val="en-US" w:eastAsia="zh-CN" w:bidi="ar"/>
                    </w:rPr>
                  </w:pPr>
                  <w:r>
                    <w:rPr>
                      <w:rFonts w:hint="eastAsia"/>
                      <w:spacing w:val="-11"/>
                      <w:sz w:val="18"/>
                      <w:szCs w:val="18"/>
                      <w:highlight w:val="none"/>
                      <w:lang w:val="en-US" w:eastAsia="zh-CN" w:bidi="ar"/>
                    </w:rPr>
                    <w:t>12.6</w:t>
                  </w:r>
                </w:p>
              </w:tc>
            </w:tr>
            <w:tr w14:paraId="72EF1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512" w:type="pct"/>
                  <w:vAlign w:val="center"/>
                </w:tcPr>
                <w:p w14:paraId="4C793474">
                  <w:pPr>
                    <w:spacing w:line="240" w:lineRule="auto"/>
                    <w:jc w:val="center"/>
                    <w:rPr>
                      <w:rFonts w:eastAsia="等线"/>
                      <w:spacing w:val="-11"/>
                      <w:sz w:val="18"/>
                      <w:szCs w:val="18"/>
                    </w:rPr>
                  </w:pPr>
                  <w:r>
                    <w:rPr>
                      <w:rFonts w:eastAsia="等线"/>
                      <w:spacing w:val="-11"/>
                      <w:sz w:val="18"/>
                      <w:szCs w:val="18"/>
                      <w:vertAlign w:val="superscript"/>
                    </w:rPr>
                    <w:t>89</w:t>
                  </w:r>
                  <w:r>
                    <w:rPr>
                      <w:rFonts w:eastAsia="等线"/>
                      <w:spacing w:val="-11"/>
                      <w:sz w:val="18"/>
                      <w:szCs w:val="18"/>
                    </w:rPr>
                    <w:t>Sr</w:t>
                  </w:r>
                </w:p>
              </w:tc>
              <w:tc>
                <w:tcPr>
                  <w:tcW w:w="750" w:type="pct"/>
                  <w:vMerge w:val="restart"/>
                  <w:vAlign w:val="center"/>
                </w:tcPr>
                <w:p w14:paraId="60DE154D">
                  <w:pPr>
                    <w:spacing w:line="240" w:lineRule="auto"/>
                    <w:ind w:left="-72" w:right="-72"/>
                    <w:jc w:val="center"/>
                    <w:rPr>
                      <w:spacing w:val="-11"/>
                      <w:sz w:val="18"/>
                      <w:szCs w:val="18"/>
                    </w:rPr>
                  </w:pPr>
                  <w:r>
                    <w:rPr>
                      <w:bCs/>
                      <w:spacing w:val="-11"/>
                      <w:sz w:val="18"/>
                      <w:szCs w:val="18"/>
                    </w:rPr>
                    <w:t>使用过的一次性口杯/注射器、口罩、手套、空药瓶、棉签及擦拭废物等</w:t>
                  </w:r>
                </w:p>
              </w:tc>
              <w:tc>
                <w:tcPr>
                  <w:tcW w:w="420" w:type="pct"/>
                  <w:vAlign w:val="center"/>
                </w:tcPr>
                <w:p w14:paraId="42E41452">
                  <w:pPr>
                    <w:spacing w:line="240" w:lineRule="auto"/>
                    <w:jc w:val="center"/>
                    <w:rPr>
                      <w:spacing w:val="-11"/>
                      <w:sz w:val="18"/>
                      <w:szCs w:val="18"/>
                    </w:rPr>
                  </w:pPr>
                  <w:r>
                    <w:rPr>
                      <w:spacing w:val="-11"/>
                      <w:sz w:val="18"/>
                      <w:szCs w:val="18"/>
                    </w:rPr>
                    <w:t>＞24h</w:t>
                  </w:r>
                </w:p>
              </w:tc>
              <w:tc>
                <w:tcPr>
                  <w:tcW w:w="532" w:type="pct"/>
                  <w:vAlign w:val="center"/>
                </w:tcPr>
                <w:p w14:paraId="42EC7677">
                  <w:pPr>
                    <w:spacing w:line="240" w:lineRule="auto"/>
                    <w:jc w:val="center"/>
                    <w:rPr>
                      <w:spacing w:val="-11"/>
                      <w:sz w:val="18"/>
                      <w:szCs w:val="18"/>
                    </w:rPr>
                  </w:pPr>
                  <w:r>
                    <w:rPr>
                      <w:spacing w:val="-11"/>
                      <w:sz w:val="18"/>
                      <w:szCs w:val="18"/>
                    </w:rPr>
                    <w:t>505.3d</w:t>
                  </w:r>
                </w:p>
              </w:tc>
              <w:tc>
                <w:tcPr>
                  <w:tcW w:w="532" w:type="pct"/>
                  <w:vAlign w:val="center"/>
                </w:tcPr>
                <w:p w14:paraId="0489838F">
                  <w:pPr>
                    <w:spacing w:line="240" w:lineRule="auto"/>
                    <w:jc w:val="center"/>
                    <w:rPr>
                      <w:spacing w:val="-11"/>
                      <w:sz w:val="18"/>
                      <w:szCs w:val="18"/>
                      <w:highlight w:val="none"/>
                    </w:rPr>
                  </w:pPr>
                  <w:r>
                    <w:rPr>
                      <w:rFonts w:hint="eastAsia"/>
                      <w:spacing w:val="-11"/>
                      <w:sz w:val="18"/>
                      <w:szCs w:val="18"/>
                      <w:highlight w:val="none"/>
                      <w:lang w:val="en-US" w:eastAsia="zh-CN"/>
                    </w:rPr>
                    <w:t>346</w:t>
                  </w:r>
                  <w:r>
                    <w:rPr>
                      <w:spacing w:val="-11"/>
                      <w:sz w:val="18"/>
                      <w:szCs w:val="18"/>
                      <w:highlight w:val="none"/>
                    </w:rPr>
                    <w:t>d</w:t>
                  </w:r>
                </w:p>
              </w:tc>
              <w:tc>
                <w:tcPr>
                  <w:tcW w:w="446" w:type="pct"/>
                  <w:vAlign w:val="center"/>
                </w:tcPr>
                <w:p w14:paraId="2A88ADA3">
                  <w:pPr>
                    <w:spacing w:line="240" w:lineRule="auto"/>
                    <w:jc w:val="center"/>
                    <w:rPr>
                      <w:spacing w:val="-11"/>
                      <w:sz w:val="18"/>
                      <w:szCs w:val="18"/>
                      <w:highlight w:val="none"/>
                    </w:rPr>
                  </w:pPr>
                  <w:r>
                    <w:rPr>
                      <w:rFonts w:hint="eastAsia"/>
                      <w:sz w:val="21"/>
                      <w:szCs w:val="21"/>
                      <w:lang w:val="en-US" w:eastAsia="zh-CN"/>
                    </w:rPr>
                    <w:t>**</w:t>
                  </w:r>
                </w:p>
              </w:tc>
              <w:tc>
                <w:tcPr>
                  <w:tcW w:w="515" w:type="pct"/>
                  <w:vAlign w:val="center"/>
                </w:tcPr>
                <w:p w14:paraId="587A11E4">
                  <w:pPr>
                    <w:spacing w:line="240" w:lineRule="auto"/>
                    <w:jc w:val="center"/>
                    <w:rPr>
                      <w:rFonts w:hint="default" w:eastAsia="宋体"/>
                      <w:spacing w:val="-11"/>
                      <w:sz w:val="18"/>
                      <w:szCs w:val="18"/>
                      <w:highlight w:val="none"/>
                      <w:lang w:val="en-US" w:eastAsia="zh-CN"/>
                    </w:rPr>
                  </w:pPr>
                  <w:r>
                    <w:rPr>
                      <w:rFonts w:hint="eastAsia"/>
                      <w:sz w:val="21"/>
                      <w:szCs w:val="21"/>
                      <w:lang w:val="en-US" w:eastAsia="zh-CN"/>
                    </w:rPr>
                    <w:t>**</w:t>
                  </w:r>
                </w:p>
              </w:tc>
              <w:tc>
                <w:tcPr>
                  <w:tcW w:w="446" w:type="pct"/>
                  <w:vAlign w:val="center"/>
                </w:tcPr>
                <w:p w14:paraId="5E0D4333">
                  <w:pPr>
                    <w:spacing w:line="240" w:lineRule="auto"/>
                    <w:jc w:val="center"/>
                    <w:rPr>
                      <w:spacing w:val="-11"/>
                      <w:sz w:val="18"/>
                      <w:szCs w:val="18"/>
                      <w:highlight w:val="none"/>
                    </w:rPr>
                  </w:pPr>
                  <w:r>
                    <w:rPr>
                      <w:rFonts w:hint="eastAsia"/>
                      <w:sz w:val="21"/>
                      <w:szCs w:val="21"/>
                      <w:lang w:val="en-US" w:eastAsia="zh-CN"/>
                    </w:rPr>
                    <w:t>**</w:t>
                  </w:r>
                </w:p>
              </w:tc>
              <w:tc>
                <w:tcPr>
                  <w:tcW w:w="446" w:type="pct"/>
                  <w:vMerge w:val="restart"/>
                  <w:vAlign w:val="center"/>
                </w:tcPr>
                <w:p w14:paraId="3DD7E088">
                  <w:pPr>
                    <w:widowControl/>
                    <w:jc w:val="center"/>
                    <w:rPr>
                      <w:rFonts w:hint="default" w:eastAsia="宋体"/>
                      <w:spacing w:val="-11"/>
                      <w:sz w:val="18"/>
                      <w:szCs w:val="18"/>
                      <w:highlight w:val="none"/>
                      <w:lang w:val="en-US" w:eastAsia="zh-CN" w:bidi="ar"/>
                    </w:rPr>
                  </w:pPr>
                  <w:r>
                    <w:rPr>
                      <w:rFonts w:hint="eastAsia"/>
                      <w:spacing w:val="-11"/>
                      <w:sz w:val="18"/>
                      <w:szCs w:val="18"/>
                      <w:highlight w:val="none"/>
                      <w:lang w:val="en-US" w:eastAsia="zh-CN" w:bidi="ar"/>
                    </w:rPr>
                    <w:t>0.303</w:t>
                  </w:r>
                </w:p>
              </w:tc>
              <w:tc>
                <w:tcPr>
                  <w:tcW w:w="397" w:type="pct"/>
                  <w:vMerge w:val="continue"/>
                  <w:vAlign w:val="center"/>
                </w:tcPr>
                <w:p w14:paraId="1DCD958E">
                  <w:pPr>
                    <w:widowControl/>
                    <w:jc w:val="center"/>
                    <w:rPr>
                      <w:spacing w:val="-11"/>
                      <w:sz w:val="18"/>
                      <w:szCs w:val="18"/>
                      <w:highlight w:val="yellow"/>
                      <w:lang w:bidi="ar"/>
                    </w:rPr>
                  </w:pPr>
                </w:p>
              </w:tc>
            </w:tr>
            <w:tr w14:paraId="6A8373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512" w:type="pct"/>
                  <w:vAlign w:val="center"/>
                </w:tcPr>
                <w:p w14:paraId="7ABFAC7E">
                  <w:pPr>
                    <w:spacing w:line="240" w:lineRule="auto"/>
                    <w:jc w:val="center"/>
                    <w:rPr>
                      <w:rFonts w:eastAsia="等线"/>
                      <w:spacing w:val="-11"/>
                      <w:sz w:val="18"/>
                      <w:szCs w:val="18"/>
                    </w:rPr>
                  </w:pPr>
                  <w:r>
                    <w:rPr>
                      <w:rFonts w:eastAsia="等线"/>
                      <w:spacing w:val="-11"/>
                      <w:sz w:val="18"/>
                      <w:szCs w:val="18"/>
                      <w:vertAlign w:val="superscript"/>
                    </w:rPr>
                    <w:t>131</w:t>
                  </w:r>
                  <w:r>
                    <w:rPr>
                      <w:rFonts w:eastAsia="等线"/>
                      <w:spacing w:val="-11"/>
                      <w:sz w:val="18"/>
                      <w:szCs w:val="18"/>
                    </w:rPr>
                    <w:t>I</w:t>
                  </w:r>
                </w:p>
              </w:tc>
              <w:tc>
                <w:tcPr>
                  <w:tcW w:w="750" w:type="pct"/>
                  <w:vMerge w:val="continue"/>
                  <w:vAlign w:val="center"/>
                </w:tcPr>
                <w:p w14:paraId="264955F6">
                  <w:pPr>
                    <w:spacing w:line="240" w:lineRule="auto"/>
                    <w:jc w:val="center"/>
                    <w:rPr>
                      <w:spacing w:val="-11"/>
                      <w:sz w:val="18"/>
                      <w:szCs w:val="18"/>
                    </w:rPr>
                  </w:pPr>
                </w:p>
              </w:tc>
              <w:tc>
                <w:tcPr>
                  <w:tcW w:w="420" w:type="pct"/>
                  <w:vAlign w:val="center"/>
                </w:tcPr>
                <w:p w14:paraId="66737F54">
                  <w:pPr>
                    <w:spacing w:line="240" w:lineRule="auto"/>
                    <w:jc w:val="center"/>
                    <w:rPr>
                      <w:spacing w:val="-11"/>
                      <w:sz w:val="18"/>
                      <w:szCs w:val="18"/>
                    </w:rPr>
                  </w:pPr>
                  <w:r>
                    <w:rPr>
                      <w:spacing w:val="-11"/>
                      <w:sz w:val="18"/>
                      <w:szCs w:val="18"/>
                      <w:lang w:bidi="ar"/>
                    </w:rPr>
                    <w:t>含</w:t>
                  </w:r>
                  <w:r>
                    <w:rPr>
                      <w:spacing w:val="-11"/>
                      <w:sz w:val="18"/>
                      <w:szCs w:val="18"/>
                      <w:vertAlign w:val="superscript"/>
                    </w:rPr>
                    <w:t>131</w:t>
                  </w:r>
                  <w:r>
                    <w:rPr>
                      <w:spacing w:val="-11"/>
                      <w:sz w:val="18"/>
                      <w:szCs w:val="18"/>
                    </w:rPr>
                    <w:t>I</w:t>
                  </w:r>
                </w:p>
              </w:tc>
              <w:tc>
                <w:tcPr>
                  <w:tcW w:w="532" w:type="pct"/>
                  <w:vAlign w:val="center"/>
                </w:tcPr>
                <w:p w14:paraId="77E8A5DC">
                  <w:pPr>
                    <w:spacing w:line="240" w:lineRule="auto"/>
                    <w:jc w:val="center"/>
                    <w:rPr>
                      <w:spacing w:val="-11"/>
                      <w:sz w:val="18"/>
                      <w:szCs w:val="18"/>
                    </w:rPr>
                  </w:pPr>
                  <w:r>
                    <w:rPr>
                      <w:spacing w:val="-11"/>
                      <w:sz w:val="18"/>
                      <w:szCs w:val="18"/>
                    </w:rPr>
                    <w:t>180d</w:t>
                  </w:r>
                </w:p>
              </w:tc>
              <w:tc>
                <w:tcPr>
                  <w:tcW w:w="532" w:type="pct"/>
                  <w:vAlign w:val="center"/>
                </w:tcPr>
                <w:p w14:paraId="332FDBCA">
                  <w:pPr>
                    <w:spacing w:line="240" w:lineRule="auto"/>
                    <w:jc w:val="center"/>
                    <w:rPr>
                      <w:spacing w:val="-11"/>
                      <w:sz w:val="18"/>
                      <w:szCs w:val="18"/>
                      <w:highlight w:val="none"/>
                    </w:rPr>
                  </w:pPr>
                  <w:r>
                    <w:rPr>
                      <w:spacing w:val="-11"/>
                      <w:sz w:val="18"/>
                      <w:szCs w:val="18"/>
                      <w:highlight w:val="none"/>
                    </w:rPr>
                    <w:t>1</w:t>
                  </w:r>
                  <w:r>
                    <w:rPr>
                      <w:rFonts w:hint="eastAsia"/>
                      <w:spacing w:val="-11"/>
                      <w:sz w:val="18"/>
                      <w:szCs w:val="18"/>
                      <w:highlight w:val="none"/>
                      <w:lang w:val="en-US" w:eastAsia="zh-CN"/>
                    </w:rPr>
                    <w:t>23</w:t>
                  </w:r>
                  <w:r>
                    <w:rPr>
                      <w:spacing w:val="-11"/>
                      <w:sz w:val="18"/>
                      <w:szCs w:val="18"/>
                      <w:highlight w:val="none"/>
                    </w:rPr>
                    <w:t>d</w:t>
                  </w:r>
                </w:p>
              </w:tc>
              <w:tc>
                <w:tcPr>
                  <w:tcW w:w="446" w:type="pct"/>
                  <w:vAlign w:val="center"/>
                </w:tcPr>
                <w:p w14:paraId="4E0F9964">
                  <w:pPr>
                    <w:spacing w:line="240" w:lineRule="auto"/>
                    <w:jc w:val="center"/>
                    <w:rPr>
                      <w:rFonts w:hint="default" w:eastAsia="宋体"/>
                      <w:spacing w:val="-11"/>
                      <w:sz w:val="18"/>
                      <w:szCs w:val="18"/>
                      <w:highlight w:val="none"/>
                      <w:lang w:val="en-US" w:eastAsia="zh-CN"/>
                    </w:rPr>
                  </w:pPr>
                  <w:r>
                    <w:rPr>
                      <w:rFonts w:hint="eastAsia"/>
                      <w:sz w:val="21"/>
                      <w:szCs w:val="21"/>
                      <w:lang w:val="en-US" w:eastAsia="zh-CN"/>
                    </w:rPr>
                    <w:t>**</w:t>
                  </w:r>
                </w:p>
              </w:tc>
              <w:tc>
                <w:tcPr>
                  <w:tcW w:w="515" w:type="pct"/>
                  <w:vAlign w:val="center"/>
                </w:tcPr>
                <w:p w14:paraId="477C7655">
                  <w:pPr>
                    <w:spacing w:line="240" w:lineRule="auto"/>
                    <w:jc w:val="center"/>
                    <w:rPr>
                      <w:rFonts w:hint="default" w:eastAsia="宋体"/>
                      <w:spacing w:val="-11"/>
                      <w:sz w:val="18"/>
                      <w:szCs w:val="18"/>
                      <w:highlight w:val="none"/>
                      <w:lang w:val="en-US" w:eastAsia="zh-CN"/>
                    </w:rPr>
                  </w:pPr>
                  <w:r>
                    <w:rPr>
                      <w:rFonts w:hint="eastAsia"/>
                      <w:sz w:val="21"/>
                      <w:szCs w:val="21"/>
                      <w:lang w:val="en-US" w:eastAsia="zh-CN"/>
                    </w:rPr>
                    <w:t>**</w:t>
                  </w:r>
                </w:p>
              </w:tc>
              <w:tc>
                <w:tcPr>
                  <w:tcW w:w="446" w:type="pct"/>
                  <w:vAlign w:val="center"/>
                </w:tcPr>
                <w:p w14:paraId="0CD46F07">
                  <w:pPr>
                    <w:spacing w:line="240" w:lineRule="auto"/>
                    <w:jc w:val="center"/>
                    <w:rPr>
                      <w:spacing w:val="-11"/>
                      <w:sz w:val="18"/>
                      <w:szCs w:val="18"/>
                      <w:highlight w:val="none"/>
                    </w:rPr>
                  </w:pPr>
                  <w:r>
                    <w:rPr>
                      <w:rFonts w:hint="eastAsia"/>
                      <w:sz w:val="21"/>
                      <w:szCs w:val="21"/>
                      <w:lang w:val="en-US" w:eastAsia="zh-CN"/>
                    </w:rPr>
                    <w:t>**</w:t>
                  </w:r>
                </w:p>
              </w:tc>
              <w:tc>
                <w:tcPr>
                  <w:tcW w:w="446" w:type="pct"/>
                  <w:vMerge w:val="continue"/>
                  <w:vAlign w:val="center"/>
                </w:tcPr>
                <w:p w14:paraId="4CB41258">
                  <w:pPr>
                    <w:widowControl/>
                    <w:jc w:val="center"/>
                    <w:rPr>
                      <w:spacing w:val="-11"/>
                      <w:sz w:val="18"/>
                      <w:szCs w:val="18"/>
                      <w:highlight w:val="none"/>
                      <w:lang w:bidi="ar"/>
                    </w:rPr>
                  </w:pPr>
                </w:p>
              </w:tc>
              <w:tc>
                <w:tcPr>
                  <w:tcW w:w="397" w:type="pct"/>
                  <w:vMerge w:val="continue"/>
                  <w:vAlign w:val="center"/>
                </w:tcPr>
                <w:p w14:paraId="333099A7">
                  <w:pPr>
                    <w:widowControl/>
                    <w:spacing w:line="240" w:lineRule="auto"/>
                    <w:jc w:val="center"/>
                    <w:rPr>
                      <w:spacing w:val="-11"/>
                      <w:sz w:val="18"/>
                      <w:szCs w:val="18"/>
                      <w:highlight w:val="yellow"/>
                      <w:lang w:bidi="ar"/>
                    </w:rPr>
                  </w:pPr>
                </w:p>
              </w:tc>
            </w:tr>
            <w:tr w14:paraId="23587E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512" w:type="pct"/>
                  <w:vAlign w:val="center"/>
                </w:tcPr>
                <w:p w14:paraId="3A49EC5B">
                  <w:pPr>
                    <w:spacing w:line="240" w:lineRule="auto"/>
                    <w:jc w:val="center"/>
                    <w:rPr>
                      <w:rFonts w:hint="eastAsia" w:eastAsia="宋体"/>
                      <w:spacing w:val="-11"/>
                      <w:sz w:val="18"/>
                      <w:szCs w:val="18"/>
                      <w:lang w:eastAsia="zh-CN"/>
                    </w:rPr>
                  </w:pPr>
                  <w:r>
                    <w:rPr>
                      <w:rFonts w:hint="eastAsia"/>
                      <w:bCs/>
                      <w:spacing w:val="-11"/>
                      <w:sz w:val="18"/>
                      <w:szCs w:val="18"/>
                      <w:vertAlign w:val="superscript"/>
                      <w:lang w:val="en-US" w:eastAsia="zh-CN"/>
                    </w:rPr>
                    <w:t>32</w:t>
                  </w:r>
                  <w:r>
                    <w:rPr>
                      <w:rFonts w:hint="eastAsia"/>
                      <w:bCs/>
                      <w:spacing w:val="-11"/>
                      <w:sz w:val="18"/>
                      <w:szCs w:val="18"/>
                      <w:lang w:val="en-US" w:eastAsia="zh-CN"/>
                    </w:rPr>
                    <w:t>P</w:t>
                  </w:r>
                </w:p>
              </w:tc>
              <w:tc>
                <w:tcPr>
                  <w:tcW w:w="750" w:type="pct"/>
                  <w:vAlign w:val="center"/>
                </w:tcPr>
                <w:p w14:paraId="40FD42B7">
                  <w:pPr>
                    <w:spacing w:line="240" w:lineRule="auto"/>
                    <w:ind w:left="-72" w:right="-72"/>
                    <w:jc w:val="center"/>
                    <w:rPr>
                      <w:spacing w:val="-11"/>
                      <w:sz w:val="18"/>
                      <w:szCs w:val="18"/>
                    </w:rPr>
                  </w:pPr>
                  <w:r>
                    <w:rPr>
                      <w:rFonts w:hint="eastAsia"/>
                      <w:bCs/>
                      <w:spacing w:val="-11"/>
                      <w:sz w:val="18"/>
                      <w:szCs w:val="18"/>
                    </w:rPr>
                    <w:t>使用过的移液瓶、滤纸、塑料薄膜、胶布、橡皮泥、注射器、口罩、手套、空药瓶、棉签及擦拭废物等</w:t>
                  </w:r>
                </w:p>
              </w:tc>
              <w:tc>
                <w:tcPr>
                  <w:tcW w:w="420" w:type="pct"/>
                  <w:vAlign w:val="center"/>
                </w:tcPr>
                <w:p w14:paraId="4EF53049">
                  <w:pPr>
                    <w:spacing w:line="240" w:lineRule="auto"/>
                    <w:jc w:val="center"/>
                    <w:rPr>
                      <w:spacing w:val="-11"/>
                      <w:sz w:val="18"/>
                      <w:szCs w:val="18"/>
                    </w:rPr>
                  </w:pPr>
                  <w:r>
                    <w:rPr>
                      <w:spacing w:val="-11"/>
                      <w:sz w:val="18"/>
                      <w:szCs w:val="18"/>
                    </w:rPr>
                    <w:t>＞24h</w:t>
                  </w:r>
                </w:p>
              </w:tc>
              <w:tc>
                <w:tcPr>
                  <w:tcW w:w="532" w:type="pct"/>
                  <w:vAlign w:val="center"/>
                </w:tcPr>
                <w:p w14:paraId="2F4A3723">
                  <w:pPr>
                    <w:spacing w:line="240" w:lineRule="auto"/>
                    <w:jc w:val="center"/>
                    <w:rPr>
                      <w:spacing w:val="-11"/>
                      <w:sz w:val="18"/>
                      <w:szCs w:val="18"/>
                    </w:rPr>
                  </w:pPr>
                  <w:r>
                    <w:rPr>
                      <w:rFonts w:hint="eastAsia"/>
                      <w:spacing w:val="-11"/>
                      <w:sz w:val="18"/>
                      <w:szCs w:val="18"/>
                      <w:lang w:val="en-US" w:eastAsia="zh-CN"/>
                    </w:rPr>
                    <w:t>142.6</w:t>
                  </w:r>
                  <w:r>
                    <w:rPr>
                      <w:spacing w:val="-11"/>
                      <w:sz w:val="18"/>
                      <w:szCs w:val="18"/>
                    </w:rPr>
                    <w:t>d</w:t>
                  </w:r>
                </w:p>
              </w:tc>
              <w:tc>
                <w:tcPr>
                  <w:tcW w:w="532" w:type="pct"/>
                  <w:vAlign w:val="center"/>
                </w:tcPr>
                <w:p w14:paraId="4D3212A7">
                  <w:pPr>
                    <w:spacing w:line="240" w:lineRule="auto"/>
                    <w:jc w:val="center"/>
                    <w:rPr>
                      <w:spacing w:val="-11"/>
                      <w:sz w:val="18"/>
                      <w:szCs w:val="18"/>
                      <w:highlight w:val="none"/>
                    </w:rPr>
                  </w:pPr>
                  <w:r>
                    <w:rPr>
                      <w:rFonts w:hint="eastAsia"/>
                      <w:spacing w:val="-11"/>
                      <w:sz w:val="18"/>
                      <w:szCs w:val="18"/>
                      <w:highlight w:val="none"/>
                      <w:lang w:val="en-US" w:eastAsia="zh-CN"/>
                    </w:rPr>
                    <w:t>97</w:t>
                  </w:r>
                  <w:r>
                    <w:rPr>
                      <w:spacing w:val="-11"/>
                      <w:sz w:val="18"/>
                      <w:szCs w:val="18"/>
                      <w:highlight w:val="none"/>
                    </w:rPr>
                    <w:t>d</w:t>
                  </w:r>
                </w:p>
              </w:tc>
              <w:tc>
                <w:tcPr>
                  <w:tcW w:w="446" w:type="pct"/>
                  <w:vAlign w:val="center"/>
                </w:tcPr>
                <w:p w14:paraId="150281D0">
                  <w:pPr>
                    <w:spacing w:line="240" w:lineRule="auto"/>
                    <w:jc w:val="center"/>
                    <w:rPr>
                      <w:rFonts w:hint="default" w:eastAsia="宋体"/>
                      <w:spacing w:val="-11"/>
                      <w:sz w:val="18"/>
                      <w:szCs w:val="18"/>
                      <w:highlight w:val="none"/>
                      <w:lang w:val="en-US" w:eastAsia="zh-CN"/>
                    </w:rPr>
                  </w:pPr>
                  <w:r>
                    <w:rPr>
                      <w:rFonts w:hint="eastAsia"/>
                      <w:sz w:val="21"/>
                      <w:szCs w:val="21"/>
                      <w:lang w:val="en-US" w:eastAsia="zh-CN"/>
                    </w:rPr>
                    <w:t>**</w:t>
                  </w:r>
                </w:p>
              </w:tc>
              <w:tc>
                <w:tcPr>
                  <w:tcW w:w="515" w:type="pct"/>
                  <w:vAlign w:val="center"/>
                </w:tcPr>
                <w:p w14:paraId="1C3AC6AE">
                  <w:pPr>
                    <w:spacing w:line="240" w:lineRule="auto"/>
                    <w:jc w:val="center"/>
                    <w:rPr>
                      <w:rFonts w:hint="default" w:eastAsia="宋体"/>
                      <w:spacing w:val="-11"/>
                      <w:sz w:val="18"/>
                      <w:szCs w:val="18"/>
                      <w:highlight w:val="none"/>
                      <w:lang w:val="en-US" w:eastAsia="zh-CN"/>
                    </w:rPr>
                  </w:pPr>
                  <w:r>
                    <w:rPr>
                      <w:rFonts w:hint="eastAsia"/>
                      <w:sz w:val="21"/>
                      <w:szCs w:val="21"/>
                      <w:lang w:val="en-US" w:eastAsia="zh-CN"/>
                    </w:rPr>
                    <w:t>**</w:t>
                  </w:r>
                </w:p>
              </w:tc>
              <w:tc>
                <w:tcPr>
                  <w:tcW w:w="446" w:type="pct"/>
                  <w:vAlign w:val="center"/>
                </w:tcPr>
                <w:p w14:paraId="15E4CAF1">
                  <w:pPr>
                    <w:spacing w:line="240" w:lineRule="auto"/>
                    <w:jc w:val="center"/>
                    <w:rPr>
                      <w:spacing w:val="-11"/>
                      <w:sz w:val="18"/>
                      <w:szCs w:val="18"/>
                      <w:highlight w:val="none"/>
                    </w:rPr>
                  </w:pPr>
                  <w:r>
                    <w:rPr>
                      <w:rFonts w:hint="eastAsia"/>
                      <w:sz w:val="21"/>
                      <w:szCs w:val="21"/>
                      <w:lang w:val="en-US" w:eastAsia="zh-CN"/>
                    </w:rPr>
                    <w:t>**</w:t>
                  </w:r>
                </w:p>
              </w:tc>
              <w:tc>
                <w:tcPr>
                  <w:tcW w:w="446" w:type="pct"/>
                  <w:vAlign w:val="center"/>
                </w:tcPr>
                <w:p w14:paraId="054A4F34">
                  <w:pPr>
                    <w:widowControl/>
                    <w:jc w:val="center"/>
                    <w:rPr>
                      <w:rFonts w:hint="default" w:eastAsia="宋体"/>
                      <w:spacing w:val="-11"/>
                      <w:sz w:val="18"/>
                      <w:szCs w:val="18"/>
                      <w:highlight w:val="none"/>
                      <w:lang w:val="en-US" w:eastAsia="zh-CN" w:bidi="ar"/>
                    </w:rPr>
                  </w:pPr>
                  <w:r>
                    <w:rPr>
                      <w:rFonts w:hint="eastAsia"/>
                      <w:spacing w:val="-11"/>
                      <w:sz w:val="18"/>
                      <w:szCs w:val="18"/>
                      <w:highlight w:val="none"/>
                      <w:lang w:val="en-US" w:eastAsia="zh-CN" w:bidi="ar"/>
                    </w:rPr>
                    <w:t>0.010</w:t>
                  </w:r>
                </w:p>
              </w:tc>
              <w:tc>
                <w:tcPr>
                  <w:tcW w:w="397" w:type="pct"/>
                  <w:vMerge w:val="continue"/>
                  <w:vAlign w:val="center"/>
                </w:tcPr>
                <w:p w14:paraId="71674F42">
                  <w:pPr>
                    <w:widowControl/>
                    <w:jc w:val="center"/>
                    <w:rPr>
                      <w:spacing w:val="-11"/>
                      <w:sz w:val="18"/>
                      <w:szCs w:val="18"/>
                      <w:highlight w:val="yellow"/>
                      <w:lang w:bidi="ar"/>
                    </w:rPr>
                  </w:pPr>
                </w:p>
              </w:tc>
            </w:tr>
            <w:tr w14:paraId="239FA4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12" w:type="pct"/>
                  <w:vAlign w:val="center"/>
                </w:tcPr>
                <w:p w14:paraId="3D8C9586">
                  <w:pPr>
                    <w:spacing w:line="240" w:lineRule="auto"/>
                    <w:jc w:val="center"/>
                    <w:rPr>
                      <w:rFonts w:hint="eastAsia" w:eastAsia="宋体"/>
                      <w:bCs/>
                      <w:spacing w:val="-11"/>
                      <w:sz w:val="18"/>
                      <w:szCs w:val="18"/>
                      <w:vertAlign w:val="superscript"/>
                      <w:lang w:val="en-US" w:eastAsia="zh-CN"/>
                    </w:rPr>
                  </w:pPr>
                  <w:r>
                    <w:rPr>
                      <w:rFonts w:hint="eastAsia"/>
                      <w:bCs/>
                      <w:spacing w:val="-11"/>
                      <w:sz w:val="18"/>
                      <w:szCs w:val="18"/>
                      <w:vertAlign w:val="baseline"/>
                      <w:lang w:val="en-US" w:eastAsia="zh-CN"/>
                    </w:rPr>
                    <w:t>/</w:t>
                  </w:r>
                </w:p>
              </w:tc>
              <w:tc>
                <w:tcPr>
                  <w:tcW w:w="750" w:type="pct"/>
                  <w:shd w:val="clear" w:color="auto" w:fill="auto"/>
                  <w:vAlign w:val="center"/>
                </w:tcPr>
                <w:p w14:paraId="36E55FF0">
                  <w:pPr>
                    <w:spacing w:line="240" w:lineRule="auto"/>
                    <w:ind w:left="-72" w:leftChars="0" w:right="-72" w:rightChars="0"/>
                    <w:jc w:val="center"/>
                    <w:rPr>
                      <w:rFonts w:ascii="Times New Roman" w:hAnsi="Times New Roman" w:eastAsia="宋体" w:cs="Times New Roman"/>
                      <w:bCs/>
                      <w:spacing w:val="-11"/>
                      <w:sz w:val="18"/>
                      <w:szCs w:val="18"/>
                      <w:lang w:val="en-US" w:eastAsia="zh-CN" w:bidi="ar-SA"/>
                    </w:rPr>
                  </w:pPr>
                  <w:r>
                    <w:rPr>
                      <w:bCs/>
                      <w:spacing w:val="-11"/>
                      <w:sz w:val="18"/>
                      <w:szCs w:val="18"/>
                    </w:rPr>
                    <w:t>废过滤器滤芯</w:t>
                  </w:r>
                </w:p>
              </w:tc>
              <w:tc>
                <w:tcPr>
                  <w:tcW w:w="420" w:type="pct"/>
                  <w:shd w:val="clear" w:color="auto" w:fill="auto"/>
                  <w:vAlign w:val="center"/>
                </w:tcPr>
                <w:p w14:paraId="40A4400D">
                  <w:pPr>
                    <w:spacing w:line="240" w:lineRule="auto"/>
                    <w:jc w:val="center"/>
                    <w:rPr>
                      <w:rFonts w:ascii="Times New Roman" w:hAnsi="Times New Roman" w:eastAsia="宋体" w:cs="Times New Roman"/>
                      <w:spacing w:val="-11"/>
                      <w:sz w:val="18"/>
                      <w:szCs w:val="18"/>
                      <w:lang w:val="en-US" w:eastAsia="zh-CN" w:bidi="ar-SA"/>
                    </w:rPr>
                  </w:pPr>
                  <w:r>
                    <w:rPr>
                      <w:spacing w:val="-11"/>
                      <w:sz w:val="18"/>
                      <w:szCs w:val="18"/>
                    </w:rPr>
                    <w:t>＜24h</w:t>
                  </w:r>
                </w:p>
              </w:tc>
              <w:tc>
                <w:tcPr>
                  <w:tcW w:w="532" w:type="pct"/>
                  <w:shd w:val="clear" w:color="auto" w:fill="auto"/>
                  <w:vAlign w:val="center"/>
                </w:tcPr>
                <w:p w14:paraId="54A9D5DD">
                  <w:pPr>
                    <w:spacing w:line="240" w:lineRule="auto"/>
                    <w:jc w:val="center"/>
                    <w:rPr>
                      <w:rFonts w:ascii="Times New Roman" w:hAnsi="Times New Roman" w:eastAsia="宋体" w:cs="Times New Roman"/>
                      <w:spacing w:val="-11"/>
                      <w:sz w:val="18"/>
                      <w:szCs w:val="18"/>
                      <w:lang w:val="en-US" w:eastAsia="zh-CN" w:bidi="ar-SA"/>
                    </w:rPr>
                  </w:pPr>
                  <w:r>
                    <w:rPr>
                      <w:spacing w:val="-11"/>
                      <w:sz w:val="18"/>
                      <w:szCs w:val="18"/>
                    </w:rPr>
                    <w:t>30d</w:t>
                  </w:r>
                </w:p>
              </w:tc>
              <w:tc>
                <w:tcPr>
                  <w:tcW w:w="532" w:type="pct"/>
                  <w:shd w:val="clear" w:color="auto" w:fill="auto"/>
                  <w:vAlign w:val="center"/>
                </w:tcPr>
                <w:p w14:paraId="0CC1C099">
                  <w:pPr>
                    <w:spacing w:line="240" w:lineRule="auto"/>
                    <w:jc w:val="center"/>
                    <w:rPr>
                      <w:rFonts w:ascii="Times New Roman" w:hAnsi="Times New Roman" w:eastAsia="宋体" w:cs="Times New Roman"/>
                      <w:spacing w:val="-11"/>
                      <w:sz w:val="18"/>
                      <w:szCs w:val="18"/>
                      <w:lang w:val="en-US" w:eastAsia="zh-CN" w:bidi="ar-SA"/>
                    </w:rPr>
                  </w:pPr>
                  <w:r>
                    <w:rPr>
                      <w:spacing w:val="-11"/>
                      <w:sz w:val="18"/>
                      <w:szCs w:val="18"/>
                    </w:rPr>
                    <w:t>/</w:t>
                  </w:r>
                </w:p>
              </w:tc>
              <w:tc>
                <w:tcPr>
                  <w:tcW w:w="446" w:type="pct"/>
                  <w:shd w:val="clear" w:color="auto" w:fill="auto"/>
                  <w:vAlign w:val="center"/>
                </w:tcPr>
                <w:p w14:paraId="0090A460">
                  <w:pPr>
                    <w:spacing w:line="240" w:lineRule="auto"/>
                    <w:jc w:val="center"/>
                    <w:rPr>
                      <w:spacing w:val="-11"/>
                      <w:sz w:val="18"/>
                      <w:szCs w:val="18"/>
                    </w:rPr>
                  </w:pPr>
                  <w:r>
                    <w:rPr>
                      <w:spacing w:val="-11"/>
                      <w:sz w:val="18"/>
                      <w:szCs w:val="18"/>
                    </w:rPr>
                    <w:t>100</w:t>
                  </w:r>
                </w:p>
                <w:p w14:paraId="54BD0D15">
                  <w:pPr>
                    <w:spacing w:line="240" w:lineRule="auto"/>
                    <w:jc w:val="center"/>
                    <w:rPr>
                      <w:rFonts w:ascii="Times New Roman" w:hAnsi="Times New Roman" w:eastAsia="宋体" w:cs="Times New Roman"/>
                      <w:spacing w:val="-11"/>
                      <w:sz w:val="18"/>
                      <w:szCs w:val="18"/>
                      <w:lang w:val="en-US" w:eastAsia="zh-CN" w:bidi="ar-SA"/>
                    </w:rPr>
                  </w:pPr>
                  <w:r>
                    <w:rPr>
                      <w:spacing w:val="-11"/>
                      <w:sz w:val="18"/>
                      <w:szCs w:val="18"/>
                    </w:rPr>
                    <w:t>(kg/a)</w:t>
                  </w:r>
                </w:p>
              </w:tc>
              <w:tc>
                <w:tcPr>
                  <w:tcW w:w="515" w:type="pct"/>
                  <w:shd w:val="clear" w:color="auto" w:fill="auto"/>
                  <w:vAlign w:val="center"/>
                </w:tcPr>
                <w:p w14:paraId="6CB51089">
                  <w:pPr>
                    <w:spacing w:line="240" w:lineRule="auto"/>
                    <w:jc w:val="center"/>
                    <w:rPr>
                      <w:rFonts w:ascii="Times New Roman" w:hAnsi="Times New Roman" w:eastAsia="宋体" w:cs="Times New Roman"/>
                      <w:spacing w:val="-11"/>
                      <w:sz w:val="18"/>
                      <w:szCs w:val="18"/>
                      <w:lang w:val="en-US" w:eastAsia="zh-CN" w:bidi="ar-SA"/>
                    </w:rPr>
                  </w:pPr>
                  <w:r>
                    <w:rPr>
                      <w:spacing w:val="-11"/>
                      <w:sz w:val="18"/>
                      <w:szCs w:val="18"/>
                    </w:rPr>
                    <w:t>100</w:t>
                  </w:r>
                </w:p>
              </w:tc>
              <w:tc>
                <w:tcPr>
                  <w:tcW w:w="446" w:type="pct"/>
                  <w:shd w:val="clear" w:color="auto" w:fill="auto"/>
                  <w:vAlign w:val="center"/>
                </w:tcPr>
                <w:p w14:paraId="06C10FC4">
                  <w:pPr>
                    <w:spacing w:line="240" w:lineRule="auto"/>
                    <w:jc w:val="center"/>
                    <w:rPr>
                      <w:rFonts w:ascii="Times New Roman" w:hAnsi="Times New Roman" w:eastAsia="宋体" w:cs="Times New Roman"/>
                      <w:spacing w:val="-11"/>
                      <w:sz w:val="18"/>
                      <w:szCs w:val="18"/>
                      <w:lang w:val="en-US" w:eastAsia="zh-CN" w:bidi="ar-SA"/>
                    </w:rPr>
                  </w:pPr>
                  <w:r>
                    <w:rPr>
                      <w:spacing w:val="-11"/>
                      <w:sz w:val="18"/>
                      <w:szCs w:val="18"/>
                    </w:rPr>
                    <w:t>450</w:t>
                  </w:r>
                </w:p>
              </w:tc>
              <w:tc>
                <w:tcPr>
                  <w:tcW w:w="446" w:type="pct"/>
                  <w:vAlign w:val="center"/>
                </w:tcPr>
                <w:p w14:paraId="5B8435E5">
                  <w:pPr>
                    <w:widowControl/>
                    <w:jc w:val="center"/>
                    <w:rPr>
                      <w:rFonts w:hint="eastAsia" w:eastAsia="宋体"/>
                      <w:spacing w:val="-11"/>
                      <w:sz w:val="18"/>
                      <w:szCs w:val="18"/>
                      <w:lang w:val="en-US" w:eastAsia="zh-CN" w:bidi="ar"/>
                    </w:rPr>
                  </w:pPr>
                  <w:r>
                    <w:rPr>
                      <w:rFonts w:hint="eastAsia"/>
                      <w:spacing w:val="-11"/>
                      <w:sz w:val="18"/>
                      <w:szCs w:val="18"/>
                      <w:lang w:val="en-US" w:eastAsia="zh-CN" w:bidi="ar"/>
                    </w:rPr>
                    <w:t>/</w:t>
                  </w:r>
                </w:p>
              </w:tc>
              <w:tc>
                <w:tcPr>
                  <w:tcW w:w="397" w:type="pct"/>
                  <w:vAlign w:val="center"/>
                </w:tcPr>
                <w:p w14:paraId="33FD6641">
                  <w:pPr>
                    <w:widowControl/>
                    <w:spacing w:line="240" w:lineRule="auto"/>
                    <w:jc w:val="center"/>
                    <w:rPr>
                      <w:spacing w:val="-11"/>
                      <w:sz w:val="18"/>
                      <w:szCs w:val="18"/>
                      <w:lang w:bidi="ar"/>
                    </w:rPr>
                  </w:pPr>
                </w:p>
              </w:tc>
            </w:tr>
          </w:tbl>
          <w:p w14:paraId="5751E572">
            <w:pPr>
              <w:spacing w:after="120" w:afterLines="50" w:line="240" w:lineRule="auto"/>
              <w:rPr>
                <w:rFonts w:eastAsia="黑体"/>
                <w:sz w:val="21"/>
                <w:szCs w:val="21"/>
              </w:rPr>
            </w:pPr>
            <w:r>
              <w:rPr>
                <w:rFonts w:eastAsia="黑体"/>
                <w:sz w:val="21"/>
                <w:szCs w:val="21"/>
              </w:rPr>
              <w:t>注：①医疗废物密度国家统计结果平均值为488.85kg/m</w:t>
            </w:r>
            <w:r>
              <w:rPr>
                <w:rFonts w:eastAsia="黑体"/>
                <w:sz w:val="21"/>
                <w:szCs w:val="21"/>
                <w:vertAlign w:val="superscript"/>
              </w:rPr>
              <w:t>3</w:t>
            </w:r>
            <w:r>
              <w:rPr>
                <w:rFonts w:eastAsia="黑体"/>
                <w:sz w:val="21"/>
                <w:szCs w:val="21"/>
              </w:rPr>
              <w:t>；废过滤器滤芯密度一般在450~650kg/m</w:t>
            </w:r>
            <w:r>
              <w:rPr>
                <w:rFonts w:eastAsia="黑体"/>
                <w:sz w:val="21"/>
                <w:szCs w:val="21"/>
                <w:vertAlign w:val="superscript"/>
              </w:rPr>
              <w:t>3</w:t>
            </w:r>
            <w:r>
              <w:rPr>
                <w:rFonts w:eastAsia="黑体"/>
                <w:sz w:val="21"/>
                <w:szCs w:val="21"/>
              </w:rPr>
              <w:t>，保守按450kg/m</w:t>
            </w:r>
            <w:r>
              <w:rPr>
                <w:rFonts w:eastAsia="黑体"/>
                <w:sz w:val="21"/>
                <w:szCs w:val="21"/>
                <w:vertAlign w:val="superscript"/>
              </w:rPr>
              <w:t>3</w:t>
            </w:r>
            <w:r>
              <w:rPr>
                <w:rFonts w:eastAsia="黑体"/>
                <w:sz w:val="21"/>
                <w:szCs w:val="21"/>
              </w:rPr>
              <w:t>进行统计。②</w:t>
            </w:r>
            <w:r>
              <w:rPr>
                <w:rFonts w:eastAsia="黑体"/>
                <w:bCs/>
                <w:sz w:val="21"/>
                <w:szCs w:val="21"/>
              </w:rPr>
              <w:t>暂存时间：</w:t>
            </w:r>
            <w:r>
              <w:rPr>
                <w:rFonts w:eastAsia="黑体"/>
                <w:sz w:val="21"/>
                <w:szCs w:val="21"/>
              </w:rPr>
              <w:t>根据《核医学辐射防护与安全要求》（HJ1188-2021）7.2.3章节中固体放射性废物暂存时间要求，</w:t>
            </w:r>
            <w:r>
              <w:rPr>
                <w:rFonts w:eastAsia="黑体"/>
                <w:bCs/>
                <w:sz w:val="21"/>
                <w:szCs w:val="21"/>
              </w:rPr>
              <w:t>废物所含核素半衰期小于24h的废物暂存周期按30d计算，废物所含核素半衰期大于24h的废物暂存周期按核素最长半衰期的10倍计算，含</w:t>
            </w:r>
            <w:r>
              <w:rPr>
                <w:rFonts w:eastAsia="黑体"/>
                <w:spacing w:val="-6"/>
                <w:sz w:val="21"/>
                <w:szCs w:val="21"/>
                <w:vertAlign w:val="superscript"/>
              </w:rPr>
              <w:t>131</w:t>
            </w:r>
            <w:r>
              <w:rPr>
                <w:rFonts w:eastAsia="黑体"/>
                <w:spacing w:val="-6"/>
                <w:sz w:val="21"/>
                <w:szCs w:val="21"/>
              </w:rPr>
              <w:t>I核素的废物</w:t>
            </w:r>
            <w:r>
              <w:rPr>
                <w:rFonts w:eastAsia="黑体"/>
                <w:bCs/>
                <w:sz w:val="21"/>
                <w:szCs w:val="21"/>
              </w:rPr>
              <w:t>暂存周期按180d计算。③废过滤器滤芯暂存量保守按年产生量计算。</w:t>
            </w:r>
          </w:p>
          <w:p w14:paraId="494F3272">
            <w:pPr>
              <w:ind w:firstLine="480"/>
            </w:pPr>
            <w:r>
              <w:t>放废暂存间在保守按废物暂存高度1.8m的前提下，</w:t>
            </w:r>
            <w:r>
              <w:rPr>
                <w:rFonts w:hint="eastAsia"/>
                <w:lang w:val="en-US" w:eastAsia="zh-CN"/>
              </w:rPr>
              <w:t>其</w:t>
            </w:r>
            <w:r>
              <w:t>容积远大于放射性固废暂存所需容积，因此医院可根据实际运行负荷和科室规划，配备相应数量（满足一收一储）、相应容量的放射性固废暂存容器。综上，本项目放废暂存间容积均大于暂存周期内放射性废物所需容积，</w:t>
            </w:r>
            <w:r>
              <w:rPr>
                <w:bCs/>
              </w:rPr>
              <w:t>满足暂存要求。</w:t>
            </w:r>
          </w:p>
          <w:p w14:paraId="7E4F1A99">
            <w:pPr>
              <w:ind w:firstLine="480"/>
              <w:rPr>
                <w:b/>
                <w:bCs/>
              </w:rPr>
            </w:pPr>
            <w:r>
              <w:rPr>
                <w:b/>
                <w:bCs/>
              </w:rPr>
              <w:t>（2）放射性固废收集、贮存和处理措施</w:t>
            </w:r>
          </w:p>
          <w:p w14:paraId="3BBC61F5">
            <w:pPr>
              <w:ind w:firstLine="480"/>
            </w:pPr>
            <w:r>
              <w:rPr>
                <w:bCs/>
              </w:rPr>
              <w:t>根据</w:t>
            </w:r>
            <w:r>
              <w:t>《核医学辐射防护与安全要求》（HJ1188-2021），</w:t>
            </w:r>
            <w:r>
              <w:rPr>
                <w:bCs/>
              </w:rPr>
              <w:t>针对放射性固废的收集、贮存和处理，提出如下管理措施要求：</w:t>
            </w:r>
          </w:p>
          <w:p w14:paraId="4506CFF1">
            <w:pPr>
              <w:widowControl/>
              <w:ind w:firstLine="482"/>
              <w:jc w:val="left"/>
              <w:rPr>
                <w:b/>
                <w:bCs/>
              </w:rPr>
            </w:pPr>
            <w:r>
              <w:rPr>
                <w:b/>
                <w:bCs/>
              </w:rPr>
              <w:t>1）放射性固体废物收集</w:t>
            </w:r>
          </w:p>
          <w:p w14:paraId="31642585">
            <w:pPr>
              <w:ind w:firstLine="480"/>
              <w:rPr>
                <w:bCs/>
              </w:rPr>
            </w:pPr>
            <w:r>
              <w:rPr>
                <w:bCs/>
              </w:rPr>
              <w:fldChar w:fldCharType="begin"/>
            </w:r>
            <w:r>
              <w:rPr>
                <w:bCs/>
              </w:rPr>
              <w:instrText xml:space="preserve"> = 1 \* GB3 </w:instrText>
            </w:r>
            <w:r>
              <w:rPr>
                <w:bCs/>
              </w:rPr>
              <w:fldChar w:fldCharType="separate"/>
            </w:r>
            <w:r>
              <w:rPr>
                <w:bCs/>
              </w:rPr>
              <w:t>①</w:t>
            </w:r>
            <w:r>
              <w:rPr>
                <w:bCs/>
              </w:rPr>
              <w:fldChar w:fldCharType="end"/>
            </w:r>
            <w:r>
              <w:rPr>
                <w:bCs/>
              </w:rPr>
              <w:t>按放射性废物分类要求将放射性废物进行分类收集和分别处理；</w:t>
            </w:r>
            <w:r>
              <w:rPr>
                <w:bCs/>
              </w:rPr>
              <w:fldChar w:fldCharType="begin"/>
            </w:r>
            <w:r>
              <w:rPr>
                <w:bCs/>
              </w:rPr>
              <w:instrText xml:space="preserve"> = 2 \* GB3 </w:instrText>
            </w:r>
            <w:r>
              <w:rPr>
                <w:bCs/>
              </w:rPr>
              <w:fldChar w:fldCharType="separate"/>
            </w:r>
            <w:r>
              <w:rPr>
                <w:bCs/>
              </w:rPr>
              <w:t>②</w:t>
            </w:r>
            <w:r>
              <w:rPr>
                <w:bCs/>
              </w:rPr>
              <w:fldChar w:fldCharType="end"/>
            </w:r>
            <w:r>
              <w:rPr>
                <w:bCs/>
              </w:rPr>
              <w:t>废物桶内应放置专用塑料袋直接收纳废物，含尖刺及棱角的放射性废物，应预先进行包装处理，再装入废物桶，防止刺破废物袋；</w:t>
            </w:r>
            <w:r>
              <w:rPr>
                <w:bCs/>
              </w:rPr>
              <w:fldChar w:fldCharType="begin"/>
            </w:r>
            <w:r>
              <w:rPr>
                <w:bCs/>
              </w:rPr>
              <w:instrText xml:space="preserve"> = 3 \* GB3 </w:instrText>
            </w:r>
            <w:r>
              <w:rPr>
                <w:bCs/>
              </w:rPr>
              <w:fldChar w:fldCharType="separate"/>
            </w:r>
            <w:r>
              <w:rPr>
                <w:bCs/>
              </w:rPr>
              <w:t>③</w:t>
            </w:r>
            <w:r>
              <w:rPr>
                <w:bCs/>
              </w:rPr>
              <w:fldChar w:fldCharType="end"/>
            </w:r>
            <w:r>
              <w:rPr>
                <w:bCs/>
              </w:rPr>
              <w:t>放射性废物每袋重量不超过20kg，装满废物的塑料袋应密封后及时转送至</w:t>
            </w:r>
            <w:r>
              <w:rPr>
                <w:rFonts w:hint="eastAsia"/>
                <w:bCs/>
                <w:lang w:eastAsia="zh-CN"/>
              </w:rPr>
              <w:t>放废暂存间</w:t>
            </w:r>
            <w:r>
              <w:rPr>
                <w:bCs/>
              </w:rPr>
              <w:t>贮存。</w:t>
            </w:r>
          </w:p>
          <w:p w14:paraId="6A003867">
            <w:pPr>
              <w:widowControl/>
              <w:ind w:firstLine="482"/>
              <w:jc w:val="left"/>
              <w:rPr>
                <w:b/>
                <w:bCs/>
              </w:rPr>
            </w:pPr>
            <w:r>
              <w:rPr>
                <w:b/>
                <w:bCs/>
              </w:rPr>
              <w:t>2）放射性固废临时贮存和最终处理</w:t>
            </w:r>
          </w:p>
          <w:p w14:paraId="2580C680">
            <w:pPr>
              <w:ind w:firstLine="480"/>
              <w:rPr>
                <w:bCs/>
              </w:rPr>
            </w:pPr>
            <w:r>
              <w:rPr>
                <w:bCs/>
              </w:rPr>
              <w:fldChar w:fldCharType="begin"/>
            </w:r>
            <w:r>
              <w:rPr>
                <w:bCs/>
              </w:rPr>
              <w:instrText xml:space="preserve"> = 1 \* GB3 </w:instrText>
            </w:r>
            <w:r>
              <w:rPr>
                <w:bCs/>
              </w:rPr>
              <w:fldChar w:fldCharType="separate"/>
            </w:r>
            <w:r>
              <w:rPr>
                <w:bCs/>
              </w:rPr>
              <w:t>①</w:t>
            </w:r>
            <w:r>
              <w:rPr>
                <w:bCs/>
              </w:rPr>
              <w:fldChar w:fldCharType="end"/>
            </w:r>
            <w:r>
              <w:rPr>
                <w:bCs/>
              </w:rPr>
              <w:t>放废暂存间</w:t>
            </w:r>
            <w:r>
              <w:t>内应设置专用容器盛放固体放射性废物袋（桶），不同类别废物应分开存放。容器表面应注明废物所含核素的名称、废物的类别、入库日期等信息，并做好记录</w:t>
            </w:r>
            <w:r>
              <w:rPr>
                <w:bCs/>
              </w:rPr>
              <w:t>。</w:t>
            </w:r>
            <w:r>
              <w:rPr>
                <w:rFonts w:hint="eastAsia"/>
                <w:bCs/>
                <w:lang w:eastAsia="zh-CN"/>
              </w:rPr>
              <w:t>放废暂存间</w:t>
            </w:r>
            <w:r>
              <w:rPr>
                <w:bCs/>
                <w:lang w:val="en-GB"/>
              </w:rPr>
              <w:t>内不得贮存易燃、易爆、易腐蚀物品</w:t>
            </w:r>
            <w:r>
              <w:rPr>
                <w:bCs/>
              </w:rPr>
              <w:t>。</w:t>
            </w:r>
            <w:r>
              <w:rPr>
                <w:bCs/>
              </w:rPr>
              <w:fldChar w:fldCharType="begin"/>
            </w:r>
            <w:r>
              <w:rPr>
                <w:bCs/>
              </w:rPr>
              <w:instrText xml:space="preserve"> = 2 \* GB3 </w:instrText>
            </w:r>
            <w:r>
              <w:rPr>
                <w:bCs/>
              </w:rPr>
              <w:fldChar w:fldCharType="separate"/>
            </w:r>
            <w:r>
              <w:rPr>
                <w:bCs/>
              </w:rPr>
              <w:t>②</w:t>
            </w:r>
            <w:r>
              <w:rPr>
                <w:bCs/>
              </w:rPr>
              <w:fldChar w:fldCharType="end"/>
            </w:r>
            <w:r>
              <w:rPr>
                <w:bCs/>
              </w:rPr>
              <w:t>固体放射性废物暂存时间满足下列要求的，</w:t>
            </w:r>
            <w:r>
              <w:t>经监测辐射剂量率满足所处环境本底水平、α表面污染小于0.08Bq/cm</w:t>
            </w:r>
            <w:r>
              <w:rPr>
                <w:vertAlign w:val="superscript"/>
              </w:rPr>
              <w:t>2</w:t>
            </w:r>
            <w:r>
              <w:t>、β表面污染小于0.8Bq/cm</w:t>
            </w:r>
            <w:r>
              <w:rPr>
                <w:vertAlign w:val="superscript"/>
              </w:rPr>
              <w:t>2</w:t>
            </w:r>
            <w:r>
              <w:t>的，可对废物清洁解控并作为医疗废物处理：</w:t>
            </w:r>
            <w:r>
              <w:rPr>
                <w:bCs/>
              </w:rPr>
              <w:t>a）所含核素半衰期小于24小时的放射性固体废物暂存时间超过30天；b）所含核素半衰期大于24小时的放射性固体废物暂存时间超过核素最长半衰期的10倍；c）含碘-131核素的放射性固体废物暂存超过180天。</w:t>
            </w:r>
            <w:r>
              <w:rPr>
                <w:bCs/>
              </w:rPr>
              <w:fldChar w:fldCharType="begin"/>
            </w:r>
            <w:r>
              <w:rPr>
                <w:bCs/>
              </w:rPr>
              <w:instrText xml:space="preserve"> = 3 \* GB3 </w:instrText>
            </w:r>
            <w:r>
              <w:rPr>
                <w:bCs/>
              </w:rPr>
              <w:fldChar w:fldCharType="separate"/>
            </w:r>
            <w:r>
              <w:rPr>
                <w:bCs/>
              </w:rPr>
              <w:t>③</w:t>
            </w:r>
            <w:r>
              <w:rPr>
                <w:bCs/>
              </w:rPr>
              <w:fldChar w:fldCharType="end"/>
            </w:r>
            <w:r>
              <w:t>对满足放射性固体废物暂存时间要求的应及时进行处理，以保证各放射性固废暂存容器的暂存空间的流转。</w:t>
            </w:r>
            <w:r>
              <w:rPr>
                <w:bCs/>
              </w:rPr>
              <w:t>④固体放射性废物的存储和处理应安排专人负责，并建立废物存储和处理台账，详细记录放射性废物的核素名称、重量、废物产生起始日期、责任人员、出库时间和监测结果等信息。</w:t>
            </w:r>
          </w:p>
          <w:p w14:paraId="584BD25F">
            <w:pPr>
              <w:ind w:firstLine="482"/>
              <w:rPr>
                <w:b/>
              </w:rPr>
            </w:pPr>
            <w:r>
              <w:rPr>
                <w:b/>
              </w:rPr>
              <w:t>2、非放射性固废</w:t>
            </w:r>
          </w:p>
          <w:p w14:paraId="6FD2775A">
            <w:pPr>
              <w:ind w:firstLine="480"/>
            </w:pPr>
            <w:r>
              <w:rPr>
                <w:bCs/>
                <w:lang w:bidi="ar"/>
              </w:rPr>
              <w:t>本项目产生的生活垃圾依托</w:t>
            </w:r>
            <w:r>
              <w:rPr>
                <w:rFonts w:hint="eastAsia"/>
                <w:bCs/>
                <w:lang w:eastAsia="zh-CN" w:bidi="ar"/>
              </w:rPr>
              <w:t>门诊医技楼</w:t>
            </w:r>
            <w:r>
              <w:rPr>
                <w:bCs/>
                <w:lang w:bidi="ar"/>
              </w:rPr>
              <w:t>拟建的收集系统进行收集后，</w:t>
            </w:r>
            <w:r>
              <w:t>及时交由市政环卫清运</w:t>
            </w:r>
            <w:r>
              <w:rPr>
                <w:bCs/>
                <w:lang w:bidi="ar"/>
              </w:rPr>
              <w:t>。</w:t>
            </w:r>
          </w:p>
          <w:p w14:paraId="7839A6A9">
            <w:pPr>
              <w:rPr>
                <w:rFonts w:eastAsia="黑体"/>
              </w:rPr>
            </w:pPr>
            <w:r>
              <w:rPr>
                <w:rFonts w:eastAsia="黑体"/>
              </w:rPr>
              <w:t>四、噪声治理措施</w:t>
            </w:r>
          </w:p>
          <w:p w14:paraId="56BBA20C">
            <w:pPr>
              <w:pStyle w:val="55"/>
              <w:spacing w:after="0"/>
              <w:ind w:firstLine="480" w:firstLineChars="200"/>
              <w:rPr>
                <w:bCs/>
              </w:rPr>
            </w:pPr>
            <w:r>
              <w:rPr>
                <w:bCs/>
              </w:rPr>
              <w:t>本项目噪声主要来源于场所通排风系统的风机。各辐射工作场所的送风机位于相应楼层的风机房或者房间吊顶内，排风机集中布置于</w:t>
            </w:r>
            <w:r>
              <w:rPr>
                <w:rFonts w:hint="eastAsia"/>
                <w:bCs/>
                <w:lang w:eastAsia="zh-CN"/>
              </w:rPr>
              <w:t>门诊医技楼</w:t>
            </w:r>
            <w:r>
              <w:rPr>
                <w:bCs/>
              </w:rPr>
              <w:t>楼顶（远离保护目标）的风机房内。本项目通排风系统拟采用低噪声风机，风机工作时噪声源强最大为65dB(A)，拟采取安装消音器、基础减振、建筑物隔声等措施。</w:t>
            </w:r>
          </w:p>
          <w:p w14:paraId="77447B8D">
            <w:pPr>
              <w:rPr>
                <w:rFonts w:eastAsia="黑体"/>
              </w:rPr>
            </w:pPr>
            <w:r>
              <w:rPr>
                <w:rFonts w:eastAsia="黑体"/>
              </w:rPr>
              <w:t>五、射线装置报废处理</w:t>
            </w:r>
          </w:p>
          <w:p w14:paraId="1944BE38">
            <w:pPr>
              <w:ind w:firstLine="480"/>
              <w:rPr>
                <w:bCs/>
              </w:rPr>
            </w:pPr>
            <w:r>
              <w:rPr>
                <w:bCs/>
              </w:rPr>
              <w:t>根据《四川省辐射污染防治条例》，“射线装置在报废处置时，使用单位应当对射线装置内的高压射线管进行拆解和去功能化”。报废后需确保射线装置不能正常通电，防止二次使用造成人员误照射。</w:t>
            </w:r>
          </w:p>
          <w:p w14:paraId="7D4236B1">
            <w:pPr>
              <w:rPr>
                <w:rFonts w:eastAsia="黑体"/>
              </w:rPr>
            </w:pPr>
            <w:bookmarkStart w:id="53" w:name="_Toc488069510"/>
            <w:bookmarkStart w:id="54" w:name="_Toc488070116"/>
            <w:r>
              <w:rPr>
                <w:rFonts w:eastAsia="黑体"/>
              </w:rPr>
              <w:t>六、环保措施及其投资估算</w:t>
            </w:r>
            <w:bookmarkEnd w:id="53"/>
            <w:bookmarkEnd w:id="54"/>
          </w:p>
          <w:p w14:paraId="70392806">
            <w:pPr>
              <w:widowControl/>
              <w:ind w:firstLine="480"/>
              <w:jc w:val="left"/>
              <w:rPr>
                <w:bCs/>
              </w:rPr>
            </w:pPr>
            <w:r>
              <w:rPr>
                <w:bCs/>
              </w:rPr>
              <w:t>本项目总投资</w:t>
            </w:r>
            <w:r>
              <w:rPr>
                <w:rFonts w:hint="eastAsia"/>
              </w:rPr>
              <w:t>17418</w:t>
            </w:r>
            <w:r>
              <w:rPr>
                <w:rFonts w:hint="eastAsia"/>
                <w:highlight w:val="none"/>
              </w:rPr>
              <w:t>7.96</w:t>
            </w:r>
            <w:r>
              <w:rPr>
                <w:bCs/>
                <w:highlight w:val="none"/>
              </w:rPr>
              <w:t>万元，环保投资</w:t>
            </w:r>
            <w:r>
              <w:rPr>
                <w:rFonts w:hint="eastAsia"/>
                <w:bCs/>
                <w:highlight w:val="none"/>
                <w:lang w:val="en-US" w:eastAsia="zh-CN"/>
              </w:rPr>
              <w:t>217.8</w:t>
            </w:r>
            <w:r>
              <w:rPr>
                <w:bCs/>
                <w:highlight w:val="none"/>
              </w:rPr>
              <w:t>万元，占总投资的</w:t>
            </w:r>
            <w:r>
              <w:rPr>
                <w:rFonts w:hint="eastAsia"/>
                <w:bCs/>
                <w:highlight w:val="none"/>
                <w:lang w:val="en-US" w:eastAsia="zh-CN"/>
              </w:rPr>
              <w:t>0.12</w:t>
            </w:r>
            <w:r>
              <w:rPr>
                <w:bCs/>
                <w:highlight w:val="none"/>
              </w:rPr>
              <w:t>%。项</w:t>
            </w:r>
            <w:r>
              <w:rPr>
                <w:bCs/>
              </w:rPr>
              <w:t>目辐射防护措施及其投资估算见表10-</w:t>
            </w:r>
            <w:r>
              <w:rPr>
                <w:rFonts w:hint="eastAsia"/>
                <w:bCs/>
                <w:lang w:val="en-US" w:eastAsia="zh-CN"/>
              </w:rPr>
              <w:t>2</w:t>
            </w:r>
            <w:r>
              <w:rPr>
                <w:bCs/>
              </w:rPr>
              <w:t>1。</w:t>
            </w:r>
          </w:p>
          <w:p w14:paraId="5BC1549B">
            <w:pPr>
              <w:spacing w:before="163" w:line="240" w:lineRule="auto"/>
              <w:jc w:val="center"/>
              <w:rPr>
                <w:rFonts w:eastAsia="黑体"/>
                <w:bCs/>
                <w:sz w:val="21"/>
                <w:szCs w:val="21"/>
              </w:rPr>
            </w:pPr>
            <w:r>
              <w:rPr>
                <w:rFonts w:eastAsia="黑体"/>
                <w:bCs/>
                <w:sz w:val="21"/>
                <w:szCs w:val="21"/>
              </w:rPr>
              <w:t>表10-</w:t>
            </w:r>
            <w:r>
              <w:rPr>
                <w:rFonts w:hint="eastAsia" w:eastAsia="黑体"/>
                <w:bCs/>
                <w:sz w:val="21"/>
                <w:szCs w:val="21"/>
                <w:lang w:val="en-US" w:eastAsia="zh-CN"/>
              </w:rPr>
              <w:t>2</w:t>
            </w:r>
            <w:r>
              <w:rPr>
                <w:rFonts w:eastAsia="黑体"/>
                <w:bCs/>
                <w:sz w:val="21"/>
                <w:szCs w:val="21"/>
              </w:rPr>
              <w:t>1  辐射防护设施（措施）及投资估算一览表</w:t>
            </w:r>
          </w:p>
          <w:tbl>
            <w:tblPr>
              <w:tblStyle w:val="57"/>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960"/>
              <w:gridCol w:w="825"/>
              <w:gridCol w:w="977"/>
              <w:gridCol w:w="3343"/>
              <w:gridCol w:w="855"/>
              <w:gridCol w:w="1092"/>
            </w:tblGrid>
            <w:tr w14:paraId="20D4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tcBorders>
                    <w:left w:val="nil"/>
                  </w:tcBorders>
                  <w:vAlign w:val="center"/>
                </w:tcPr>
                <w:p w14:paraId="22D7A3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val="0"/>
                      <w:sz w:val="21"/>
                      <w:szCs w:val="21"/>
                    </w:rPr>
                  </w:pPr>
                  <w:r>
                    <w:rPr>
                      <w:b/>
                      <w:bCs w:val="0"/>
                      <w:sz w:val="21"/>
                      <w:szCs w:val="21"/>
                    </w:rPr>
                    <w:t>项目</w:t>
                  </w:r>
                </w:p>
              </w:tc>
              <w:tc>
                <w:tcPr>
                  <w:tcW w:w="3461" w:type="pct"/>
                  <w:gridSpan w:val="4"/>
                  <w:vAlign w:val="center"/>
                </w:tcPr>
                <w:p w14:paraId="45B527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val="0"/>
                      <w:sz w:val="21"/>
                      <w:szCs w:val="21"/>
                    </w:rPr>
                  </w:pPr>
                  <w:r>
                    <w:rPr>
                      <w:b/>
                      <w:bCs w:val="0"/>
                      <w:sz w:val="21"/>
                      <w:szCs w:val="21"/>
                    </w:rPr>
                    <w:t>设施（设备）</w:t>
                  </w:r>
                </w:p>
              </w:tc>
              <w:tc>
                <w:tcPr>
                  <w:tcW w:w="484" w:type="pct"/>
                  <w:vAlign w:val="center"/>
                </w:tcPr>
                <w:p w14:paraId="51B197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val="0"/>
                      <w:sz w:val="21"/>
                      <w:szCs w:val="21"/>
                    </w:rPr>
                  </w:pPr>
                  <w:r>
                    <w:rPr>
                      <w:b/>
                      <w:bCs w:val="0"/>
                      <w:sz w:val="21"/>
                      <w:szCs w:val="21"/>
                    </w:rPr>
                    <w:t>数量</w:t>
                  </w:r>
                </w:p>
              </w:tc>
              <w:tc>
                <w:tcPr>
                  <w:tcW w:w="619" w:type="pct"/>
                  <w:tcBorders>
                    <w:right w:val="nil"/>
                  </w:tcBorders>
                  <w:vAlign w:val="center"/>
                </w:tcPr>
                <w:p w14:paraId="02520D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
                      <w:bCs w:val="0"/>
                      <w:sz w:val="21"/>
                      <w:szCs w:val="21"/>
                    </w:rPr>
                  </w:pPr>
                  <w:r>
                    <w:rPr>
                      <w:b/>
                      <w:bCs w:val="0"/>
                      <w:sz w:val="21"/>
                      <w:szCs w:val="21"/>
                    </w:rPr>
                    <w:t>金额（万元）</w:t>
                  </w:r>
                </w:p>
              </w:tc>
            </w:tr>
            <w:tr w14:paraId="5C29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vMerge w:val="restart"/>
                  <w:tcBorders>
                    <w:left w:val="nil"/>
                  </w:tcBorders>
                  <w:vAlign w:val="center"/>
                </w:tcPr>
                <w:p w14:paraId="0C5423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rPr>
                    <w:t>辐射防护措施</w:t>
                  </w:r>
                </w:p>
              </w:tc>
              <w:tc>
                <w:tcPr>
                  <w:tcW w:w="544" w:type="pct"/>
                  <w:vMerge w:val="restart"/>
                  <w:vAlign w:val="center"/>
                </w:tcPr>
                <w:p w14:paraId="7B3ACF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z w:val="21"/>
                      <w:szCs w:val="21"/>
                      <w:lang w:val="en-US" w:eastAsia="zh-CN" w:bidi="ar"/>
                    </w:rPr>
                  </w:pPr>
                  <w:r>
                    <w:rPr>
                      <w:rFonts w:hint="eastAsia"/>
                      <w:sz w:val="21"/>
                      <w:szCs w:val="21"/>
                      <w:lang w:val="en-US" w:eastAsia="zh-CN" w:bidi="ar"/>
                    </w:rPr>
                    <w:t>核医学科</w:t>
                  </w:r>
                </w:p>
              </w:tc>
              <w:tc>
                <w:tcPr>
                  <w:tcW w:w="2917" w:type="pct"/>
                  <w:gridSpan w:val="3"/>
                  <w:shd w:val="clear" w:color="auto" w:fill="auto"/>
                  <w:vAlign w:val="center"/>
                </w:tcPr>
                <w:p w14:paraId="2DBB62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rPr>
                    <w:t>控制区辐射工作场所主体结构（墙体、顶板、底板、门、窗等）屏蔽防护</w:t>
                  </w:r>
                </w:p>
              </w:tc>
              <w:tc>
                <w:tcPr>
                  <w:tcW w:w="484" w:type="pct"/>
                  <w:vAlign w:val="center"/>
                </w:tcPr>
                <w:p w14:paraId="1A2695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r>
                    <w:rPr>
                      <w:sz w:val="21"/>
                      <w:szCs w:val="21"/>
                    </w:rPr>
                    <w:t>/</w:t>
                  </w:r>
                </w:p>
              </w:tc>
              <w:tc>
                <w:tcPr>
                  <w:tcW w:w="619" w:type="pct"/>
                  <w:tcBorders>
                    <w:right w:val="nil"/>
                  </w:tcBorders>
                  <w:vAlign w:val="center"/>
                </w:tcPr>
                <w:p w14:paraId="5541E6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纳入主体工程</w:t>
                  </w:r>
                </w:p>
              </w:tc>
            </w:tr>
            <w:tr w14:paraId="26C2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33C29F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256845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p>
              </w:tc>
              <w:tc>
                <w:tcPr>
                  <w:tcW w:w="2917" w:type="pct"/>
                  <w:gridSpan w:val="3"/>
                  <w:shd w:val="clear" w:color="auto" w:fill="auto"/>
                  <w:vAlign w:val="center"/>
                </w:tcPr>
                <w:p w14:paraId="59F288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分装室1#正电子药物</w:t>
                  </w:r>
                  <w:r>
                    <w:rPr>
                      <w:sz w:val="21"/>
                      <w:szCs w:val="21"/>
                      <w:lang w:bidi="ar"/>
                    </w:rPr>
                    <w:t>手套箱</w:t>
                  </w:r>
                  <w:r>
                    <w:rPr>
                      <w:bCs/>
                      <w:sz w:val="21"/>
                      <w:szCs w:val="21"/>
                    </w:rPr>
                    <w:t>（60mm铅当量）</w:t>
                  </w:r>
                </w:p>
              </w:tc>
              <w:tc>
                <w:tcPr>
                  <w:tcW w:w="484" w:type="pct"/>
                  <w:vAlign w:val="center"/>
                </w:tcPr>
                <w:p w14:paraId="2C2FF2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1套</w:t>
                  </w:r>
                </w:p>
              </w:tc>
              <w:tc>
                <w:tcPr>
                  <w:tcW w:w="619" w:type="pct"/>
                  <w:tcBorders>
                    <w:right w:val="nil"/>
                  </w:tcBorders>
                  <w:vAlign w:val="center"/>
                </w:tcPr>
                <w:p w14:paraId="467237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30.0</w:t>
                  </w:r>
                </w:p>
              </w:tc>
            </w:tr>
            <w:tr w14:paraId="68CB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30892E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47D528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p>
              </w:tc>
              <w:tc>
                <w:tcPr>
                  <w:tcW w:w="2917" w:type="pct"/>
                  <w:gridSpan w:val="3"/>
                  <w:shd w:val="clear" w:color="auto" w:fill="auto"/>
                  <w:vAlign w:val="center"/>
                </w:tcPr>
                <w:p w14:paraId="622CD9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分装室1#单光子药物手套箱</w:t>
                  </w:r>
                  <w:r>
                    <w:rPr>
                      <w:bCs/>
                      <w:sz w:val="21"/>
                      <w:szCs w:val="21"/>
                    </w:rPr>
                    <w:t>（</w:t>
                  </w:r>
                  <w:r>
                    <w:rPr>
                      <w:rFonts w:hint="eastAsia"/>
                      <w:bCs/>
                      <w:sz w:val="21"/>
                      <w:szCs w:val="21"/>
                      <w:lang w:val="en-US" w:eastAsia="zh-CN"/>
                    </w:rPr>
                    <w:t>10</w:t>
                  </w:r>
                  <w:r>
                    <w:rPr>
                      <w:bCs/>
                      <w:sz w:val="21"/>
                      <w:szCs w:val="21"/>
                    </w:rPr>
                    <w:t>mm铅当量）</w:t>
                  </w:r>
                </w:p>
              </w:tc>
              <w:tc>
                <w:tcPr>
                  <w:tcW w:w="484" w:type="pct"/>
                  <w:vAlign w:val="center"/>
                </w:tcPr>
                <w:p w14:paraId="150FE9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1套</w:t>
                  </w:r>
                </w:p>
              </w:tc>
              <w:tc>
                <w:tcPr>
                  <w:tcW w:w="619" w:type="pct"/>
                  <w:tcBorders>
                    <w:right w:val="nil"/>
                  </w:tcBorders>
                  <w:vAlign w:val="center"/>
                </w:tcPr>
                <w:p w14:paraId="218A4A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10.0</w:t>
                  </w:r>
                </w:p>
              </w:tc>
            </w:tr>
            <w:tr w14:paraId="594F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196352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5B6671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p>
              </w:tc>
              <w:tc>
                <w:tcPr>
                  <w:tcW w:w="2917" w:type="pct"/>
                  <w:gridSpan w:val="3"/>
                  <w:shd w:val="clear" w:color="auto" w:fill="auto"/>
                  <w:vAlign w:val="center"/>
                </w:tcPr>
                <w:p w14:paraId="00E604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正电子药罐</w:t>
                  </w:r>
                  <w:r>
                    <w:rPr>
                      <w:bCs/>
                      <w:sz w:val="21"/>
                      <w:szCs w:val="21"/>
                    </w:rPr>
                    <w:t>（</w:t>
                  </w:r>
                  <w:r>
                    <w:rPr>
                      <w:rFonts w:hint="eastAsia"/>
                      <w:bCs/>
                      <w:sz w:val="21"/>
                      <w:szCs w:val="21"/>
                      <w:lang w:val="en-US" w:eastAsia="zh-CN"/>
                    </w:rPr>
                    <w:t>5</w:t>
                  </w:r>
                  <w:r>
                    <w:rPr>
                      <w:bCs/>
                      <w:sz w:val="21"/>
                      <w:szCs w:val="21"/>
                    </w:rPr>
                    <w:t>0mm铅当量）</w:t>
                  </w:r>
                </w:p>
              </w:tc>
              <w:tc>
                <w:tcPr>
                  <w:tcW w:w="484" w:type="pct"/>
                  <w:vAlign w:val="center"/>
                </w:tcPr>
                <w:p w14:paraId="748D99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2个</w:t>
                  </w:r>
                </w:p>
              </w:tc>
              <w:tc>
                <w:tcPr>
                  <w:tcW w:w="619" w:type="pct"/>
                  <w:tcBorders>
                    <w:right w:val="nil"/>
                  </w:tcBorders>
                  <w:vAlign w:val="center"/>
                </w:tcPr>
                <w:p w14:paraId="3CE76A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eastAsia="zh-CN"/>
                    </w:rPr>
                  </w:pPr>
                  <w:r>
                    <w:rPr>
                      <w:rFonts w:hint="eastAsia"/>
                      <w:sz w:val="21"/>
                      <w:szCs w:val="21"/>
                      <w:lang w:val="en-US" w:eastAsia="zh-CN"/>
                    </w:rPr>
                    <w:t>2.0</w:t>
                  </w:r>
                </w:p>
              </w:tc>
            </w:tr>
            <w:tr w14:paraId="5772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298A8D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12E318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p>
              </w:tc>
              <w:tc>
                <w:tcPr>
                  <w:tcW w:w="2917" w:type="pct"/>
                  <w:gridSpan w:val="3"/>
                  <w:shd w:val="clear" w:color="auto" w:fill="auto"/>
                  <w:vAlign w:val="center"/>
                </w:tcPr>
                <w:p w14:paraId="572128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z w:val="21"/>
                      <w:szCs w:val="21"/>
                      <w:lang w:val="en-US" w:eastAsia="zh-CN" w:bidi="ar"/>
                    </w:rPr>
                  </w:pPr>
                  <w:r>
                    <w:rPr>
                      <w:rFonts w:hint="eastAsia"/>
                      <w:sz w:val="21"/>
                      <w:szCs w:val="21"/>
                      <w:lang w:val="en-US" w:eastAsia="zh-CN" w:bidi="ar"/>
                    </w:rPr>
                    <w:t>单光子药罐</w:t>
                  </w:r>
                  <w:r>
                    <w:rPr>
                      <w:bCs/>
                      <w:sz w:val="21"/>
                      <w:szCs w:val="21"/>
                    </w:rPr>
                    <w:t>（</w:t>
                  </w:r>
                  <w:r>
                    <w:rPr>
                      <w:rFonts w:hint="eastAsia"/>
                      <w:bCs/>
                      <w:sz w:val="21"/>
                      <w:szCs w:val="21"/>
                      <w:lang w:val="en-US" w:eastAsia="zh-CN"/>
                    </w:rPr>
                    <w:t>1</w:t>
                  </w:r>
                  <w:r>
                    <w:rPr>
                      <w:bCs/>
                      <w:sz w:val="21"/>
                      <w:szCs w:val="21"/>
                    </w:rPr>
                    <w:t>0mm铅当量）</w:t>
                  </w:r>
                </w:p>
              </w:tc>
              <w:tc>
                <w:tcPr>
                  <w:tcW w:w="484" w:type="pct"/>
                  <w:vAlign w:val="center"/>
                </w:tcPr>
                <w:p w14:paraId="5F51EF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rFonts w:hint="eastAsia"/>
                      <w:bCs/>
                      <w:sz w:val="21"/>
                      <w:szCs w:val="21"/>
                      <w:lang w:val="en-US" w:eastAsia="zh-CN"/>
                    </w:rPr>
                    <w:t>2个</w:t>
                  </w:r>
                </w:p>
              </w:tc>
              <w:tc>
                <w:tcPr>
                  <w:tcW w:w="619" w:type="pct"/>
                  <w:tcBorders>
                    <w:right w:val="nil"/>
                  </w:tcBorders>
                  <w:vAlign w:val="center"/>
                </w:tcPr>
                <w:p w14:paraId="69A6EE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eastAsia="zh-CN"/>
                    </w:rPr>
                  </w:pPr>
                  <w:r>
                    <w:rPr>
                      <w:rFonts w:hint="eastAsia"/>
                      <w:sz w:val="21"/>
                      <w:szCs w:val="21"/>
                      <w:lang w:val="en-US" w:eastAsia="zh-CN"/>
                    </w:rPr>
                    <w:t>1.0</w:t>
                  </w:r>
                </w:p>
              </w:tc>
            </w:tr>
            <w:tr w14:paraId="433D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5DA04A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732773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z w:val="21"/>
                      <w:szCs w:val="21"/>
                      <w:lang w:val="en-US" w:eastAsia="zh-CN" w:bidi="ar"/>
                    </w:rPr>
                  </w:pPr>
                </w:p>
              </w:tc>
              <w:tc>
                <w:tcPr>
                  <w:tcW w:w="2917" w:type="pct"/>
                  <w:gridSpan w:val="3"/>
                  <w:shd w:val="clear" w:color="auto" w:fill="auto"/>
                  <w:vAlign w:val="center"/>
                </w:tcPr>
                <w:p w14:paraId="2B3CE8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分装室1#有机玻璃手套箱</w:t>
                  </w:r>
                </w:p>
              </w:tc>
              <w:tc>
                <w:tcPr>
                  <w:tcW w:w="484" w:type="pct"/>
                  <w:vAlign w:val="center"/>
                </w:tcPr>
                <w:p w14:paraId="656BAE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1套</w:t>
                  </w:r>
                </w:p>
              </w:tc>
              <w:tc>
                <w:tcPr>
                  <w:tcW w:w="619" w:type="pct"/>
                  <w:tcBorders>
                    <w:right w:val="nil"/>
                  </w:tcBorders>
                  <w:vAlign w:val="center"/>
                </w:tcPr>
                <w:p w14:paraId="1F1FB5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eastAsia="zh-CN"/>
                    </w:rPr>
                  </w:pPr>
                  <w:r>
                    <w:rPr>
                      <w:rFonts w:hint="eastAsia"/>
                      <w:sz w:val="21"/>
                      <w:szCs w:val="21"/>
                      <w:lang w:val="en-US" w:eastAsia="zh-CN"/>
                    </w:rPr>
                    <w:t>5.0</w:t>
                  </w:r>
                </w:p>
              </w:tc>
            </w:tr>
            <w:tr w14:paraId="5BC8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3B4BCB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2AF44F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p>
              </w:tc>
              <w:tc>
                <w:tcPr>
                  <w:tcW w:w="2917" w:type="pct"/>
                  <w:gridSpan w:val="3"/>
                  <w:shd w:val="clear" w:color="auto" w:fill="auto"/>
                  <w:vAlign w:val="center"/>
                </w:tcPr>
                <w:p w14:paraId="15B852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药物转移铅盒</w:t>
                  </w:r>
                  <w:r>
                    <w:rPr>
                      <w:bCs/>
                      <w:sz w:val="21"/>
                      <w:szCs w:val="21"/>
                    </w:rPr>
                    <w:t>（10mm铅当量）</w:t>
                  </w:r>
                </w:p>
              </w:tc>
              <w:tc>
                <w:tcPr>
                  <w:tcW w:w="484" w:type="pct"/>
                  <w:vAlign w:val="center"/>
                </w:tcPr>
                <w:p w14:paraId="79884C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r>
                    <w:rPr>
                      <w:sz w:val="21"/>
                      <w:szCs w:val="21"/>
                      <w:lang w:bidi="ar"/>
                    </w:rPr>
                    <w:t>2个</w:t>
                  </w:r>
                </w:p>
              </w:tc>
              <w:tc>
                <w:tcPr>
                  <w:tcW w:w="619" w:type="pct"/>
                  <w:tcBorders>
                    <w:right w:val="nil"/>
                  </w:tcBorders>
                  <w:vAlign w:val="center"/>
                </w:tcPr>
                <w:p w14:paraId="7CF19A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1.0</w:t>
                  </w:r>
                </w:p>
              </w:tc>
            </w:tr>
            <w:tr w14:paraId="70E1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1D34FA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2B4762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409B78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药物转移铅盒</w:t>
                  </w:r>
                  <w:r>
                    <w:rPr>
                      <w:bCs/>
                      <w:sz w:val="21"/>
                      <w:szCs w:val="21"/>
                    </w:rPr>
                    <w:t>（</w:t>
                  </w:r>
                  <w:r>
                    <w:rPr>
                      <w:rFonts w:hint="eastAsia"/>
                      <w:bCs/>
                      <w:sz w:val="21"/>
                      <w:szCs w:val="21"/>
                      <w:lang w:val="en-US" w:eastAsia="zh-CN"/>
                    </w:rPr>
                    <w:t>5</w:t>
                  </w:r>
                  <w:r>
                    <w:rPr>
                      <w:bCs/>
                      <w:sz w:val="21"/>
                      <w:szCs w:val="21"/>
                    </w:rPr>
                    <w:t>mm铅当量）</w:t>
                  </w:r>
                </w:p>
              </w:tc>
              <w:tc>
                <w:tcPr>
                  <w:tcW w:w="484" w:type="pct"/>
                  <w:shd w:val="clear" w:color="auto" w:fill="auto"/>
                  <w:vAlign w:val="center"/>
                </w:tcPr>
                <w:p w14:paraId="653468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619" w:type="pct"/>
                  <w:tcBorders>
                    <w:right w:val="nil"/>
                  </w:tcBorders>
                  <w:shd w:val="clear" w:color="auto" w:fill="auto"/>
                  <w:vAlign w:val="center"/>
                </w:tcPr>
                <w:p w14:paraId="3F661F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0.8</w:t>
                  </w:r>
                </w:p>
              </w:tc>
            </w:tr>
            <w:tr w14:paraId="02F3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71D7F0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033D93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43616D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注射器铅套</w:t>
                  </w:r>
                  <w:r>
                    <w:rPr>
                      <w:bCs/>
                      <w:sz w:val="21"/>
                      <w:szCs w:val="21"/>
                    </w:rPr>
                    <w:t>（10mm铅当量）</w:t>
                  </w:r>
                </w:p>
              </w:tc>
              <w:tc>
                <w:tcPr>
                  <w:tcW w:w="484" w:type="pct"/>
                  <w:shd w:val="clear" w:color="auto" w:fill="auto"/>
                  <w:vAlign w:val="center"/>
                </w:tcPr>
                <w:p w14:paraId="65BDE3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619" w:type="pct"/>
                  <w:tcBorders>
                    <w:right w:val="nil"/>
                  </w:tcBorders>
                  <w:shd w:val="clear" w:color="auto" w:fill="auto"/>
                  <w:vAlign w:val="center"/>
                </w:tcPr>
                <w:p w14:paraId="6EC55F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0.4</w:t>
                  </w:r>
                </w:p>
              </w:tc>
            </w:tr>
            <w:tr w14:paraId="6729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2328E5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2611F7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2B1EA6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注射器铅套</w:t>
                  </w:r>
                  <w:r>
                    <w:rPr>
                      <w:bCs/>
                      <w:sz w:val="21"/>
                      <w:szCs w:val="21"/>
                    </w:rPr>
                    <w:t>（</w:t>
                  </w:r>
                  <w:r>
                    <w:rPr>
                      <w:rFonts w:hint="eastAsia"/>
                      <w:bCs/>
                      <w:sz w:val="21"/>
                      <w:szCs w:val="21"/>
                      <w:lang w:val="en-US" w:eastAsia="zh-CN"/>
                    </w:rPr>
                    <w:t>5</w:t>
                  </w:r>
                  <w:r>
                    <w:rPr>
                      <w:bCs/>
                      <w:sz w:val="21"/>
                      <w:szCs w:val="21"/>
                    </w:rPr>
                    <w:t>mm铅当量）</w:t>
                  </w:r>
                </w:p>
              </w:tc>
              <w:tc>
                <w:tcPr>
                  <w:tcW w:w="484" w:type="pct"/>
                  <w:shd w:val="clear" w:color="auto" w:fill="auto"/>
                  <w:vAlign w:val="center"/>
                </w:tcPr>
                <w:p w14:paraId="52E857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619" w:type="pct"/>
                  <w:tcBorders>
                    <w:right w:val="nil"/>
                  </w:tcBorders>
                  <w:shd w:val="clear" w:color="auto" w:fill="auto"/>
                  <w:vAlign w:val="center"/>
                </w:tcPr>
                <w:p w14:paraId="33A2FD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0.3</w:t>
                  </w:r>
                </w:p>
              </w:tc>
            </w:tr>
            <w:tr w14:paraId="4BDA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58527E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324CD2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21BC89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PET</w:t>
                  </w:r>
                  <w:r>
                    <w:rPr>
                      <w:sz w:val="21"/>
                      <w:szCs w:val="21"/>
                      <w:lang w:bidi="ar"/>
                    </w:rPr>
                    <w:t>注射窗</w:t>
                  </w:r>
                  <w:r>
                    <w:rPr>
                      <w:bCs/>
                      <w:sz w:val="21"/>
                      <w:szCs w:val="21"/>
                    </w:rPr>
                    <w:t>（50mm铅当量）</w:t>
                  </w:r>
                </w:p>
              </w:tc>
              <w:tc>
                <w:tcPr>
                  <w:tcW w:w="484" w:type="pct"/>
                  <w:shd w:val="clear" w:color="auto" w:fill="auto"/>
                  <w:vAlign w:val="center"/>
                </w:tcPr>
                <w:p w14:paraId="60550A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1个</w:t>
                  </w:r>
                </w:p>
              </w:tc>
              <w:tc>
                <w:tcPr>
                  <w:tcW w:w="619" w:type="pct"/>
                  <w:tcBorders>
                    <w:right w:val="nil"/>
                  </w:tcBorders>
                  <w:shd w:val="clear" w:color="auto" w:fill="auto"/>
                  <w:vAlign w:val="center"/>
                </w:tcPr>
                <w:p w14:paraId="63F537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1.0</w:t>
                  </w:r>
                </w:p>
              </w:tc>
            </w:tr>
            <w:tr w14:paraId="2265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4EEC72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579414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33DDA1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ECT</w:t>
                  </w:r>
                  <w:r>
                    <w:rPr>
                      <w:sz w:val="21"/>
                      <w:szCs w:val="21"/>
                      <w:lang w:bidi="ar"/>
                    </w:rPr>
                    <w:t>注射窗</w:t>
                  </w:r>
                  <w:r>
                    <w:rPr>
                      <w:bCs/>
                      <w:sz w:val="21"/>
                      <w:szCs w:val="21"/>
                    </w:rPr>
                    <w:t>（5mm铅当量）</w:t>
                  </w:r>
                </w:p>
              </w:tc>
              <w:tc>
                <w:tcPr>
                  <w:tcW w:w="484" w:type="pct"/>
                  <w:shd w:val="clear" w:color="auto" w:fill="auto"/>
                  <w:vAlign w:val="center"/>
                </w:tcPr>
                <w:p w14:paraId="112FCD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1个</w:t>
                  </w:r>
                </w:p>
              </w:tc>
              <w:tc>
                <w:tcPr>
                  <w:tcW w:w="619" w:type="pct"/>
                  <w:tcBorders>
                    <w:right w:val="nil"/>
                  </w:tcBorders>
                  <w:shd w:val="clear" w:color="auto" w:fill="auto"/>
                  <w:vAlign w:val="center"/>
                </w:tcPr>
                <w:p w14:paraId="40975D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0.5</w:t>
                  </w:r>
                </w:p>
              </w:tc>
            </w:tr>
            <w:tr w14:paraId="5863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434" w:type="pct"/>
                  <w:vMerge w:val="continue"/>
                  <w:tcBorders>
                    <w:left w:val="nil"/>
                  </w:tcBorders>
                  <w:vAlign w:val="center"/>
                </w:tcPr>
                <w:p w14:paraId="255564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11467C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p>
              </w:tc>
              <w:tc>
                <w:tcPr>
                  <w:tcW w:w="2917" w:type="pct"/>
                  <w:gridSpan w:val="3"/>
                  <w:shd w:val="clear" w:color="auto" w:fill="auto"/>
                  <w:vAlign w:val="center"/>
                </w:tcPr>
                <w:p w14:paraId="7EBA2D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PET</w:t>
                  </w:r>
                  <w:r>
                    <w:rPr>
                      <w:sz w:val="21"/>
                      <w:szCs w:val="21"/>
                      <w:lang w:bidi="ar"/>
                    </w:rPr>
                    <w:t>注射后等候室病人隔离铅屏风（</w:t>
                  </w:r>
                  <w:r>
                    <w:rPr>
                      <w:bCs/>
                      <w:sz w:val="21"/>
                      <w:szCs w:val="21"/>
                    </w:rPr>
                    <w:t>10mm铅当量</w:t>
                  </w:r>
                  <w:r>
                    <w:rPr>
                      <w:sz w:val="21"/>
                      <w:szCs w:val="21"/>
                      <w:lang w:bidi="ar"/>
                    </w:rPr>
                    <w:t>）</w:t>
                  </w:r>
                </w:p>
              </w:tc>
              <w:tc>
                <w:tcPr>
                  <w:tcW w:w="484" w:type="pct"/>
                  <w:shd w:val="clear" w:color="auto" w:fill="auto"/>
                  <w:vAlign w:val="center"/>
                </w:tcPr>
                <w:p w14:paraId="2577F1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619" w:type="pct"/>
                  <w:tcBorders>
                    <w:right w:val="nil"/>
                  </w:tcBorders>
                  <w:shd w:val="clear" w:color="auto" w:fill="auto"/>
                  <w:vAlign w:val="center"/>
                </w:tcPr>
                <w:p w14:paraId="038F15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0.8</w:t>
                  </w:r>
                </w:p>
              </w:tc>
            </w:tr>
            <w:tr w14:paraId="6D06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0FD021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7B5F29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p>
              </w:tc>
              <w:tc>
                <w:tcPr>
                  <w:tcW w:w="2917" w:type="pct"/>
                  <w:gridSpan w:val="3"/>
                  <w:shd w:val="clear" w:color="auto" w:fill="auto"/>
                  <w:vAlign w:val="center"/>
                </w:tcPr>
                <w:p w14:paraId="70540C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ECT</w:t>
                  </w:r>
                  <w:r>
                    <w:rPr>
                      <w:sz w:val="21"/>
                      <w:szCs w:val="21"/>
                      <w:lang w:bidi="ar"/>
                    </w:rPr>
                    <w:t>注射后等候室病人隔离铅屏风（</w:t>
                  </w:r>
                  <w:r>
                    <w:rPr>
                      <w:rFonts w:hint="eastAsia"/>
                      <w:sz w:val="21"/>
                      <w:szCs w:val="21"/>
                      <w:lang w:val="en-US" w:eastAsia="zh-CN" w:bidi="ar"/>
                    </w:rPr>
                    <w:t>3</w:t>
                  </w:r>
                  <w:r>
                    <w:rPr>
                      <w:bCs/>
                      <w:sz w:val="21"/>
                      <w:szCs w:val="21"/>
                    </w:rPr>
                    <w:t>mm铅当量</w:t>
                  </w:r>
                  <w:r>
                    <w:rPr>
                      <w:sz w:val="21"/>
                      <w:szCs w:val="21"/>
                      <w:lang w:bidi="ar"/>
                    </w:rPr>
                    <w:t>）</w:t>
                  </w:r>
                </w:p>
              </w:tc>
              <w:tc>
                <w:tcPr>
                  <w:tcW w:w="484" w:type="pct"/>
                  <w:shd w:val="clear" w:color="auto" w:fill="auto"/>
                  <w:vAlign w:val="center"/>
                </w:tcPr>
                <w:p w14:paraId="5EFA83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619" w:type="pct"/>
                  <w:tcBorders>
                    <w:right w:val="nil"/>
                  </w:tcBorders>
                  <w:shd w:val="clear" w:color="auto" w:fill="auto"/>
                  <w:vAlign w:val="center"/>
                </w:tcPr>
                <w:p w14:paraId="1A9417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0.5</w:t>
                  </w:r>
                </w:p>
              </w:tc>
            </w:tr>
            <w:tr w14:paraId="1A68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6A1386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2FE556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741C83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rPr>
                    <w:t>PET/CT机房</w:t>
                  </w:r>
                  <w:r>
                    <w:rPr>
                      <w:sz w:val="21"/>
                      <w:szCs w:val="21"/>
                      <w:lang w:bidi="ar"/>
                    </w:rPr>
                    <w:t>摆位铅屏风（</w:t>
                  </w:r>
                  <w:r>
                    <w:rPr>
                      <w:bCs/>
                      <w:sz w:val="21"/>
                      <w:szCs w:val="21"/>
                    </w:rPr>
                    <w:t>8mm铅当量</w:t>
                  </w:r>
                  <w:r>
                    <w:rPr>
                      <w:sz w:val="21"/>
                      <w:szCs w:val="21"/>
                      <w:lang w:bidi="ar"/>
                    </w:rPr>
                    <w:t>）</w:t>
                  </w:r>
                </w:p>
              </w:tc>
              <w:tc>
                <w:tcPr>
                  <w:tcW w:w="484" w:type="pct"/>
                  <w:shd w:val="clear" w:color="auto" w:fill="auto"/>
                  <w:vAlign w:val="center"/>
                </w:tcPr>
                <w:p w14:paraId="0C4103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619" w:type="pct"/>
                  <w:tcBorders>
                    <w:right w:val="nil"/>
                  </w:tcBorders>
                  <w:shd w:val="clear" w:color="auto" w:fill="auto"/>
                  <w:vAlign w:val="center"/>
                </w:tcPr>
                <w:p w14:paraId="3533AC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0.8</w:t>
                  </w:r>
                </w:p>
              </w:tc>
            </w:tr>
            <w:tr w14:paraId="5DED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359B9C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45F85E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4A20C3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rPr>
                    <w:t>SPECT</w:t>
                  </w:r>
                  <w:r>
                    <w:rPr>
                      <w:sz w:val="21"/>
                      <w:szCs w:val="21"/>
                    </w:rPr>
                    <w:t>/CT机房</w:t>
                  </w:r>
                  <w:r>
                    <w:rPr>
                      <w:sz w:val="21"/>
                      <w:szCs w:val="21"/>
                      <w:lang w:bidi="ar"/>
                    </w:rPr>
                    <w:t>摆位铅屏风（</w:t>
                  </w:r>
                  <w:r>
                    <w:rPr>
                      <w:rFonts w:hint="eastAsia"/>
                      <w:bCs/>
                      <w:sz w:val="21"/>
                      <w:szCs w:val="21"/>
                      <w:lang w:val="en-US" w:eastAsia="zh-CN"/>
                    </w:rPr>
                    <w:t>3</w:t>
                  </w:r>
                  <w:r>
                    <w:rPr>
                      <w:bCs/>
                      <w:sz w:val="21"/>
                      <w:szCs w:val="21"/>
                    </w:rPr>
                    <w:t>mm铅当量</w:t>
                  </w:r>
                  <w:r>
                    <w:rPr>
                      <w:sz w:val="21"/>
                      <w:szCs w:val="21"/>
                      <w:lang w:bidi="ar"/>
                    </w:rPr>
                    <w:t>）</w:t>
                  </w:r>
                </w:p>
              </w:tc>
              <w:tc>
                <w:tcPr>
                  <w:tcW w:w="484" w:type="pct"/>
                  <w:shd w:val="clear" w:color="auto" w:fill="auto"/>
                  <w:vAlign w:val="center"/>
                </w:tcPr>
                <w:p w14:paraId="644999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619" w:type="pct"/>
                  <w:tcBorders>
                    <w:right w:val="nil"/>
                  </w:tcBorders>
                  <w:shd w:val="clear" w:color="auto" w:fill="auto"/>
                  <w:vAlign w:val="center"/>
                </w:tcPr>
                <w:p w14:paraId="769219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0.5</w:t>
                  </w:r>
                </w:p>
              </w:tc>
            </w:tr>
            <w:tr w14:paraId="308F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7C7925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288BCC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p>
              </w:tc>
              <w:tc>
                <w:tcPr>
                  <w:tcW w:w="2917" w:type="pct"/>
                  <w:gridSpan w:val="3"/>
                  <w:shd w:val="clear" w:color="auto" w:fill="auto"/>
                  <w:vAlign w:val="center"/>
                </w:tcPr>
                <w:p w14:paraId="65E81B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甲功室、敷贴室1#、2#病人隔离铅屏风（2</w:t>
                  </w:r>
                  <w:r>
                    <w:rPr>
                      <w:bCs/>
                      <w:sz w:val="21"/>
                      <w:szCs w:val="21"/>
                    </w:rPr>
                    <w:t>mm铅当量</w:t>
                  </w:r>
                  <w:r>
                    <w:rPr>
                      <w:rFonts w:hint="eastAsia"/>
                      <w:sz w:val="21"/>
                      <w:szCs w:val="21"/>
                      <w:lang w:val="en-US" w:eastAsia="zh-CN" w:bidi="ar"/>
                    </w:rPr>
                    <w:t>）</w:t>
                  </w:r>
                </w:p>
              </w:tc>
              <w:tc>
                <w:tcPr>
                  <w:tcW w:w="484" w:type="pct"/>
                  <w:vAlign w:val="center"/>
                </w:tcPr>
                <w:p w14:paraId="163B59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sz w:val="21"/>
                      <w:szCs w:val="21"/>
                      <w:lang w:val="en-US" w:eastAsia="zh-CN" w:bidi="ar"/>
                    </w:rPr>
                    <w:t>3个</w:t>
                  </w:r>
                </w:p>
              </w:tc>
              <w:tc>
                <w:tcPr>
                  <w:tcW w:w="619" w:type="pct"/>
                  <w:tcBorders>
                    <w:right w:val="nil"/>
                  </w:tcBorders>
                  <w:vAlign w:val="center"/>
                </w:tcPr>
                <w:p w14:paraId="7DF810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1.0</w:t>
                  </w:r>
                </w:p>
              </w:tc>
            </w:tr>
            <w:tr w14:paraId="6F49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15842A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35DB6D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4C82E9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PET留观</w:t>
                  </w:r>
                  <w:r>
                    <w:rPr>
                      <w:sz w:val="21"/>
                      <w:szCs w:val="21"/>
                      <w:lang w:bidi="ar"/>
                    </w:rPr>
                    <w:t>室病人隔离铅屏风（</w:t>
                  </w:r>
                  <w:r>
                    <w:rPr>
                      <w:bCs/>
                      <w:sz w:val="21"/>
                      <w:szCs w:val="21"/>
                    </w:rPr>
                    <w:t>10mm铅当量</w:t>
                  </w:r>
                  <w:r>
                    <w:rPr>
                      <w:sz w:val="21"/>
                      <w:szCs w:val="21"/>
                      <w:lang w:bidi="ar"/>
                    </w:rPr>
                    <w:t>）</w:t>
                  </w:r>
                </w:p>
              </w:tc>
              <w:tc>
                <w:tcPr>
                  <w:tcW w:w="484" w:type="pct"/>
                  <w:shd w:val="clear" w:color="auto" w:fill="auto"/>
                  <w:vAlign w:val="center"/>
                </w:tcPr>
                <w:p w14:paraId="3E1420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619" w:type="pct"/>
                  <w:tcBorders>
                    <w:right w:val="nil"/>
                  </w:tcBorders>
                  <w:shd w:val="clear" w:color="auto" w:fill="auto"/>
                  <w:vAlign w:val="center"/>
                </w:tcPr>
                <w:p w14:paraId="2537F8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0.8</w:t>
                  </w:r>
                </w:p>
              </w:tc>
            </w:tr>
            <w:tr w14:paraId="532F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1C106F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3D37BD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p>
              </w:tc>
              <w:tc>
                <w:tcPr>
                  <w:tcW w:w="2917" w:type="pct"/>
                  <w:gridSpan w:val="3"/>
                  <w:shd w:val="clear" w:color="auto" w:fill="auto"/>
                  <w:vAlign w:val="center"/>
                </w:tcPr>
                <w:p w14:paraId="2C8B1F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ECT留观</w:t>
                  </w:r>
                  <w:r>
                    <w:rPr>
                      <w:sz w:val="21"/>
                      <w:szCs w:val="21"/>
                      <w:lang w:bidi="ar"/>
                    </w:rPr>
                    <w:t>室病人隔离铅屏风（</w:t>
                  </w:r>
                  <w:r>
                    <w:rPr>
                      <w:rFonts w:hint="eastAsia"/>
                      <w:bCs/>
                      <w:sz w:val="21"/>
                      <w:szCs w:val="21"/>
                      <w:lang w:val="en-US" w:eastAsia="zh-CN"/>
                    </w:rPr>
                    <w:t>3</w:t>
                  </w:r>
                  <w:r>
                    <w:rPr>
                      <w:bCs/>
                      <w:sz w:val="21"/>
                      <w:szCs w:val="21"/>
                    </w:rPr>
                    <w:t>mm铅当量</w:t>
                  </w:r>
                  <w:r>
                    <w:rPr>
                      <w:sz w:val="21"/>
                      <w:szCs w:val="21"/>
                      <w:lang w:bidi="ar"/>
                    </w:rPr>
                    <w:t>）</w:t>
                  </w:r>
                </w:p>
              </w:tc>
              <w:tc>
                <w:tcPr>
                  <w:tcW w:w="484" w:type="pct"/>
                  <w:shd w:val="clear" w:color="auto" w:fill="auto"/>
                  <w:vAlign w:val="center"/>
                </w:tcPr>
                <w:p w14:paraId="1E66C9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619" w:type="pct"/>
                  <w:tcBorders>
                    <w:right w:val="nil"/>
                  </w:tcBorders>
                  <w:shd w:val="clear" w:color="auto" w:fill="auto"/>
                  <w:vAlign w:val="center"/>
                </w:tcPr>
                <w:p w14:paraId="684C53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0.5</w:t>
                  </w:r>
                </w:p>
              </w:tc>
            </w:tr>
            <w:tr w14:paraId="6D14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683ADA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1674A7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p>
              </w:tc>
              <w:tc>
                <w:tcPr>
                  <w:tcW w:w="2917" w:type="pct"/>
                  <w:gridSpan w:val="3"/>
                  <w:shd w:val="clear" w:color="auto" w:fill="auto"/>
                  <w:vAlign w:val="center"/>
                </w:tcPr>
                <w:p w14:paraId="36E43A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分装室2#Sr分药手套箱（</w:t>
                  </w:r>
                  <w:r>
                    <w:rPr>
                      <w:bCs/>
                      <w:sz w:val="21"/>
                      <w:szCs w:val="21"/>
                    </w:rPr>
                    <w:t>10mm铅当量</w:t>
                  </w:r>
                  <w:r>
                    <w:rPr>
                      <w:rFonts w:hint="eastAsia"/>
                      <w:sz w:val="21"/>
                      <w:szCs w:val="21"/>
                      <w:lang w:val="en-US" w:eastAsia="zh-CN" w:bidi="ar"/>
                    </w:rPr>
                    <w:t>）</w:t>
                  </w:r>
                </w:p>
              </w:tc>
              <w:tc>
                <w:tcPr>
                  <w:tcW w:w="484" w:type="pct"/>
                  <w:shd w:val="clear" w:color="auto" w:fill="auto"/>
                  <w:vAlign w:val="center"/>
                </w:tcPr>
                <w:p w14:paraId="145D4D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1套</w:t>
                  </w:r>
                </w:p>
              </w:tc>
              <w:tc>
                <w:tcPr>
                  <w:tcW w:w="619" w:type="pct"/>
                  <w:tcBorders>
                    <w:right w:val="nil"/>
                  </w:tcBorders>
                  <w:vAlign w:val="center"/>
                </w:tcPr>
                <w:p w14:paraId="5A7246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10.0</w:t>
                  </w:r>
                </w:p>
              </w:tc>
            </w:tr>
            <w:tr w14:paraId="11E0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4A6B4B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4A5472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z w:val="21"/>
                      <w:szCs w:val="21"/>
                      <w:lang w:val="en-US" w:bidi="ar"/>
                    </w:rPr>
                  </w:pPr>
                </w:p>
              </w:tc>
              <w:tc>
                <w:tcPr>
                  <w:tcW w:w="2917" w:type="pct"/>
                  <w:gridSpan w:val="3"/>
                  <w:shd w:val="clear" w:color="auto" w:fill="auto"/>
                  <w:vAlign w:val="center"/>
                </w:tcPr>
                <w:p w14:paraId="629C82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分装室2#</w:t>
                  </w:r>
                  <w:r>
                    <w:rPr>
                      <w:sz w:val="21"/>
                      <w:szCs w:val="21"/>
                    </w:rPr>
                    <w:t>自动分药</w:t>
                  </w:r>
                  <w:r>
                    <w:rPr>
                      <w:rFonts w:hint="eastAsia"/>
                      <w:sz w:val="21"/>
                      <w:szCs w:val="21"/>
                      <w:lang w:val="en-US" w:eastAsia="zh-CN"/>
                    </w:rPr>
                    <w:t>手套箱（40</w:t>
                  </w:r>
                  <w:r>
                    <w:rPr>
                      <w:bCs/>
                      <w:sz w:val="21"/>
                      <w:szCs w:val="21"/>
                    </w:rPr>
                    <w:t>mm铅当量</w:t>
                  </w:r>
                  <w:r>
                    <w:rPr>
                      <w:rFonts w:hint="eastAsia"/>
                      <w:sz w:val="21"/>
                      <w:szCs w:val="21"/>
                      <w:lang w:val="en-US" w:eastAsia="zh-CN"/>
                    </w:rPr>
                    <w:t>）</w:t>
                  </w:r>
                </w:p>
              </w:tc>
              <w:tc>
                <w:tcPr>
                  <w:tcW w:w="484" w:type="pct"/>
                  <w:shd w:val="clear" w:color="auto" w:fill="auto"/>
                  <w:vAlign w:val="center"/>
                </w:tcPr>
                <w:p w14:paraId="24B194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1套</w:t>
                  </w:r>
                </w:p>
              </w:tc>
              <w:tc>
                <w:tcPr>
                  <w:tcW w:w="619" w:type="pct"/>
                  <w:tcBorders>
                    <w:right w:val="nil"/>
                  </w:tcBorders>
                  <w:vAlign w:val="center"/>
                </w:tcPr>
                <w:p w14:paraId="4B9799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30.0</w:t>
                  </w:r>
                </w:p>
              </w:tc>
            </w:tr>
            <w:tr w14:paraId="5072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7A88C5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7A800C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7F2C6C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药物转移铅盒</w:t>
                  </w:r>
                  <w:r>
                    <w:rPr>
                      <w:bCs/>
                      <w:sz w:val="21"/>
                      <w:szCs w:val="21"/>
                    </w:rPr>
                    <w:t>（</w:t>
                  </w:r>
                  <w:r>
                    <w:rPr>
                      <w:rFonts w:hint="eastAsia"/>
                      <w:bCs/>
                      <w:sz w:val="21"/>
                      <w:szCs w:val="21"/>
                      <w:lang w:val="en-US" w:eastAsia="zh-CN"/>
                    </w:rPr>
                    <w:t>10</w:t>
                  </w:r>
                  <w:r>
                    <w:rPr>
                      <w:bCs/>
                      <w:sz w:val="21"/>
                      <w:szCs w:val="21"/>
                    </w:rPr>
                    <w:t>mm铅当量）</w:t>
                  </w:r>
                </w:p>
              </w:tc>
              <w:tc>
                <w:tcPr>
                  <w:tcW w:w="484" w:type="pct"/>
                  <w:shd w:val="clear" w:color="auto" w:fill="auto"/>
                  <w:vAlign w:val="center"/>
                </w:tcPr>
                <w:p w14:paraId="1D650B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619" w:type="pct"/>
                  <w:tcBorders>
                    <w:right w:val="nil"/>
                  </w:tcBorders>
                  <w:shd w:val="clear" w:color="auto" w:fill="auto"/>
                  <w:vAlign w:val="center"/>
                </w:tcPr>
                <w:p w14:paraId="486B1E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1.0</w:t>
                  </w:r>
                </w:p>
              </w:tc>
            </w:tr>
            <w:tr w14:paraId="53AD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5B9910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shd w:val="clear" w:color="auto" w:fill="auto"/>
                  <w:vAlign w:val="center"/>
                </w:tcPr>
                <w:p w14:paraId="485A0B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p>
              </w:tc>
              <w:tc>
                <w:tcPr>
                  <w:tcW w:w="2917" w:type="pct"/>
                  <w:gridSpan w:val="3"/>
                  <w:shd w:val="clear" w:color="auto" w:fill="auto"/>
                  <w:vAlign w:val="center"/>
                </w:tcPr>
                <w:p w14:paraId="5CC3B5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注射器铅套</w:t>
                  </w:r>
                  <w:r>
                    <w:rPr>
                      <w:bCs/>
                      <w:sz w:val="21"/>
                      <w:szCs w:val="21"/>
                    </w:rPr>
                    <w:t>（10mm铅当量）</w:t>
                  </w:r>
                </w:p>
              </w:tc>
              <w:tc>
                <w:tcPr>
                  <w:tcW w:w="484" w:type="pct"/>
                  <w:shd w:val="clear" w:color="auto" w:fill="auto"/>
                  <w:vAlign w:val="center"/>
                </w:tcPr>
                <w:p w14:paraId="418421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619" w:type="pct"/>
                  <w:tcBorders>
                    <w:right w:val="nil"/>
                  </w:tcBorders>
                  <w:shd w:val="clear" w:color="auto" w:fill="auto"/>
                  <w:vAlign w:val="center"/>
                </w:tcPr>
                <w:p w14:paraId="051362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0.4</w:t>
                  </w:r>
                </w:p>
              </w:tc>
            </w:tr>
            <w:tr w14:paraId="6D34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463DE9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41CE62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p>
              </w:tc>
              <w:tc>
                <w:tcPr>
                  <w:tcW w:w="2917" w:type="pct"/>
                  <w:gridSpan w:val="3"/>
                  <w:shd w:val="clear" w:color="auto" w:fill="auto"/>
                  <w:vAlign w:val="center"/>
                </w:tcPr>
                <w:p w14:paraId="54779E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Sr-89注射窗（10</w:t>
                  </w:r>
                  <w:r>
                    <w:rPr>
                      <w:bCs/>
                      <w:sz w:val="21"/>
                      <w:szCs w:val="21"/>
                    </w:rPr>
                    <w:t>mm铅当量</w:t>
                  </w:r>
                  <w:r>
                    <w:rPr>
                      <w:rFonts w:hint="eastAsia"/>
                      <w:sz w:val="21"/>
                      <w:szCs w:val="21"/>
                      <w:lang w:val="en-US" w:eastAsia="zh-CN" w:bidi="ar"/>
                    </w:rPr>
                    <w:t>）</w:t>
                  </w:r>
                </w:p>
              </w:tc>
              <w:tc>
                <w:tcPr>
                  <w:tcW w:w="484" w:type="pct"/>
                  <w:vAlign w:val="center"/>
                </w:tcPr>
                <w:p w14:paraId="25A923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sz w:val="21"/>
                      <w:szCs w:val="21"/>
                      <w:lang w:val="en-US" w:eastAsia="zh-CN" w:bidi="ar"/>
                    </w:rPr>
                    <w:t>1个</w:t>
                  </w:r>
                </w:p>
              </w:tc>
              <w:tc>
                <w:tcPr>
                  <w:tcW w:w="619" w:type="pct"/>
                  <w:tcBorders>
                    <w:right w:val="nil"/>
                  </w:tcBorders>
                  <w:vAlign w:val="center"/>
                </w:tcPr>
                <w:p w14:paraId="64B0C9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1.0</w:t>
                  </w:r>
                </w:p>
              </w:tc>
            </w:tr>
            <w:tr w14:paraId="72D9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768384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541804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p>
              </w:tc>
              <w:tc>
                <w:tcPr>
                  <w:tcW w:w="2917" w:type="pct"/>
                  <w:gridSpan w:val="3"/>
                  <w:shd w:val="clear" w:color="auto" w:fill="auto"/>
                  <w:vAlign w:val="center"/>
                </w:tcPr>
                <w:p w14:paraId="6904E4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日间留观室甲亢病人隔离铅屏风（10mm铅当量）</w:t>
                  </w:r>
                </w:p>
              </w:tc>
              <w:tc>
                <w:tcPr>
                  <w:tcW w:w="484" w:type="pct"/>
                  <w:vAlign w:val="center"/>
                </w:tcPr>
                <w:p w14:paraId="387770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2个</w:t>
                  </w:r>
                </w:p>
              </w:tc>
              <w:tc>
                <w:tcPr>
                  <w:tcW w:w="619" w:type="pct"/>
                  <w:tcBorders>
                    <w:right w:val="nil"/>
                  </w:tcBorders>
                  <w:vAlign w:val="center"/>
                </w:tcPr>
                <w:p w14:paraId="5910C1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1.0</w:t>
                  </w:r>
                </w:p>
              </w:tc>
            </w:tr>
            <w:tr w14:paraId="0D2E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3108DE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Align w:val="center"/>
                </w:tcPr>
                <w:p w14:paraId="39A361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bCs/>
                      <w:sz w:val="21"/>
                      <w:szCs w:val="21"/>
                      <w:lang w:val="en-US" w:eastAsia="zh-CN"/>
                    </w:rPr>
                    <w:t>手术部和内镜中心</w:t>
                  </w:r>
                </w:p>
              </w:tc>
              <w:tc>
                <w:tcPr>
                  <w:tcW w:w="2917" w:type="pct"/>
                  <w:gridSpan w:val="3"/>
                  <w:shd w:val="clear" w:color="auto" w:fill="auto"/>
                  <w:vAlign w:val="center"/>
                </w:tcPr>
                <w:p w14:paraId="4C465F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z w:val="21"/>
                      <w:szCs w:val="21"/>
                      <w:lang w:val="en-US" w:eastAsia="zh-CN" w:bidi="ar"/>
                    </w:rPr>
                  </w:pPr>
                  <w:r>
                    <w:rPr>
                      <w:sz w:val="21"/>
                      <w:szCs w:val="21"/>
                    </w:rPr>
                    <w:t>控制区辐射工作场所主体结构（墙体、顶板、底板、门、窗等）屏蔽防护</w:t>
                  </w:r>
                </w:p>
              </w:tc>
              <w:tc>
                <w:tcPr>
                  <w:tcW w:w="484" w:type="pct"/>
                  <w:shd w:val="clear" w:color="auto" w:fill="auto"/>
                  <w:vAlign w:val="center"/>
                </w:tcPr>
                <w:p w14:paraId="0A840A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
                    </w:rPr>
                  </w:pPr>
                  <w:r>
                    <w:rPr>
                      <w:sz w:val="21"/>
                      <w:szCs w:val="21"/>
                    </w:rPr>
                    <w:t>/</w:t>
                  </w:r>
                </w:p>
              </w:tc>
              <w:tc>
                <w:tcPr>
                  <w:tcW w:w="619" w:type="pct"/>
                  <w:tcBorders>
                    <w:right w:val="nil"/>
                  </w:tcBorders>
                  <w:shd w:val="clear" w:color="auto" w:fill="auto"/>
                  <w:vAlign w:val="center"/>
                </w:tcPr>
                <w:p w14:paraId="18899C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SA"/>
                    </w:rPr>
                  </w:pPr>
                  <w:r>
                    <w:rPr>
                      <w:sz w:val="21"/>
                      <w:szCs w:val="21"/>
                    </w:rPr>
                    <w:t>纳入主体工程</w:t>
                  </w:r>
                </w:p>
              </w:tc>
            </w:tr>
            <w:tr w14:paraId="08CE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restart"/>
                  <w:tcBorders>
                    <w:left w:val="nil"/>
                  </w:tcBorders>
                  <w:vAlign w:val="center"/>
                </w:tcPr>
                <w:p w14:paraId="283474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安全</w:t>
                  </w:r>
                </w:p>
                <w:p w14:paraId="4FB04F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装置</w:t>
                  </w:r>
                </w:p>
              </w:tc>
              <w:tc>
                <w:tcPr>
                  <w:tcW w:w="544" w:type="pct"/>
                  <w:vMerge w:val="restart"/>
                  <w:vAlign w:val="center"/>
                </w:tcPr>
                <w:p w14:paraId="0E2CAF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z w:val="21"/>
                      <w:szCs w:val="21"/>
                      <w:lang w:val="en-US" w:eastAsia="zh-CN"/>
                    </w:rPr>
                  </w:pPr>
                  <w:r>
                    <w:rPr>
                      <w:rFonts w:hint="eastAsia"/>
                      <w:sz w:val="21"/>
                      <w:szCs w:val="21"/>
                      <w:lang w:val="en-US" w:eastAsia="zh-CN"/>
                    </w:rPr>
                    <w:t>核医学科</w:t>
                  </w:r>
                </w:p>
              </w:tc>
              <w:tc>
                <w:tcPr>
                  <w:tcW w:w="2917" w:type="pct"/>
                  <w:gridSpan w:val="3"/>
                  <w:shd w:val="clear" w:color="auto" w:fill="auto"/>
                  <w:vAlign w:val="center"/>
                </w:tcPr>
                <w:p w14:paraId="1311EC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w:t>
                  </w:r>
                  <w:r>
                    <w:rPr>
                      <w:sz w:val="21"/>
                      <w:szCs w:val="21"/>
                    </w:rPr>
                    <w:t>、</w:t>
                  </w:r>
                  <w:r>
                    <w:rPr>
                      <w:rFonts w:hint="eastAsia"/>
                      <w:sz w:val="21"/>
                      <w:szCs w:val="21"/>
                      <w:lang w:eastAsia="zh-CN"/>
                    </w:rPr>
                    <w:t>放废暂存间</w:t>
                  </w:r>
                  <w:r>
                    <w:rPr>
                      <w:sz w:val="21"/>
                      <w:szCs w:val="21"/>
                      <w:lang w:bidi="ar"/>
                    </w:rPr>
                    <w:t>监控摄像头</w:t>
                  </w:r>
                </w:p>
              </w:tc>
              <w:tc>
                <w:tcPr>
                  <w:tcW w:w="484" w:type="pct"/>
                  <w:vAlign w:val="center"/>
                </w:tcPr>
                <w:p w14:paraId="635B2F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3</w:t>
                  </w:r>
                  <w:r>
                    <w:rPr>
                      <w:sz w:val="21"/>
                      <w:szCs w:val="21"/>
                    </w:rPr>
                    <w:t>个</w:t>
                  </w:r>
                </w:p>
              </w:tc>
              <w:tc>
                <w:tcPr>
                  <w:tcW w:w="619" w:type="pct"/>
                  <w:tcBorders>
                    <w:right w:val="nil"/>
                  </w:tcBorders>
                  <w:vAlign w:val="center"/>
                </w:tcPr>
                <w:p w14:paraId="3C4A48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z w:val="21"/>
                      <w:szCs w:val="21"/>
                      <w:lang w:eastAsia="zh-CN"/>
                    </w:rPr>
                  </w:pPr>
                  <w:r>
                    <w:rPr>
                      <w:sz w:val="21"/>
                      <w:szCs w:val="21"/>
                    </w:rPr>
                    <w:t>0.</w:t>
                  </w:r>
                  <w:r>
                    <w:rPr>
                      <w:rFonts w:hint="eastAsia"/>
                      <w:sz w:val="21"/>
                      <w:szCs w:val="21"/>
                      <w:lang w:val="en-US" w:eastAsia="zh-CN"/>
                    </w:rPr>
                    <w:t>3</w:t>
                  </w:r>
                </w:p>
              </w:tc>
            </w:tr>
            <w:tr w14:paraId="22E7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vMerge w:val="continue"/>
                  <w:tcBorders>
                    <w:left w:val="nil"/>
                  </w:tcBorders>
                  <w:vAlign w:val="center"/>
                </w:tcPr>
                <w:p w14:paraId="667776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6DE59E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2917" w:type="pct"/>
                  <w:gridSpan w:val="3"/>
                  <w:shd w:val="clear" w:color="auto" w:fill="auto"/>
                  <w:vAlign w:val="center"/>
                </w:tcPr>
                <w:p w14:paraId="50F271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储源室2#、敷贴室1#、敷贴室2#</w:t>
                  </w:r>
                  <w:r>
                    <w:rPr>
                      <w:bCs/>
                      <w:sz w:val="21"/>
                      <w:szCs w:val="21"/>
                    </w:rPr>
                    <w:t>双人双锁保险柜</w:t>
                  </w:r>
                </w:p>
              </w:tc>
              <w:tc>
                <w:tcPr>
                  <w:tcW w:w="484" w:type="pct"/>
                  <w:vAlign w:val="center"/>
                </w:tcPr>
                <w:p w14:paraId="1D07E4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4</w:t>
                  </w:r>
                  <w:r>
                    <w:rPr>
                      <w:sz w:val="21"/>
                      <w:szCs w:val="21"/>
                    </w:rPr>
                    <w:t>个</w:t>
                  </w:r>
                </w:p>
              </w:tc>
              <w:tc>
                <w:tcPr>
                  <w:tcW w:w="619" w:type="pct"/>
                  <w:tcBorders>
                    <w:right w:val="nil"/>
                  </w:tcBorders>
                  <w:vAlign w:val="center"/>
                </w:tcPr>
                <w:p w14:paraId="52DA7C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z w:val="21"/>
                      <w:szCs w:val="21"/>
                      <w:lang w:eastAsia="zh-CN"/>
                    </w:rPr>
                  </w:pPr>
                  <w:r>
                    <w:rPr>
                      <w:sz w:val="21"/>
                      <w:szCs w:val="21"/>
                    </w:rPr>
                    <w:t>0.</w:t>
                  </w:r>
                  <w:r>
                    <w:rPr>
                      <w:rFonts w:hint="eastAsia"/>
                      <w:sz w:val="21"/>
                      <w:szCs w:val="21"/>
                      <w:lang w:val="en-US" w:eastAsia="zh-CN"/>
                    </w:rPr>
                    <w:t>8</w:t>
                  </w:r>
                </w:p>
              </w:tc>
            </w:tr>
            <w:tr w14:paraId="1AB1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1E44E0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5C63DE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2917" w:type="pct"/>
                  <w:gridSpan w:val="3"/>
                  <w:shd w:val="clear" w:color="auto" w:fill="auto"/>
                  <w:vAlign w:val="center"/>
                </w:tcPr>
                <w:p w14:paraId="773D25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w:t>
                  </w:r>
                  <w:r>
                    <w:rPr>
                      <w:sz w:val="21"/>
                      <w:szCs w:val="21"/>
                      <w:lang w:bidi="ar"/>
                    </w:rPr>
                    <w:t>入侵防盗报警装置</w:t>
                  </w:r>
                </w:p>
              </w:tc>
              <w:tc>
                <w:tcPr>
                  <w:tcW w:w="484" w:type="pct"/>
                  <w:vAlign w:val="center"/>
                </w:tcPr>
                <w:p w14:paraId="7E5542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2</w:t>
                  </w:r>
                  <w:r>
                    <w:rPr>
                      <w:sz w:val="21"/>
                      <w:szCs w:val="21"/>
                    </w:rPr>
                    <w:t>个</w:t>
                  </w:r>
                </w:p>
              </w:tc>
              <w:tc>
                <w:tcPr>
                  <w:tcW w:w="619" w:type="pct"/>
                  <w:tcBorders>
                    <w:right w:val="nil"/>
                  </w:tcBorders>
                  <w:vAlign w:val="center"/>
                </w:tcPr>
                <w:p w14:paraId="27F5C5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z w:val="21"/>
                      <w:szCs w:val="21"/>
                      <w:lang w:eastAsia="zh-CN"/>
                    </w:rPr>
                  </w:pPr>
                  <w:r>
                    <w:rPr>
                      <w:sz w:val="21"/>
                      <w:szCs w:val="21"/>
                    </w:rPr>
                    <w:t>0.</w:t>
                  </w:r>
                  <w:r>
                    <w:rPr>
                      <w:rFonts w:hint="eastAsia"/>
                      <w:sz w:val="21"/>
                      <w:szCs w:val="21"/>
                      <w:lang w:val="en-US" w:eastAsia="zh-CN"/>
                    </w:rPr>
                    <w:t>2</w:t>
                  </w:r>
                </w:p>
              </w:tc>
            </w:tr>
            <w:tr w14:paraId="1202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375C17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3EDBC5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p>
              </w:tc>
              <w:tc>
                <w:tcPr>
                  <w:tcW w:w="1021" w:type="pct"/>
                  <w:gridSpan w:val="2"/>
                  <w:vMerge w:val="restart"/>
                  <w:vAlign w:val="center"/>
                </w:tcPr>
                <w:p w14:paraId="7D99C8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PET/CT机房</w:t>
                  </w:r>
                  <w:r>
                    <w:rPr>
                      <w:rFonts w:hint="eastAsia"/>
                      <w:sz w:val="21"/>
                      <w:szCs w:val="21"/>
                      <w:lang w:eastAsia="zh-CN"/>
                    </w:rPr>
                    <w:t>、</w:t>
                  </w:r>
                  <w:r>
                    <w:rPr>
                      <w:rFonts w:hint="eastAsia"/>
                      <w:sz w:val="21"/>
                      <w:szCs w:val="21"/>
                      <w:lang w:val="en-US" w:eastAsia="zh-CN"/>
                    </w:rPr>
                    <w:t>SPECT/CT机房</w:t>
                  </w:r>
                </w:p>
              </w:tc>
              <w:tc>
                <w:tcPr>
                  <w:tcW w:w="1895" w:type="pct"/>
                  <w:vAlign w:val="center"/>
                </w:tcPr>
                <w:p w14:paraId="10457C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bCs/>
                      <w:sz w:val="21"/>
                      <w:szCs w:val="21"/>
                      <w:lang w:eastAsia="zh-CN"/>
                    </w:rPr>
                    <w:t>紧急制动</w:t>
                  </w:r>
                  <w:r>
                    <w:rPr>
                      <w:bCs/>
                      <w:sz w:val="21"/>
                      <w:szCs w:val="21"/>
                    </w:rPr>
                    <w:t>按钮</w:t>
                  </w:r>
                </w:p>
              </w:tc>
              <w:tc>
                <w:tcPr>
                  <w:tcW w:w="484" w:type="pct"/>
                  <w:vAlign w:val="center"/>
                </w:tcPr>
                <w:p w14:paraId="54CDCA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sz w:val="21"/>
                      <w:szCs w:val="21"/>
                    </w:rPr>
                    <w:t>2个</w:t>
                  </w:r>
                </w:p>
              </w:tc>
              <w:tc>
                <w:tcPr>
                  <w:tcW w:w="619" w:type="pct"/>
                  <w:tcBorders>
                    <w:right w:val="nil"/>
                  </w:tcBorders>
                  <w:vAlign w:val="center"/>
                </w:tcPr>
                <w:p w14:paraId="75D1F0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设备自带</w:t>
                  </w:r>
                </w:p>
              </w:tc>
            </w:tr>
            <w:tr w14:paraId="2E42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7775A6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4CBD82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21" w:type="pct"/>
                  <w:gridSpan w:val="2"/>
                  <w:vMerge w:val="continue"/>
                  <w:vAlign w:val="center"/>
                </w:tcPr>
                <w:p w14:paraId="0A082D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895" w:type="pct"/>
                  <w:vAlign w:val="center"/>
                </w:tcPr>
                <w:p w14:paraId="1D3399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bCs/>
                      <w:sz w:val="21"/>
                      <w:szCs w:val="21"/>
                    </w:rPr>
                    <w:t>工作状态指示灯（门-灯联锁）</w:t>
                  </w:r>
                </w:p>
              </w:tc>
              <w:tc>
                <w:tcPr>
                  <w:tcW w:w="484" w:type="pct"/>
                  <w:vAlign w:val="center"/>
                </w:tcPr>
                <w:p w14:paraId="5F9196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sz w:val="21"/>
                      <w:szCs w:val="21"/>
                    </w:rPr>
                    <w:t>2个</w:t>
                  </w:r>
                </w:p>
              </w:tc>
              <w:tc>
                <w:tcPr>
                  <w:tcW w:w="619" w:type="pct"/>
                  <w:tcBorders>
                    <w:right w:val="nil"/>
                  </w:tcBorders>
                  <w:vAlign w:val="center"/>
                </w:tcPr>
                <w:p w14:paraId="6F47BD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0.2</w:t>
                  </w:r>
                </w:p>
              </w:tc>
            </w:tr>
            <w:tr w14:paraId="3C6D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581185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7AD2D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21" w:type="pct"/>
                  <w:gridSpan w:val="2"/>
                  <w:vMerge w:val="continue"/>
                  <w:vAlign w:val="center"/>
                </w:tcPr>
                <w:p w14:paraId="0BC20C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895" w:type="pct"/>
                  <w:vAlign w:val="center"/>
                </w:tcPr>
                <w:p w14:paraId="062A18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bCs/>
                      <w:sz w:val="21"/>
                      <w:szCs w:val="21"/>
                    </w:rPr>
                    <w:t>语音播报及对讲装置</w:t>
                  </w:r>
                </w:p>
              </w:tc>
              <w:tc>
                <w:tcPr>
                  <w:tcW w:w="484" w:type="pct"/>
                  <w:vAlign w:val="center"/>
                </w:tcPr>
                <w:p w14:paraId="17FAC8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sz w:val="21"/>
                      <w:szCs w:val="21"/>
                    </w:rPr>
                    <w:t>2套</w:t>
                  </w:r>
                </w:p>
              </w:tc>
              <w:tc>
                <w:tcPr>
                  <w:tcW w:w="619" w:type="pct"/>
                  <w:tcBorders>
                    <w:right w:val="nil"/>
                  </w:tcBorders>
                  <w:vAlign w:val="center"/>
                </w:tcPr>
                <w:p w14:paraId="0AF38C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0.2</w:t>
                  </w:r>
                </w:p>
              </w:tc>
            </w:tr>
            <w:tr w14:paraId="24EA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vMerge w:val="continue"/>
                  <w:tcBorders>
                    <w:left w:val="nil"/>
                  </w:tcBorders>
                  <w:vAlign w:val="center"/>
                </w:tcPr>
                <w:p w14:paraId="416F0C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349F2F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917" w:type="pct"/>
                  <w:gridSpan w:val="3"/>
                  <w:shd w:val="clear" w:color="auto" w:fill="auto"/>
                  <w:vAlign w:val="center"/>
                </w:tcPr>
                <w:p w14:paraId="7D5221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分装室</w:t>
                  </w:r>
                  <w:r>
                    <w:rPr>
                      <w:rFonts w:hint="eastAsia"/>
                      <w:sz w:val="21"/>
                      <w:szCs w:val="21"/>
                      <w:lang w:val="en-US" w:eastAsia="zh-CN"/>
                    </w:rPr>
                    <w:t>1#、分装室2#</w:t>
                  </w:r>
                  <w:r>
                    <w:rPr>
                      <w:sz w:val="21"/>
                      <w:szCs w:val="21"/>
                    </w:rPr>
                    <w:t>、</w:t>
                  </w: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w:t>
                  </w:r>
                  <w:r>
                    <w:rPr>
                      <w:rFonts w:hint="eastAsia"/>
                      <w:sz w:val="21"/>
                      <w:szCs w:val="21"/>
                      <w:lang w:val="en-US" w:eastAsia="zh-CN"/>
                    </w:rPr>
                    <w:t>I-131服药室、3个病人出入口缓冲区</w:t>
                  </w:r>
                  <w:r>
                    <w:rPr>
                      <w:sz w:val="21"/>
                      <w:szCs w:val="21"/>
                      <w:lang w:bidi="ar"/>
                    </w:rPr>
                    <w:t>固定式γ探头</w:t>
                  </w:r>
                </w:p>
              </w:tc>
              <w:tc>
                <w:tcPr>
                  <w:tcW w:w="484" w:type="pct"/>
                  <w:vAlign w:val="center"/>
                </w:tcPr>
                <w:p w14:paraId="59DD92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8</w:t>
                  </w:r>
                  <w:r>
                    <w:rPr>
                      <w:sz w:val="21"/>
                      <w:szCs w:val="21"/>
                    </w:rPr>
                    <w:t>个</w:t>
                  </w:r>
                </w:p>
              </w:tc>
              <w:tc>
                <w:tcPr>
                  <w:tcW w:w="619" w:type="pct"/>
                  <w:tcBorders>
                    <w:right w:val="nil"/>
                  </w:tcBorders>
                  <w:vAlign w:val="center"/>
                </w:tcPr>
                <w:p w14:paraId="243874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2.4</w:t>
                  </w:r>
                </w:p>
              </w:tc>
            </w:tr>
            <w:tr w14:paraId="2809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434" w:type="pct"/>
                  <w:vMerge w:val="continue"/>
                  <w:tcBorders>
                    <w:left w:val="nil"/>
                  </w:tcBorders>
                  <w:vAlign w:val="center"/>
                </w:tcPr>
                <w:p w14:paraId="59E85C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6E6738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917" w:type="pct"/>
                  <w:gridSpan w:val="3"/>
                  <w:shd w:val="clear" w:color="auto" w:fill="auto"/>
                  <w:vAlign w:val="center"/>
                </w:tcPr>
                <w:p w14:paraId="33CC22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分装室</w:t>
                  </w:r>
                  <w:r>
                    <w:rPr>
                      <w:rFonts w:hint="eastAsia"/>
                      <w:sz w:val="21"/>
                      <w:szCs w:val="21"/>
                      <w:lang w:val="en-US" w:eastAsia="zh-CN"/>
                    </w:rPr>
                    <w:t>1#、分装室2#</w:t>
                  </w:r>
                  <w:r>
                    <w:rPr>
                      <w:rFonts w:hint="eastAsia"/>
                      <w:bCs/>
                      <w:sz w:val="21"/>
                      <w:szCs w:val="21"/>
                      <w:lang w:val="en-US" w:eastAsia="zh-CN"/>
                    </w:rPr>
                    <w:t>、敷贴室1#、敷贴室2#、</w:t>
                  </w:r>
                  <w:r>
                    <w:rPr>
                      <w:sz w:val="21"/>
                      <w:szCs w:val="21"/>
                    </w:rPr>
                    <w:t>PET/CT机房</w:t>
                  </w:r>
                  <w:r>
                    <w:rPr>
                      <w:rFonts w:hint="eastAsia"/>
                      <w:sz w:val="21"/>
                      <w:szCs w:val="21"/>
                      <w:lang w:eastAsia="zh-CN"/>
                    </w:rPr>
                    <w:t>、</w:t>
                  </w:r>
                  <w:r>
                    <w:rPr>
                      <w:rFonts w:hint="eastAsia"/>
                      <w:sz w:val="21"/>
                      <w:szCs w:val="21"/>
                      <w:lang w:val="en-US" w:eastAsia="zh-CN"/>
                    </w:rPr>
                    <w:t>SPECT/CT机房、PET注射后等候室、ECT注射后等候室、PET留观室、ECT留观室、抢救室、I-131服药室、Sr-注射室、日间留观室</w:t>
                  </w:r>
                  <w:r>
                    <w:rPr>
                      <w:sz w:val="21"/>
                      <w:szCs w:val="21"/>
                      <w:lang w:bidi="ar"/>
                    </w:rPr>
                    <w:t>监控摄像头</w:t>
                  </w:r>
                </w:p>
              </w:tc>
              <w:tc>
                <w:tcPr>
                  <w:tcW w:w="484" w:type="pct"/>
                  <w:vAlign w:val="center"/>
                </w:tcPr>
                <w:p w14:paraId="08EDCD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14</w:t>
                  </w:r>
                  <w:r>
                    <w:rPr>
                      <w:sz w:val="21"/>
                      <w:szCs w:val="21"/>
                    </w:rPr>
                    <w:t>个</w:t>
                  </w:r>
                </w:p>
              </w:tc>
              <w:tc>
                <w:tcPr>
                  <w:tcW w:w="619" w:type="pct"/>
                  <w:tcBorders>
                    <w:right w:val="nil"/>
                  </w:tcBorders>
                  <w:vAlign w:val="center"/>
                </w:tcPr>
                <w:p w14:paraId="25E6F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z w:val="21"/>
                      <w:szCs w:val="21"/>
                      <w:lang w:eastAsia="zh-CN"/>
                    </w:rPr>
                  </w:pPr>
                  <w:r>
                    <w:rPr>
                      <w:sz w:val="21"/>
                      <w:szCs w:val="21"/>
                    </w:rPr>
                    <w:t>1.</w:t>
                  </w:r>
                  <w:r>
                    <w:rPr>
                      <w:rFonts w:hint="eastAsia"/>
                      <w:sz w:val="21"/>
                      <w:szCs w:val="21"/>
                      <w:lang w:val="en-US" w:eastAsia="zh-CN"/>
                    </w:rPr>
                    <w:t>4</w:t>
                  </w:r>
                </w:p>
              </w:tc>
            </w:tr>
            <w:tr w14:paraId="2883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vMerge w:val="continue"/>
                  <w:tcBorders>
                    <w:left w:val="nil"/>
                  </w:tcBorders>
                  <w:vAlign w:val="center"/>
                </w:tcPr>
                <w:p w14:paraId="668A8B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66ABBF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917" w:type="pct"/>
                  <w:gridSpan w:val="3"/>
                  <w:shd w:val="clear" w:color="auto" w:fill="auto"/>
                  <w:vAlign w:val="center"/>
                </w:tcPr>
                <w:p w14:paraId="0385AA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PET留观室、ECT留观室、I-131服药室</w:t>
                  </w:r>
                  <w:r>
                    <w:rPr>
                      <w:sz w:val="21"/>
                      <w:szCs w:val="21"/>
                    </w:rPr>
                    <w:t>、</w:t>
                  </w:r>
                  <w:r>
                    <w:rPr>
                      <w:rFonts w:hint="eastAsia"/>
                      <w:sz w:val="21"/>
                      <w:szCs w:val="21"/>
                      <w:lang w:val="en-US" w:eastAsia="zh-CN"/>
                    </w:rPr>
                    <w:t>日间留观室</w:t>
                  </w:r>
                  <w:r>
                    <w:rPr>
                      <w:sz w:val="21"/>
                      <w:szCs w:val="21"/>
                    </w:rPr>
                    <w:t>对讲装置</w:t>
                  </w:r>
                </w:p>
              </w:tc>
              <w:tc>
                <w:tcPr>
                  <w:tcW w:w="484" w:type="pct"/>
                  <w:shd w:val="clear" w:color="auto" w:fill="auto"/>
                  <w:vAlign w:val="center"/>
                </w:tcPr>
                <w:p w14:paraId="740B67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4</w:t>
                  </w:r>
                  <w:r>
                    <w:rPr>
                      <w:sz w:val="21"/>
                      <w:szCs w:val="21"/>
                    </w:rPr>
                    <w:t>个</w:t>
                  </w:r>
                </w:p>
              </w:tc>
              <w:tc>
                <w:tcPr>
                  <w:tcW w:w="619" w:type="pct"/>
                  <w:tcBorders>
                    <w:right w:val="nil"/>
                  </w:tcBorders>
                  <w:shd w:val="clear" w:color="auto" w:fill="auto"/>
                  <w:vAlign w:val="center"/>
                </w:tcPr>
                <w:p w14:paraId="1B5706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0.8</w:t>
                  </w:r>
                </w:p>
              </w:tc>
            </w:tr>
            <w:tr w14:paraId="6904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49FC5D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059C75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2917" w:type="pct"/>
                  <w:gridSpan w:val="3"/>
                  <w:shd w:val="clear" w:color="auto" w:fill="auto"/>
                  <w:vAlign w:val="center"/>
                </w:tcPr>
                <w:p w14:paraId="5E0228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病人流通单向门禁系统</w:t>
                  </w:r>
                </w:p>
              </w:tc>
              <w:tc>
                <w:tcPr>
                  <w:tcW w:w="484" w:type="pct"/>
                  <w:vAlign w:val="center"/>
                </w:tcPr>
                <w:p w14:paraId="5E5B97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1套</w:t>
                  </w:r>
                </w:p>
              </w:tc>
              <w:tc>
                <w:tcPr>
                  <w:tcW w:w="619" w:type="pct"/>
                  <w:tcBorders>
                    <w:right w:val="nil"/>
                  </w:tcBorders>
                  <w:vAlign w:val="center"/>
                </w:tcPr>
                <w:p w14:paraId="7ABE13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1.0</w:t>
                  </w:r>
                </w:p>
              </w:tc>
            </w:tr>
            <w:tr w14:paraId="5502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78B6E8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292959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2917" w:type="pct"/>
                  <w:gridSpan w:val="3"/>
                  <w:shd w:val="clear" w:color="auto" w:fill="auto"/>
                  <w:vAlign w:val="center"/>
                </w:tcPr>
                <w:p w14:paraId="3A6790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sz w:val="21"/>
                      <w:szCs w:val="21"/>
                    </w:rPr>
                    <w:t>控制区、监督区划定地标线及电离辐射警示标识</w:t>
                  </w:r>
                </w:p>
              </w:tc>
              <w:tc>
                <w:tcPr>
                  <w:tcW w:w="484" w:type="pct"/>
                  <w:vAlign w:val="center"/>
                </w:tcPr>
                <w:p w14:paraId="3248AB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w:t>
                  </w:r>
                </w:p>
              </w:tc>
              <w:tc>
                <w:tcPr>
                  <w:tcW w:w="619" w:type="pct"/>
                  <w:tcBorders>
                    <w:right w:val="nil"/>
                  </w:tcBorders>
                  <w:vAlign w:val="center"/>
                </w:tcPr>
                <w:p w14:paraId="28F188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0.5</w:t>
                  </w:r>
                </w:p>
              </w:tc>
            </w:tr>
            <w:tr w14:paraId="3AFE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434" w:type="pct"/>
                  <w:vMerge w:val="continue"/>
                  <w:tcBorders>
                    <w:left w:val="nil"/>
                  </w:tcBorders>
                  <w:vAlign w:val="center"/>
                </w:tcPr>
                <w:p w14:paraId="329507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restart"/>
                  <w:vAlign w:val="center"/>
                </w:tcPr>
                <w:p w14:paraId="00F6A8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手术部和内镜中心</w:t>
                  </w:r>
                </w:p>
              </w:tc>
              <w:tc>
                <w:tcPr>
                  <w:tcW w:w="1021" w:type="pct"/>
                  <w:gridSpan w:val="2"/>
                  <w:vMerge w:val="restart"/>
                  <w:shd w:val="clear" w:color="auto" w:fill="auto"/>
                  <w:vAlign w:val="center"/>
                </w:tcPr>
                <w:p w14:paraId="2876A8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cs="Times New Roman"/>
                      <w:bCs/>
                      <w:spacing w:val="-6"/>
                      <w:sz w:val="21"/>
                      <w:szCs w:val="21"/>
                      <w:lang w:val="en-US" w:eastAsia="zh-CN" w:bidi="ar-SA"/>
                    </w:rPr>
                    <w:t>DSA+CT复合手术室、3个DSA手术室（OR09、OR10、OR11）、ERCP室</w:t>
                  </w:r>
                </w:p>
              </w:tc>
              <w:tc>
                <w:tcPr>
                  <w:tcW w:w="1895" w:type="pct"/>
                  <w:shd w:val="clear" w:color="auto" w:fill="auto"/>
                  <w:vAlign w:val="center"/>
                </w:tcPr>
                <w:p w14:paraId="1EFCC7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工作状态</w:t>
                  </w:r>
                  <w:r>
                    <w:rPr>
                      <w:rFonts w:hint="eastAsia"/>
                      <w:bCs/>
                      <w:spacing w:val="-6"/>
                      <w:sz w:val="21"/>
                      <w:szCs w:val="21"/>
                    </w:rPr>
                    <w:t>显示</w:t>
                  </w:r>
                  <w:r>
                    <w:rPr>
                      <w:bCs/>
                      <w:spacing w:val="-6"/>
                      <w:sz w:val="21"/>
                      <w:szCs w:val="21"/>
                    </w:rPr>
                    <w:t>灯</w:t>
                  </w:r>
                </w:p>
              </w:tc>
              <w:tc>
                <w:tcPr>
                  <w:tcW w:w="484" w:type="pct"/>
                  <w:shd w:val="clear" w:color="auto" w:fill="auto"/>
                  <w:vAlign w:val="center"/>
                </w:tcPr>
                <w:p w14:paraId="137ACC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r>
                    <w:rPr>
                      <w:rFonts w:hint="eastAsia"/>
                      <w:bCs/>
                      <w:spacing w:val="-6"/>
                      <w:sz w:val="21"/>
                      <w:szCs w:val="21"/>
                    </w:rPr>
                    <w:t>套</w:t>
                  </w:r>
                </w:p>
              </w:tc>
              <w:tc>
                <w:tcPr>
                  <w:tcW w:w="619" w:type="pct"/>
                  <w:tcBorders>
                    <w:right w:val="nil"/>
                  </w:tcBorders>
                  <w:shd w:val="clear" w:color="auto" w:fill="auto"/>
                  <w:vAlign w:val="center"/>
                </w:tcPr>
                <w:p w14:paraId="5C4516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p>
              </w:tc>
            </w:tr>
            <w:tr w14:paraId="53878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434" w:type="pct"/>
                  <w:vMerge w:val="continue"/>
                  <w:tcBorders>
                    <w:left w:val="nil"/>
                  </w:tcBorders>
                  <w:vAlign w:val="center"/>
                </w:tcPr>
                <w:p w14:paraId="136BD6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4526E2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1021" w:type="pct"/>
                  <w:gridSpan w:val="2"/>
                  <w:vMerge w:val="continue"/>
                  <w:shd w:val="clear" w:color="auto" w:fill="auto"/>
                  <w:vAlign w:val="center"/>
                </w:tcPr>
                <w:p w14:paraId="2ECDFA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p>
              </w:tc>
              <w:tc>
                <w:tcPr>
                  <w:tcW w:w="1895" w:type="pct"/>
                  <w:shd w:val="clear" w:color="auto" w:fill="auto"/>
                  <w:vAlign w:val="center"/>
                </w:tcPr>
                <w:p w14:paraId="1F80660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床旁和操作台急停按钮</w:t>
                  </w:r>
                </w:p>
              </w:tc>
              <w:tc>
                <w:tcPr>
                  <w:tcW w:w="484" w:type="pct"/>
                  <w:shd w:val="clear" w:color="auto" w:fill="auto"/>
                  <w:vAlign w:val="center"/>
                </w:tcPr>
                <w:p w14:paraId="31CA14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cs="Times New Roman"/>
                      <w:bCs/>
                      <w:spacing w:val="-6"/>
                      <w:sz w:val="21"/>
                      <w:szCs w:val="21"/>
                      <w:lang w:val="en-US" w:eastAsia="zh-CN" w:bidi="ar-SA"/>
                    </w:rPr>
                    <w:t>5套</w:t>
                  </w:r>
                </w:p>
              </w:tc>
              <w:tc>
                <w:tcPr>
                  <w:tcW w:w="619" w:type="pct"/>
                  <w:tcBorders>
                    <w:right w:val="nil"/>
                  </w:tcBorders>
                  <w:shd w:val="clear" w:color="auto" w:fill="auto"/>
                  <w:vAlign w:val="center"/>
                </w:tcPr>
                <w:p w14:paraId="1C3A02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w:t>
                  </w:r>
                </w:p>
              </w:tc>
            </w:tr>
            <w:tr w14:paraId="3067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434" w:type="pct"/>
                  <w:vMerge w:val="continue"/>
                  <w:tcBorders>
                    <w:left w:val="nil"/>
                  </w:tcBorders>
                  <w:vAlign w:val="center"/>
                </w:tcPr>
                <w:p w14:paraId="4BC41A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3E4323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1021" w:type="pct"/>
                  <w:gridSpan w:val="2"/>
                  <w:vMerge w:val="continue"/>
                  <w:shd w:val="clear" w:color="auto" w:fill="auto"/>
                  <w:vAlign w:val="center"/>
                </w:tcPr>
                <w:p w14:paraId="7D5372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p>
              </w:tc>
              <w:tc>
                <w:tcPr>
                  <w:tcW w:w="1895" w:type="pct"/>
                  <w:shd w:val="clear" w:color="auto" w:fill="auto"/>
                  <w:vAlign w:val="center"/>
                </w:tcPr>
                <w:p w14:paraId="3AA407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语音对讲装置</w:t>
                  </w:r>
                </w:p>
              </w:tc>
              <w:tc>
                <w:tcPr>
                  <w:tcW w:w="484" w:type="pct"/>
                  <w:shd w:val="clear" w:color="auto" w:fill="auto"/>
                  <w:vAlign w:val="center"/>
                </w:tcPr>
                <w:p w14:paraId="56327C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cs="Times New Roman"/>
                      <w:bCs/>
                      <w:spacing w:val="-6"/>
                      <w:sz w:val="21"/>
                      <w:szCs w:val="21"/>
                      <w:lang w:val="en-US" w:eastAsia="zh-CN" w:bidi="ar-SA"/>
                    </w:rPr>
                    <w:t>5套</w:t>
                  </w:r>
                </w:p>
              </w:tc>
              <w:tc>
                <w:tcPr>
                  <w:tcW w:w="619" w:type="pct"/>
                  <w:tcBorders>
                    <w:right w:val="nil"/>
                  </w:tcBorders>
                  <w:shd w:val="clear" w:color="auto" w:fill="auto"/>
                  <w:vAlign w:val="center"/>
                </w:tcPr>
                <w:p w14:paraId="021B99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2.5</w:t>
                  </w:r>
                </w:p>
              </w:tc>
            </w:tr>
            <w:tr w14:paraId="62D8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434" w:type="pct"/>
                  <w:vMerge w:val="continue"/>
                  <w:tcBorders>
                    <w:left w:val="nil"/>
                  </w:tcBorders>
                  <w:vAlign w:val="center"/>
                </w:tcPr>
                <w:p w14:paraId="09B539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31FD27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1021" w:type="pct"/>
                  <w:gridSpan w:val="2"/>
                  <w:vMerge w:val="continue"/>
                  <w:shd w:val="clear" w:color="auto" w:fill="auto"/>
                  <w:vAlign w:val="center"/>
                </w:tcPr>
                <w:p w14:paraId="2F994D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p>
              </w:tc>
              <w:tc>
                <w:tcPr>
                  <w:tcW w:w="1895" w:type="pct"/>
                  <w:shd w:val="clear" w:color="auto" w:fill="auto"/>
                  <w:vAlign w:val="center"/>
                </w:tcPr>
                <w:p w14:paraId="198101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防护门</w:t>
                  </w:r>
                  <w:r>
                    <w:rPr>
                      <w:rFonts w:hint="eastAsia"/>
                      <w:bCs/>
                      <w:spacing w:val="-6"/>
                      <w:sz w:val="21"/>
                      <w:szCs w:val="21"/>
                    </w:rPr>
                    <w:t>闭门装置</w:t>
                  </w:r>
                </w:p>
              </w:tc>
              <w:tc>
                <w:tcPr>
                  <w:tcW w:w="484" w:type="pct"/>
                  <w:shd w:val="clear" w:color="auto" w:fill="auto"/>
                  <w:vAlign w:val="center"/>
                </w:tcPr>
                <w:p w14:paraId="2A659D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cs="Times New Roman"/>
                      <w:bCs/>
                      <w:spacing w:val="-6"/>
                      <w:sz w:val="21"/>
                      <w:szCs w:val="21"/>
                      <w:lang w:val="en-US" w:eastAsia="zh-CN" w:bidi="ar-SA"/>
                    </w:rPr>
                    <w:t>15套</w:t>
                  </w:r>
                </w:p>
              </w:tc>
              <w:tc>
                <w:tcPr>
                  <w:tcW w:w="619" w:type="pct"/>
                  <w:tcBorders>
                    <w:right w:val="nil"/>
                  </w:tcBorders>
                  <w:shd w:val="clear" w:color="auto" w:fill="auto"/>
                  <w:vAlign w:val="center"/>
                </w:tcPr>
                <w:p w14:paraId="798CEC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p>
              </w:tc>
            </w:tr>
            <w:tr w14:paraId="7E8F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434" w:type="pct"/>
                  <w:vMerge w:val="continue"/>
                  <w:tcBorders>
                    <w:left w:val="nil"/>
                  </w:tcBorders>
                  <w:vAlign w:val="center"/>
                </w:tcPr>
                <w:p w14:paraId="48F6C3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19B02C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1021" w:type="pct"/>
                  <w:gridSpan w:val="2"/>
                  <w:vMerge w:val="continue"/>
                  <w:shd w:val="clear" w:color="auto" w:fill="auto"/>
                  <w:vAlign w:val="center"/>
                </w:tcPr>
                <w:p w14:paraId="7D7466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p>
              </w:tc>
              <w:tc>
                <w:tcPr>
                  <w:tcW w:w="1895" w:type="pct"/>
                  <w:shd w:val="clear" w:color="auto" w:fill="auto"/>
                  <w:vAlign w:val="center"/>
                </w:tcPr>
                <w:p w14:paraId="2456A5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操作警示装置</w:t>
                  </w:r>
                </w:p>
              </w:tc>
              <w:tc>
                <w:tcPr>
                  <w:tcW w:w="484" w:type="pct"/>
                  <w:shd w:val="clear" w:color="auto" w:fill="auto"/>
                  <w:vAlign w:val="center"/>
                </w:tcPr>
                <w:p w14:paraId="6C6E16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w:t>
                  </w:r>
                  <w:r>
                    <w:rPr>
                      <w:bCs/>
                      <w:spacing w:val="-6"/>
                      <w:sz w:val="21"/>
                      <w:szCs w:val="21"/>
                    </w:rPr>
                    <w:t>套</w:t>
                  </w:r>
                </w:p>
              </w:tc>
              <w:tc>
                <w:tcPr>
                  <w:tcW w:w="619" w:type="pct"/>
                  <w:tcBorders>
                    <w:right w:val="nil"/>
                  </w:tcBorders>
                  <w:shd w:val="clear" w:color="auto" w:fill="auto"/>
                  <w:vAlign w:val="center"/>
                </w:tcPr>
                <w:p w14:paraId="2B3EA9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w:t>
                  </w:r>
                </w:p>
              </w:tc>
            </w:tr>
            <w:tr w14:paraId="1067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34" w:type="pct"/>
                  <w:vMerge w:val="continue"/>
                  <w:tcBorders>
                    <w:left w:val="nil"/>
                  </w:tcBorders>
                  <w:vAlign w:val="center"/>
                </w:tcPr>
                <w:p w14:paraId="48D6E9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544" w:type="pct"/>
                  <w:vMerge w:val="continue"/>
                  <w:vAlign w:val="center"/>
                </w:tcPr>
                <w:p w14:paraId="6A1AA1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p>
              </w:tc>
              <w:tc>
                <w:tcPr>
                  <w:tcW w:w="1021" w:type="pct"/>
                  <w:gridSpan w:val="2"/>
                  <w:vMerge w:val="continue"/>
                  <w:shd w:val="clear" w:color="auto" w:fill="auto"/>
                  <w:vAlign w:val="center"/>
                </w:tcPr>
                <w:p w14:paraId="48734F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p>
              </w:tc>
              <w:tc>
                <w:tcPr>
                  <w:tcW w:w="1895" w:type="pct"/>
                  <w:shd w:val="clear" w:color="auto" w:fill="auto"/>
                  <w:vAlign w:val="center"/>
                </w:tcPr>
                <w:p w14:paraId="0E11DE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11"/>
                      <w:sz w:val="21"/>
                      <w:szCs w:val="21"/>
                    </w:rPr>
                    <w:t>监督区、控制区划定地标线及电离辐射警示标识</w:t>
                  </w:r>
                </w:p>
              </w:tc>
              <w:tc>
                <w:tcPr>
                  <w:tcW w:w="484" w:type="pct"/>
                  <w:shd w:val="clear" w:color="auto" w:fill="auto"/>
                  <w:vAlign w:val="center"/>
                </w:tcPr>
                <w:p w14:paraId="66F0FF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w:t>
                  </w:r>
                  <w:r>
                    <w:rPr>
                      <w:bCs/>
                      <w:spacing w:val="-6"/>
                      <w:sz w:val="21"/>
                      <w:szCs w:val="21"/>
                    </w:rPr>
                    <w:t>套</w:t>
                  </w:r>
                </w:p>
              </w:tc>
              <w:tc>
                <w:tcPr>
                  <w:tcW w:w="619" w:type="pct"/>
                  <w:tcBorders>
                    <w:right w:val="nil"/>
                  </w:tcBorders>
                  <w:shd w:val="clear" w:color="auto" w:fill="auto"/>
                  <w:vAlign w:val="center"/>
                </w:tcPr>
                <w:p w14:paraId="072782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0.5</w:t>
                  </w:r>
                </w:p>
              </w:tc>
            </w:tr>
            <w:tr w14:paraId="4A35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restart"/>
                  <w:tcBorders>
                    <w:left w:val="nil"/>
                  </w:tcBorders>
                  <w:vAlign w:val="center"/>
                </w:tcPr>
                <w:p w14:paraId="055E2C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放射性废水</w:t>
                  </w:r>
                </w:p>
              </w:tc>
              <w:tc>
                <w:tcPr>
                  <w:tcW w:w="3461" w:type="pct"/>
                  <w:gridSpan w:val="4"/>
                  <w:vAlign w:val="center"/>
                </w:tcPr>
                <w:p w14:paraId="08F0F7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核医学科</w:t>
                  </w:r>
                  <w:r>
                    <w:rPr>
                      <w:bCs/>
                      <w:sz w:val="21"/>
                      <w:szCs w:val="21"/>
                    </w:rPr>
                    <w:t>控制区独立下水系统及排水管道屏蔽设施</w:t>
                  </w:r>
                </w:p>
              </w:tc>
              <w:tc>
                <w:tcPr>
                  <w:tcW w:w="484" w:type="pct"/>
                  <w:vAlign w:val="center"/>
                </w:tcPr>
                <w:p w14:paraId="1F61F9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bCs/>
                      <w:sz w:val="21"/>
                      <w:szCs w:val="21"/>
                      <w:lang w:val="en-US" w:eastAsia="zh-CN"/>
                    </w:rPr>
                    <w:t>1</w:t>
                  </w:r>
                  <w:r>
                    <w:rPr>
                      <w:bCs/>
                      <w:sz w:val="21"/>
                      <w:szCs w:val="21"/>
                    </w:rPr>
                    <w:t>套</w:t>
                  </w:r>
                </w:p>
              </w:tc>
              <w:tc>
                <w:tcPr>
                  <w:tcW w:w="619" w:type="pct"/>
                  <w:vMerge w:val="restart"/>
                  <w:tcBorders>
                    <w:right w:val="nil"/>
                  </w:tcBorders>
                  <w:vAlign w:val="center"/>
                </w:tcPr>
                <w:p w14:paraId="0CAFAA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计入主体工程</w:t>
                  </w:r>
                </w:p>
              </w:tc>
            </w:tr>
            <w:tr w14:paraId="2726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66FDEE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3461" w:type="pct"/>
                  <w:gridSpan w:val="4"/>
                  <w:vAlign w:val="center"/>
                </w:tcPr>
                <w:p w14:paraId="36C49E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sz w:val="21"/>
                      <w:szCs w:val="21"/>
                    </w:rPr>
                    <w:t>三格并联衰变池（</w:t>
                  </w:r>
                  <w:r>
                    <w:rPr>
                      <w:bCs/>
                      <w:sz w:val="21"/>
                      <w:szCs w:val="21"/>
                    </w:rPr>
                    <w:t>总有效容积</w:t>
                  </w:r>
                  <w:r>
                    <w:rPr>
                      <w:bCs/>
                      <w:sz w:val="21"/>
                      <w:szCs w:val="21"/>
                      <w:highlight w:val="none"/>
                    </w:rPr>
                    <w:t>3</w:t>
                  </w:r>
                  <w:r>
                    <w:rPr>
                      <w:rFonts w:hint="eastAsia"/>
                      <w:bCs/>
                      <w:sz w:val="21"/>
                      <w:szCs w:val="21"/>
                      <w:highlight w:val="none"/>
                      <w:lang w:val="en-US" w:eastAsia="zh-CN"/>
                    </w:rPr>
                    <w:t>67.5</w:t>
                  </w:r>
                  <w:r>
                    <w:rPr>
                      <w:bCs/>
                      <w:sz w:val="21"/>
                      <w:szCs w:val="21"/>
                      <w:highlight w:val="none"/>
                    </w:rPr>
                    <w:t>m</w:t>
                  </w:r>
                  <w:r>
                    <w:rPr>
                      <w:bCs/>
                      <w:sz w:val="21"/>
                      <w:szCs w:val="21"/>
                      <w:highlight w:val="none"/>
                      <w:vertAlign w:val="superscript"/>
                    </w:rPr>
                    <w:t>3</w:t>
                  </w:r>
                  <w:r>
                    <w:rPr>
                      <w:sz w:val="21"/>
                      <w:szCs w:val="21"/>
                      <w:highlight w:val="none"/>
                    </w:rPr>
                    <w:t>）</w:t>
                  </w:r>
                </w:p>
              </w:tc>
              <w:tc>
                <w:tcPr>
                  <w:tcW w:w="484" w:type="pct"/>
                  <w:vAlign w:val="center"/>
                </w:tcPr>
                <w:p w14:paraId="300032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1座</w:t>
                  </w:r>
                </w:p>
              </w:tc>
              <w:tc>
                <w:tcPr>
                  <w:tcW w:w="619" w:type="pct"/>
                  <w:vMerge w:val="continue"/>
                  <w:tcBorders>
                    <w:right w:val="nil"/>
                  </w:tcBorders>
                  <w:vAlign w:val="center"/>
                </w:tcPr>
                <w:p w14:paraId="129632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r>
            <w:tr w14:paraId="1553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12BBE4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3461" w:type="pct"/>
                  <w:gridSpan w:val="4"/>
                  <w:vAlign w:val="center"/>
                </w:tcPr>
                <w:p w14:paraId="4D27DA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衰变池防渗及自动控制系统</w:t>
                  </w:r>
                </w:p>
              </w:tc>
              <w:tc>
                <w:tcPr>
                  <w:tcW w:w="484" w:type="pct"/>
                  <w:vAlign w:val="center"/>
                </w:tcPr>
                <w:p w14:paraId="0CEE9C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w:t>
                  </w:r>
                </w:p>
              </w:tc>
              <w:tc>
                <w:tcPr>
                  <w:tcW w:w="619" w:type="pct"/>
                  <w:tcBorders>
                    <w:right w:val="nil"/>
                  </w:tcBorders>
                  <w:vAlign w:val="center"/>
                </w:tcPr>
                <w:p w14:paraId="38EA73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10.0</w:t>
                  </w:r>
                </w:p>
              </w:tc>
            </w:tr>
            <w:tr w14:paraId="3E19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vMerge w:val="restart"/>
                  <w:tcBorders>
                    <w:left w:val="nil"/>
                  </w:tcBorders>
                  <w:vAlign w:val="center"/>
                </w:tcPr>
                <w:p w14:paraId="4EA749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放射性固废</w:t>
                  </w:r>
                </w:p>
              </w:tc>
              <w:tc>
                <w:tcPr>
                  <w:tcW w:w="3461" w:type="pct"/>
                  <w:gridSpan w:val="4"/>
                  <w:vAlign w:val="center"/>
                </w:tcPr>
                <w:p w14:paraId="39959D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rFonts w:hint="eastAsia"/>
                      <w:bCs/>
                      <w:sz w:val="21"/>
                      <w:szCs w:val="21"/>
                      <w:lang w:eastAsia="zh-CN"/>
                    </w:rPr>
                    <w:t>放废暂存间</w:t>
                  </w:r>
                </w:p>
              </w:tc>
              <w:tc>
                <w:tcPr>
                  <w:tcW w:w="484" w:type="pct"/>
                  <w:vAlign w:val="center"/>
                </w:tcPr>
                <w:p w14:paraId="3BCC76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1</w:t>
                  </w:r>
                  <w:r>
                    <w:rPr>
                      <w:sz w:val="21"/>
                      <w:szCs w:val="21"/>
                    </w:rPr>
                    <w:t>间</w:t>
                  </w:r>
                </w:p>
              </w:tc>
              <w:tc>
                <w:tcPr>
                  <w:tcW w:w="619" w:type="pct"/>
                  <w:tcBorders>
                    <w:right w:val="nil"/>
                  </w:tcBorders>
                  <w:vAlign w:val="center"/>
                </w:tcPr>
                <w:p w14:paraId="2DF228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计入主体工程</w:t>
                  </w:r>
                </w:p>
              </w:tc>
            </w:tr>
            <w:tr w14:paraId="3BAB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69ECDC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3461" w:type="pct"/>
                  <w:gridSpan w:val="4"/>
                  <w:vAlign w:val="center"/>
                </w:tcPr>
                <w:p w14:paraId="7CCB70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bCs/>
                      <w:sz w:val="21"/>
                      <w:szCs w:val="21"/>
                    </w:rPr>
                  </w:pPr>
                  <w:r>
                    <w:rPr>
                      <w:sz w:val="21"/>
                      <w:szCs w:val="21"/>
                      <w:lang w:bidi="ar"/>
                    </w:rPr>
                    <w:t>放射性固废收集容器（10</w:t>
                  </w:r>
                  <w:r>
                    <w:rPr>
                      <w:sz w:val="21"/>
                      <w:szCs w:val="21"/>
                    </w:rPr>
                    <w:t>mm铅当量</w:t>
                  </w:r>
                  <w:r>
                    <w:rPr>
                      <w:sz w:val="21"/>
                      <w:szCs w:val="21"/>
                      <w:lang w:bidi="ar"/>
                    </w:rPr>
                    <w:t>）</w:t>
                  </w:r>
                </w:p>
              </w:tc>
              <w:tc>
                <w:tcPr>
                  <w:tcW w:w="484" w:type="pct"/>
                  <w:vAlign w:val="center"/>
                </w:tcPr>
                <w:p w14:paraId="23ADF5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11</w:t>
                  </w:r>
                  <w:r>
                    <w:rPr>
                      <w:sz w:val="21"/>
                      <w:szCs w:val="21"/>
                    </w:rPr>
                    <w:t>个</w:t>
                  </w:r>
                </w:p>
              </w:tc>
              <w:tc>
                <w:tcPr>
                  <w:tcW w:w="619" w:type="pct"/>
                  <w:tcBorders>
                    <w:right w:val="nil"/>
                  </w:tcBorders>
                  <w:vAlign w:val="center"/>
                </w:tcPr>
                <w:p w14:paraId="63BBEE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5</w:t>
                  </w:r>
                  <w:r>
                    <w:rPr>
                      <w:sz w:val="21"/>
                      <w:szCs w:val="21"/>
                    </w:rPr>
                    <w:t>.5</w:t>
                  </w:r>
                </w:p>
              </w:tc>
            </w:tr>
            <w:tr w14:paraId="4105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2DEA9A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3461" w:type="pct"/>
                  <w:gridSpan w:val="4"/>
                  <w:vAlign w:val="center"/>
                </w:tcPr>
                <w:p w14:paraId="783866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lang w:bidi="ar"/>
                    </w:rPr>
                  </w:pPr>
                  <w:r>
                    <w:rPr>
                      <w:sz w:val="21"/>
                      <w:szCs w:val="21"/>
                      <w:lang w:bidi="ar"/>
                    </w:rPr>
                    <w:t>放射性固废暂存容器（5</w:t>
                  </w:r>
                  <w:r>
                    <w:rPr>
                      <w:sz w:val="21"/>
                      <w:szCs w:val="21"/>
                    </w:rPr>
                    <w:t>mm铅当量</w:t>
                  </w:r>
                  <w:r>
                    <w:rPr>
                      <w:sz w:val="21"/>
                      <w:szCs w:val="21"/>
                      <w:lang w:bidi="ar"/>
                    </w:rPr>
                    <w:t>）</w:t>
                  </w:r>
                </w:p>
              </w:tc>
              <w:tc>
                <w:tcPr>
                  <w:tcW w:w="484" w:type="pct"/>
                  <w:vAlign w:val="center"/>
                </w:tcPr>
                <w:p w14:paraId="26B6D8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8</w:t>
                  </w:r>
                  <w:r>
                    <w:rPr>
                      <w:sz w:val="21"/>
                      <w:szCs w:val="21"/>
                    </w:rPr>
                    <w:t>个</w:t>
                  </w:r>
                </w:p>
              </w:tc>
              <w:tc>
                <w:tcPr>
                  <w:tcW w:w="619" w:type="pct"/>
                  <w:tcBorders>
                    <w:right w:val="nil"/>
                  </w:tcBorders>
                  <w:vAlign w:val="center"/>
                </w:tcPr>
                <w:p w14:paraId="4FA326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2.4</w:t>
                  </w:r>
                </w:p>
              </w:tc>
            </w:tr>
            <w:tr w14:paraId="30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434" w:type="pct"/>
                  <w:tcBorders>
                    <w:left w:val="nil"/>
                  </w:tcBorders>
                  <w:vAlign w:val="center"/>
                </w:tcPr>
                <w:p w14:paraId="0BD8BC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放射性废气</w:t>
                  </w:r>
                </w:p>
              </w:tc>
              <w:tc>
                <w:tcPr>
                  <w:tcW w:w="3461" w:type="pct"/>
                  <w:gridSpan w:val="4"/>
                  <w:vAlign w:val="center"/>
                </w:tcPr>
                <w:p w14:paraId="14C4CB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核医学科</w:t>
                  </w:r>
                  <w:r>
                    <w:rPr>
                      <w:sz w:val="21"/>
                      <w:szCs w:val="21"/>
                    </w:rPr>
                    <w:t>控制区独立排风及过滤系统</w:t>
                  </w:r>
                </w:p>
              </w:tc>
              <w:tc>
                <w:tcPr>
                  <w:tcW w:w="484" w:type="pct"/>
                  <w:vAlign w:val="center"/>
                </w:tcPr>
                <w:p w14:paraId="5CBBF1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4</w:t>
                  </w:r>
                  <w:r>
                    <w:rPr>
                      <w:sz w:val="21"/>
                      <w:szCs w:val="21"/>
                    </w:rPr>
                    <w:t>套</w:t>
                  </w:r>
                </w:p>
              </w:tc>
              <w:tc>
                <w:tcPr>
                  <w:tcW w:w="619" w:type="pct"/>
                  <w:tcBorders>
                    <w:right w:val="nil"/>
                  </w:tcBorders>
                  <w:vAlign w:val="center"/>
                </w:tcPr>
                <w:p w14:paraId="313744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计入主体工程</w:t>
                  </w:r>
                </w:p>
              </w:tc>
            </w:tr>
            <w:tr w14:paraId="388A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restart"/>
                  <w:tcBorders>
                    <w:left w:val="nil"/>
                  </w:tcBorders>
                  <w:vAlign w:val="center"/>
                </w:tcPr>
                <w:p w14:paraId="1544F8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个人防护用品</w:t>
                  </w:r>
                </w:p>
              </w:tc>
              <w:tc>
                <w:tcPr>
                  <w:tcW w:w="1012" w:type="pct"/>
                  <w:gridSpan w:val="2"/>
                  <w:vMerge w:val="restart"/>
                  <w:vAlign w:val="center"/>
                </w:tcPr>
                <w:p w14:paraId="11ED37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PET/CT机房</w:t>
                  </w:r>
                  <w:r>
                    <w:rPr>
                      <w:rFonts w:hint="eastAsia"/>
                      <w:sz w:val="21"/>
                      <w:szCs w:val="21"/>
                      <w:lang w:eastAsia="zh-CN"/>
                    </w:rPr>
                    <w:t>、</w:t>
                  </w:r>
                  <w:r>
                    <w:rPr>
                      <w:rFonts w:hint="eastAsia"/>
                      <w:sz w:val="21"/>
                      <w:szCs w:val="21"/>
                      <w:lang w:val="en-US" w:eastAsia="zh-CN"/>
                    </w:rPr>
                    <w:t>SPECT/CT机房</w:t>
                  </w:r>
                </w:p>
              </w:tc>
              <w:tc>
                <w:tcPr>
                  <w:tcW w:w="2449" w:type="pct"/>
                  <w:gridSpan w:val="2"/>
                  <w:shd w:val="clear" w:color="auto" w:fill="auto"/>
                  <w:vAlign w:val="center"/>
                </w:tcPr>
                <w:p w14:paraId="46006B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个人剂量报警仪</w:t>
                  </w:r>
                </w:p>
              </w:tc>
              <w:tc>
                <w:tcPr>
                  <w:tcW w:w="484" w:type="pct"/>
                  <w:vAlign w:val="center"/>
                </w:tcPr>
                <w:p w14:paraId="5485AA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9</w:t>
                  </w:r>
                  <w:r>
                    <w:rPr>
                      <w:sz w:val="21"/>
                      <w:szCs w:val="21"/>
                    </w:rPr>
                    <w:t>个</w:t>
                  </w:r>
                </w:p>
              </w:tc>
              <w:tc>
                <w:tcPr>
                  <w:tcW w:w="619" w:type="pct"/>
                  <w:tcBorders>
                    <w:right w:val="nil"/>
                  </w:tcBorders>
                  <w:vAlign w:val="center"/>
                </w:tcPr>
                <w:p w14:paraId="26DE48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2.7</w:t>
                  </w:r>
                </w:p>
              </w:tc>
            </w:tr>
            <w:tr w14:paraId="4E76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37585A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12" w:type="pct"/>
                  <w:gridSpan w:val="2"/>
                  <w:vMerge w:val="continue"/>
                  <w:vAlign w:val="center"/>
                </w:tcPr>
                <w:p w14:paraId="5397EE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449" w:type="pct"/>
                  <w:gridSpan w:val="2"/>
                  <w:shd w:val="clear" w:color="auto" w:fill="auto"/>
                  <w:vAlign w:val="center"/>
                </w:tcPr>
                <w:p w14:paraId="19B81B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个人剂量计</w:t>
                  </w:r>
                </w:p>
              </w:tc>
              <w:tc>
                <w:tcPr>
                  <w:tcW w:w="484" w:type="pct"/>
                  <w:vAlign w:val="center"/>
                </w:tcPr>
                <w:p w14:paraId="069D06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9</w:t>
                  </w:r>
                  <w:r>
                    <w:rPr>
                      <w:sz w:val="21"/>
                      <w:szCs w:val="21"/>
                    </w:rPr>
                    <w:t>套</w:t>
                  </w:r>
                </w:p>
              </w:tc>
              <w:tc>
                <w:tcPr>
                  <w:tcW w:w="619" w:type="pct"/>
                  <w:tcBorders>
                    <w:right w:val="nil"/>
                  </w:tcBorders>
                  <w:vAlign w:val="center"/>
                </w:tcPr>
                <w:p w14:paraId="50FE7F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0.9</w:t>
                  </w:r>
                </w:p>
              </w:tc>
            </w:tr>
            <w:tr w14:paraId="380F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vMerge w:val="continue"/>
                  <w:tcBorders>
                    <w:left w:val="nil"/>
                  </w:tcBorders>
                  <w:vAlign w:val="center"/>
                </w:tcPr>
                <w:p w14:paraId="276F9F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12" w:type="pct"/>
                  <w:gridSpan w:val="2"/>
                  <w:vMerge w:val="continue"/>
                  <w:vAlign w:val="center"/>
                </w:tcPr>
                <w:p w14:paraId="004C58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449" w:type="pct"/>
                  <w:gridSpan w:val="2"/>
                  <w:shd w:val="clear" w:color="auto" w:fill="auto"/>
                  <w:vAlign w:val="center"/>
                </w:tcPr>
                <w:p w14:paraId="7253CA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pacing w:val="-6"/>
                      <w:sz w:val="21"/>
                      <w:szCs w:val="21"/>
                    </w:rPr>
                    <w:t>铅衣、铅帽、铅眼镜、铅围脖、铅围巾等（0.5mm铅当量）</w:t>
                  </w:r>
                </w:p>
              </w:tc>
              <w:tc>
                <w:tcPr>
                  <w:tcW w:w="484" w:type="pct"/>
                  <w:vAlign w:val="center"/>
                </w:tcPr>
                <w:p w14:paraId="0BF4C4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4</w:t>
                  </w:r>
                  <w:r>
                    <w:rPr>
                      <w:sz w:val="21"/>
                      <w:szCs w:val="21"/>
                    </w:rPr>
                    <w:t>套</w:t>
                  </w:r>
                </w:p>
              </w:tc>
              <w:tc>
                <w:tcPr>
                  <w:tcW w:w="619" w:type="pct"/>
                  <w:tcBorders>
                    <w:right w:val="nil"/>
                  </w:tcBorders>
                  <w:vAlign w:val="center"/>
                </w:tcPr>
                <w:p w14:paraId="483519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6.0</w:t>
                  </w:r>
                </w:p>
              </w:tc>
            </w:tr>
            <w:tr w14:paraId="2E5F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2C2E23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12" w:type="pct"/>
                  <w:gridSpan w:val="2"/>
                  <w:vMerge w:val="restart"/>
                  <w:vAlign w:val="center"/>
                </w:tcPr>
                <w:p w14:paraId="0F6443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cs="Times New Roman"/>
                      <w:bCs/>
                      <w:spacing w:val="-6"/>
                      <w:sz w:val="21"/>
                      <w:szCs w:val="21"/>
                      <w:lang w:val="en-US" w:eastAsia="zh-CN" w:bidi="ar-SA"/>
                    </w:rPr>
                    <w:t>DSA+CT复合手术室、3个DSA手术室（OR09、OR10、OR11）、ERCP室</w:t>
                  </w:r>
                </w:p>
              </w:tc>
              <w:tc>
                <w:tcPr>
                  <w:tcW w:w="2449" w:type="pct"/>
                  <w:gridSpan w:val="2"/>
                  <w:shd w:val="clear" w:color="auto" w:fill="auto"/>
                  <w:vAlign w:val="center"/>
                </w:tcPr>
                <w:p w14:paraId="334879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个人剂量报警仪</w:t>
                  </w:r>
                </w:p>
              </w:tc>
              <w:tc>
                <w:tcPr>
                  <w:tcW w:w="484" w:type="pct"/>
                  <w:shd w:val="clear" w:color="auto" w:fill="auto"/>
                  <w:vAlign w:val="center"/>
                </w:tcPr>
                <w:p w14:paraId="61EDAC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34</w:t>
                  </w:r>
                  <w:r>
                    <w:rPr>
                      <w:sz w:val="21"/>
                      <w:szCs w:val="21"/>
                    </w:rPr>
                    <w:t>个</w:t>
                  </w:r>
                </w:p>
              </w:tc>
              <w:tc>
                <w:tcPr>
                  <w:tcW w:w="619" w:type="pct"/>
                  <w:tcBorders>
                    <w:right w:val="nil"/>
                  </w:tcBorders>
                  <w:shd w:val="clear" w:color="auto" w:fill="auto"/>
                  <w:vAlign w:val="center"/>
                </w:tcPr>
                <w:p w14:paraId="584614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10.2</w:t>
                  </w:r>
                </w:p>
              </w:tc>
            </w:tr>
            <w:tr w14:paraId="037D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153E52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12" w:type="pct"/>
                  <w:gridSpan w:val="2"/>
                  <w:vMerge w:val="continue"/>
                  <w:vAlign w:val="center"/>
                </w:tcPr>
                <w:p w14:paraId="5AF7A2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cs="Times New Roman"/>
                      <w:bCs/>
                      <w:spacing w:val="-6"/>
                      <w:sz w:val="21"/>
                      <w:szCs w:val="21"/>
                      <w:lang w:val="en-US" w:eastAsia="zh-CN" w:bidi="ar-SA"/>
                    </w:rPr>
                  </w:pPr>
                </w:p>
              </w:tc>
              <w:tc>
                <w:tcPr>
                  <w:tcW w:w="2449" w:type="pct"/>
                  <w:gridSpan w:val="2"/>
                  <w:shd w:val="clear" w:color="auto" w:fill="auto"/>
                  <w:vAlign w:val="center"/>
                </w:tcPr>
                <w:p w14:paraId="1706CB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z w:val="21"/>
                      <w:szCs w:val="21"/>
                      <w:lang w:val="en-US" w:eastAsia="zh-CN" w:bidi="ar-SA"/>
                    </w:rPr>
                  </w:pPr>
                  <w:r>
                    <w:rPr>
                      <w:sz w:val="21"/>
                      <w:szCs w:val="21"/>
                    </w:rPr>
                    <w:t>个人剂量计</w:t>
                  </w:r>
                </w:p>
              </w:tc>
              <w:tc>
                <w:tcPr>
                  <w:tcW w:w="484" w:type="pct"/>
                  <w:shd w:val="clear" w:color="auto" w:fill="auto"/>
                  <w:vAlign w:val="center"/>
                </w:tcPr>
                <w:p w14:paraId="24481D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z w:val="21"/>
                      <w:szCs w:val="21"/>
                      <w:lang w:val="en-US" w:eastAsia="zh-CN" w:bidi="ar-SA"/>
                    </w:rPr>
                  </w:pPr>
                  <w:r>
                    <w:rPr>
                      <w:sz w:val="21"/>
                      <w:szCs w:val="21"/>
                    </w:rPr>
                    <w:t>34套</w:t>
                  </w:r>
                </w:p>
              </w:tc>
              <w:tc>
                <w:tcPr>
                  <w:tcW w:w="619" w:type="pct"/>
                  <w:tcBorders>
                    <w:right w:val="nil"/>
                  </w:tcBorders>
                  <w:shd w:val="clear" w:color="auto" w:fill="auto"/>
                  <w:vAlign w:val="center"/>
                </w:tcPr>
                <w:p w14:paraId="17838C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z w:val="21"/>
                      <w:szCs w:val="21"/>
                      <w:lang w:val="en-US" w:eastAsia="zh-CN" w:bidi="ar-SA"/>
                    </w:rPr>
                  </w:pPr>
                  <w:r>
                    <w:rPr>
                      <w:rFonts w:hint="eastAsia"/>
                      <w:sz w:val="21"/>
                      <w:szCs w:val="21"/>
                      <w:lang w:val="en-US" w:eastAsia="zh-CN"/>
                    </w:rPr>
                    <w:t>3.4</w:t>
                  </w:r>
                </w:p>
              </w:tc>
            </w:tr>
            <w:tr w14:paraId="3DB6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434" w:type="pct"/>
                  <w:vMerge w:val="continue"/>
                  <w:tcBorders>
                    <w:left w:val="nil"/>
                  </w:tcBorders>
                  <w:vAlign w:val="center"/>
                </w:tcPr>
                <w:p w14:paraId="1EBE57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12" w:type="pct"/>
                  <w:gridSpan w:val="2"/>
                  <w:vMerge w:val="continue"/>
                  <w:vAlign w:val="center"/>
                </w:tcPr>
                <w:p w14:paraId="43E376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449" w:type="pct"/>
                  <w:gridSpan w:val="2"/>
                  <w:shd w:val="clear" w:color="auto" w:fill="auto"/>
                  <w:vAlign w:val="center"/>
                </w:tcPr>
                <w:p w14:paraId="440E67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辐射工作人员</w:t>
                  </w:r>
                  <w:r>
                    <w:rPr>
                      <w:rFonts w:hint="eastAsia"/>
                      <w:bCs/>
                      <w:spacing w:val="-6"/>
                      <w:sz w:val="21"/>
                      <w:szCs w:val="21"/>
                    </w:rPr>
                    <w:t>防护：</w:t>
                  </w:r>
                  <w:r>
                    <w:rPr>
                      <w:bCs/>
                      <w:spacing w:val="-6"/>
                      <w:sz w:val="21"/>
                      <w:szCs w:val="21"/>
                    </w:rPr>
                    <w:t>铅</w:t>
                  </w:r>
                  <w:r>
                    <w:rPr>
                      <w:rFonts w:hint="eastAsia"/>
                      <w:bCs/>
                      <w:spacing w:val="-6"/>
                      <w:sz w:val="21"/>
                      <w:szCs w:val="21"/>
                    </w:rPr>
                    <w:t>衣</w:t>
                  </w:r>
                  <w:r>
                    <w:rPr>
                      <w:bCs/>
                      <w:spacing w:val="-6"/>
                      <w:sz w:val="21"/>
                      <w:szCs w:val="21"/>
                    </w:rPr>
                    <w:t>、铅橡胶颈套、铅防护眼镜（0.5mmPb）</w:t>
                  </w:r>
                  <w:r>
                    <w:rPr>
                      <w:rFonts w:hint="eastAsia"/>
                      <w:bCs/>
                      <w:spacing w:val="-6"/>
                      <w:sz w:val="21"/>
                      <w:szCs w:val="21"/>
                    </w:rPr>
                    <w:t>；介入防护手套</w:t>
                  </w:r>
                  <w:r>
                    <w:rPr>
                      <w:bCs/>
                      <w:spacing w:val="-6"/>
                      <w:sz w:val="21"/>
                      <w:szCs w:val="21"/>
                    </w:rPr>
                    <w:t>（0.</w:t>
                  </w:r>
                  <w:r>
                    <w:rPr>
                      <w:rFonts w:hint="eastAsia"/>
                      <w:bCs/>
                      <w:spacing w:val="-6"/>
                      <w:sz w:val="21"/>
                      <w:szCs w:val="21"/>
                    </w:rPr>
                    <w:t>0</w:t>
                  </w:r>
                  <w:r>
                    <w:rPr>
                      <w:rFonts w:hint="eastAsia"/>
                      <w:bCs/>
                      <w:spacing w:val="-6"/>
                      <w:sz w:val="21"/>
                      <w:szCs w:val="21"/>
                      <w:lang w:val="en-US" w:eastAsia="zh-CN"/>
                    </w:rPr>
                    <w:t>2</w:t>
                  </w:r>
                  <w:r>
                    <w:rPr>
                      <w:rFonts w:hint="eastAsia"/>
                      <w:bCs/>
                      <w:spacing w:val="-6"/>
                      <w:sz w:val="21"/>
                      <w:szCs w:val="21"/>
                    </w:rPr>
                    <w:t>5</w:t>
                  </w:r>
                  <w:r>
                    <w:rPr>
                      <w:bCs/>
                      <w:spacing w:val="-6"/>
                      <w:sz w:val="21"/>
                      <w:szCs w:val="21"/>
                    </w:rPr>
                    <w:t>mmPb）等</w:t>
                  </w:r>
                </w:p>
              </w:tc>
              <w:tc>
                <w:tcPr>
                  <w:tcW w:w="484" w:type="pct"/>
                  <w:shd w:val="clear" w:color="auto" w:fill="auto"/>
                  <w:vAlign w:val="center"/>
                </w:tcPr>
                <w:p w14:paraId="4DED75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r>
                    <w:rPr>
                      <w:bCs/>
                      <w:spacing w:val="-6"/>
                      <w:sz w:val="21"/>
                      <w:szCs w:val="21"/>
                    </w:rPr>
                    <w:t>套</w:t>
                  </w:r>
                </w:p>
              </w:tc>
              <w:tc>
                <w:tcPr>
                  <w:tcW w:w="619" w:type="pct"/>
                  <w:tcBorders>
                    <w:right w:val="nil"/>
                  </w:tcBorders>
                  <w:shd w:val="clear" w:color="auto" w:fill="auto"/>
                  <w:vAlign w:val="center"/>
                </w:tcPr>
                <w:p w14:paraId="0790F3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5.0</w:t>
                  </w:r>
                </w:p>
              </w:tc>
            </w:tr>
            <w:tr w14:paraId="13F7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34" w:type="pct"/>
                  <w:vMerge w:val="continue"/>
                  <w:tcBorders>
                    <w:left w:val="nil"/>
                  </w:tcBorders>
                  <w:vAlign w:val="center"/>
                </w:tcPr>
                <w:p w14:paraId="4EDC46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12" w:type="pct"/>
                  <w:gridSpan w:val="2"/>
                  <w:vMerge w:val="continue"/>
                  <w:vAlign w:val="center"/>
                </w:tcPr>
                <w:p w14:paraId="252D9C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449" w:type="pct"/>
                  <w:gridSpan w:val="2"/>
                  <w:shd w:val="clear" w:color="auto" w:fill="auto"/>
                  <w:vAlign w:val="center"/>
                </w:tcPr>
                <w:p w14:paraId="21B946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rPr>
                    <w:t>患者</w:t>
                  </w:r>
                  <w:r>
                    <w:rPr>
                      <w:bCs/>
                      <w:spacing w:val="-6"/>
                      <w:sz w:val="21"/>
                      <w:szCs w:val="21"/>
                    </w:rPr>
                    <w:t>防护：</w:t>
                  </w:r>
                  <w:r>
                    <w:rPr>
                      <w:sz w:val="21"/>
                      <w:szCs w:val="21"/>
                    </w:rPr>
                    <w:t>铅方巾或铅围裙</w:t>
                  </w:r>
                  <w:r>
                    <w:rPr>
                      <w:bCs/>
                      <w:spacing w:val="-6"/>
                      <w:sz w:val="21"/>
                      <w:szCs w:val="21"/>
                    </w:rPr>
                    <w:t>、铅橡胶颈套等（0.5mmPb）</w:t>
                  </w:r>
                </w:p>
              </w:tc>
              <w:tc>
                <w:tcPr>
                  <w:tcW w:w="484" w:type="pct"/>
                  <w:shd w:val="clear" w:color="auto" w:fill="auto"/>
                  <w:vAlign w:val="center"/>
                </w:tcPr>
                <w:p w14:paraId="18FCDC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w:t>
                  </w:r>
                  <w:r>
                    <w:rPr>
                      <w:rFonts w:hint="eastAsia"/>
                      <w:bCs/>
                      <w:spacing w:val="-6"/>
                      <w:sz w:val="21"/>
                      <w:szCs w:val="21"/>
                    </w:rPr>
                    <w:t>套</w:t>
                  </w:r>
                </w:p>
              </w:tc>
              <w:tc>
                <w:tcPr>
                  <w:tcW w:w="619" w:type="pct"/>
                  <w:tcBorders>
                    <w:right w:val="nil"/>
                  </w:tcBorders>
                  <w:shd w:val="clear" w:color="auto" w:fill="auto"/>
                  <w:vAlign w:val="center"/>
                </w:tcPr>
                <w:p w14:paraId="2BCC9B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p>
              </w:tc>
            </w:tr>
            <w:tr w14:paraId="3E7A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434" w:type="pct"/>
                  <w:vMerge w:val="continue"/>
                  <w:tcBorders>
                    <w:left w:val="nil"/>
                  </w:tcBorders>
                  <w:vAlign w:val="center"/>
                </w:tcPr>
                <w:p w14:paraId="1B695A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1012" w:type="pct"/>
                  <w:gridSpan w:val="2"/>
                  <w:vMerge w:val="continue"/>
                  <w:vAlign w:val="center"/>
                </w:tcPr>
                <w:p w14:paraId="57932F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2449" w:type="pct"/>
                  <w:gridSpan w:val="2"/>
                  <w:shd w:val="clear" w:color="auto" w:fill="auto"/>
                  <w:vAlign w:val="center"/>
                </w:tcPr>
                <w:p w14:paraId="62F92F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铅防护吊屏和</w:t>
                  </w:r>
                  <w:r>
                    <w:rPr>
                      <w:rFonts w:hint="eastAsia"/>
                      <w:bCs/>
                      <w:spacing w:val="-6"/>
                      <w:sz w:val="21"/>
                      <w:szCs w:val="21"/>
                    </w:rPr>
                    <w:t>床侧防护帘</w:t>
                  </w:r>
                  <w:r>
                    <w:rPr>
                      <w:bCs/>
                      <w:spacing w:val="-6"/>
                      <w:sz w:val="21"/>
                      <w:szCs w:val="21"/>
                    </w:rPr>
                    <w:t>（0.5mmPb）</w:t>
                  </w:r>
                </w:p>
              </w:tc>
              <w:tc>
                <w:tcPr>
                  <w:tcW w:w="484" w:type="pct"/>
                  <w:shd w:val="clear" w:color="auto" w:fill="auto"/>
                  <w:vAlign w:val="center"/>
                </w:tcPr>
                <w:p w14:paraId="505098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各1套</w:t>
                  </w:r>
                </w:p>
              </w:tc>
              <w:tc>
                <w:tcPr>
                  <w:tcW w:w="619" w:type="pct"/>
                  <w:tcBorders>
                    <w:right w:val="nil"/>
                  </w:tcBorders>
                  <w:shd w:val="clear" w:color="auto" w:fill="auto"/>
                  <w:vAlign w:val="center"/>
                </w:tcPr>
                <w:p w14:paraId="09DAB9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w:t>
                  </w:r>
                </w:p>
              </w:tc>
            </w:tr>
            <w:tr w14:paraId="23C0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34" w:type="pct"/>
                  <w:tcBorders>
                    <w:left w:val="nil"/>
                  </w:tcBorders>
                  <w:shd w:val="clear" w:color="auto" w:fill="auto"/>
                  <w:vAlign w:val="center"/>
                </w:tcPr>
                <w:p w14:paraId="0BB6B3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非放</w:t>
                  </w:r>
                  <w:r>
                    <w:rPr>
                      <w:bCs/>
                      <w:spacing w:val="-6"/>
                      <w:sz w:val="21"/>
                      <w:szCs w:val="21"/>
                    </w:rPr>
                    <w:t>废气</w:t>
                  </w:r>
                </w:p>
              </w:tc>
              <w:tc>
                <w:tcPr>
                  <w:tcW w:w="3461" w:type="pct"/>
                  <w:gridSpan w:val="4"/>
                  <w:shd w:val="clear" w:color="auto" w:fill="auto"/>
                  <w:vAlign w:val="center"/>
                </w:tcPr>
                <w:p w14:paraId="4A6830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bCs/>
                      <w:spacing w:val="-6"/>
                      <w:sz w:val="21"/>
                      <w:szCs w:val="21"/>
                    </w:rPr>
                    <w:t>通排风系统</w:t>
                  </w:r>
                </w:p>
              </w:tc>
              <w:tc>
                <w:tcPr>
                  <w:tcW w:w="484" w:type="pct"/>
                  <w:shd w:val="clear" w:color="auto" w:fill="auto"/>
                  <w:vAlign w:val="center"/>
                </w:tcPr>
                <w:p w14:paraId="7C73E9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3</w:t>
                  </w:r>
                  <w:r>
                    <w:rPr>
                      <w:rFonts w:hint="eastAsia"/>
                      <w:bCs/>
                      <w:spacing w:val="-6"/>
                      <w:sz w:val="21"/>
                      <w:szCs w:val="21"/>
                    </w:rPr>
                    <w:t>套</w:t>
                  </w:r>
                </w:p>
              </w:tc>
              <w:tc>
                <w:tcPr>
                  <w:tcW w:w="619" w:type="pct"/>
                  <w:tcBorders>
                    <w:right w:val="nil"/>
                  </w:tcBorders>
                  <w:shd w:val="clear" w:color="auto" w:fill="auto"/>
                  <w:vAlign w:val="center"/>
                </w:tcPr>
                <w:p w14:paraId="4798DC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纳入主体工程范围</w:t>
                  </w:r>
                </w:p>
              </w:tc>
            </w:tr>
            <w:tr w14:paraId="38C2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34" w:type="pct"/>
                  <w:tcBorders>
                    <w:left w:val="nil"/>
                  </w:tcBorders>
                  <w:shd w:val="clear" w:color="auto" w:fill="auto"/>
                  <w:vAlign w:val="center"/>
                </w:tcPr>
                <w:p w14:paraId="42BB03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非放</w:t>
                  </w:r>
                  <w:r>
                    <w:rPr>
                      <w:rFonts w:hint="eastAsia"/>
                      <w:bCs/>
                      <w:spacing w:val="-6"/>
                      <w:sz w:val="21"/>
                      <w:szCs w:val="21"/>
                    </w:rPr>
                    <w:t>固体废物</w:t>
                  </w:r>
                </w:p>
              </w:tc>
              <w:tc>
                <w:tcPr>
                  <w:tcW w:w="3461" w:type="pct"/>
                  <w:gridSpan w:val="4"/>
                  <w:shd w:val="clear" w:color="auto" w:fill="auto"/>
                  <w:vAlign w:val="center"/>
                </w:tcPr>
                <w:p w14:paraId="3CA323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医疗废物和生活垃圾收集桶</w:t>
                  </w:r>
                </w:p>
              </w:tc>
              <w:tc>
                <w:tcPr>
                  <w:tcW w:w="484" w:type="pct"/>
                  <w:shd w:val="clear" w:color="auto" w:fill="auto"/>
                  <w:vAlign w:val="center"/>
                </w:tcPr>
                <w:p w14:paraId="38072D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r>
                    <w:rPr>
                      <w:rFonts w:hint="eastAsia"/>
                      <w:bCs/>
                      <w:spacing w:val="-6"/>
                      <w:sz w:val="21"/>
                      <w:szCs w:val="21"/>
                    </w:rPr>
                    <w:t>个</w:t>
                  </w:r>
                </w:p>
              </w:tc>
              <w:tc>
                <w:tcPr>
                  <w:tcW w:w="619" w:type="pct"/>
                  <w:tcBorders>
                    <w:right w:val="nil"/>
                  </w:tcBorders>
                  <w:shd w:val="clear" w:color="auto" w:fill="auto"/>
                  <w:vAlign w:val="center"/>
                </w:tcPr>
                <w:p w14:paraId="24C573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p>
              </w:tc>
            </w:tr>
            <w:tr w14:paraId="6569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34" w:type="pct"/>
                  <w:tcBorders>
                    <w:left w:val="nil"/>
                  </w:tcBorders>
                  <w:vAlign w:val="center"/>
                </w:tcPr>
                <w:p w14:paraId="410F0A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其它</w:t>
                  </w:r>
                </w:p>
              </w:tc>
              <w:tc>
                <w:tcPr>
                  <w:tcW w:w="3461" w:type="pct"/>
                  <w:gridSpan w:val="4"/>
                  <w:vAlign w:val="center"/>
                </w:tcPr>
                <w:p w14:paraId="791B81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核医学科</w:t>
                  </w:r>
                  <w:r>
                    <w:rPr>
                      <w:sz w:val="21"/>
                      <w:szCs w:val="21"/>
                    </w:rPr>
                    <w:t>控制区地面防渗层</w:t>
                  </w:r>
                </w:p>
              </w:tc>
              <w:tc>
                <w:tcPr>
                  <w:tcW w:w="484" w:type="pct"/>
                  <w:vAlign w:val="center"/>
                </w:tcPr>
                <w:p w14:paraId="2F45BA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w:t>
                  </w:r>
                </w:p>
              </w:tc>
              <w:tc>
                <w:tcPr>
                  <w:tcW w:w="619" w:type="pct"/>
                  <w:tcBorders>
                    <w:right w:val="nil"/>
                  </w:tcBorders>
                  <w:vAlign w:val="center"/>
                </w:tcPr>
                <w:p w14:paraId="212361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计入主体工程</w:t>
                  </w:r>
                </w:p>
              </w:tc>
            </w:tr>
            <w:tr w14:paraId="0318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restart"/>
                  <w:tcBorders>
                    <w:left w:val="nil"/>
                  </w:tcBorders>
                  <w:vAlign w:val="center"/>
                </w:tcPr>
                <w:p w14:paraId="1723CF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监测</w:t>
                  </w:r>
                </w:p>
                <w:p w14:paraId="53CE08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设备</w:t>
                  </w:r>
                </w:p>
              </w:tc>
              <w:tc>
                <w:tcPr>
                  <w:tcW w:w="3461" w:type="pct"/>
                  <w:gridSpan w:val="4"/>
                  <w:vAlign w:val="center"/>
                </w:tcPr>
                <w:p w14:paraId="22342B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X-γ辐射剂量率监测仪</w:t>
                  </w:r>
                </w:p>
              </w:tc>
              <w:tc>
                <w:tcPr>
                  <w:tcW w:w="484" w:type="pct"/>
                  <w:vAlign w:val="center"/>
                </w:tcPr>
                <w:p w14:paraId="467528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2</w:t>
                  </w:r>
                  <w:r>
                    <w:rPr>
                      <w:sz w:val="21"/>
                      <w:szCs w:val="21"/>
                    </w:rPr>
                    <w:t>台</w:t>
                  </w:r>
                </w:p>
              </w:tc>
              <w:tc>
                <w:tcPr>
                  <w:tcW w:w="619" w:type="pct"/>
                  <w:tcBorders>
                    <w:right w:val="nil"/>
                  </w:tcBorders>
                  <w:vAlign w:val="center"/>
                </w:tcPr>
                <w:p w14:paraId="17AA80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8</w:t>
                  </w:r>
                  <w:r>
                    <w:rPr>
                      <w:sz w:val="21"/>
                      <w:szCs w:val="21"/>
                    </w:rPr>
                    <w:t>.0</w:t>
                  </w:r>
                </w:p>
              </w:tc>
            </w:tr>
            <w:tr w14:paraId="0EBF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5F6D51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3461" w:type="pct"/>
                  <w:gridSpan w:val="4"/>
                  <w:vAlign w:val="center"/>
                </w:tcPr>
                <w:p w14:paraId="7FE8FF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核医学科</w:t>
                  </w:r>
                  <w:r>
                    <w:rPr>
                      <w:sz w:val="21"/>
                      <w:szCs w:val="21"/>
                    </w:rPr>
                    <w:t>人员表面沾污仪</w:t>
                  </w:r>
                </w:p>
              </w:tc>
              <w:tc>
                <w:tcPr>
                  <w:tcW w:w="484" w:type="pct"/>
                  <w:vAlign w:val="center"/>
                </w:tcPr>
                <w:p w14:paraId="289E6E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2</w:t>
                  </w:r>
                  <w:r>
                    <w:rPr>
                      <w:sz w:val="21"/>
                      <w:szCs w:val="21"/>
                    </w:rPr>
                    <w:t>台</w:t>
                  </w:r>
                </w:p>
              </w:tc>
              <w:tc>
                <w:tcPr>
                  <w:tcW w:w="619" w:type="pct"/>
                  <w:tcBorders>
                    <w:right w:val="nil"/>
                  </w:tcBorders>
                  <w:vAlign w:val="center"/>
                </w:tcPr>
                <w:p w14:paraId="6104C3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2</w:t>
                  </w:r>
                  <w:r>
                    <w:rPr>
                      <w:sz w:val="21"/>
                      <w:szCs w:val="21"/>
                    </w:rPr>
                    <w:t>.0</w:t>
                  </w:r>
                </w:p>
              </w:tc>
            </w:tr>
            <w:tr w14:paraId="75AB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4" w:type="pct"/>
                  <w:vMerge w:val="continue"/>
                  <w:tcBorders>
                    <w:left w:val="nil"/>
                  </w:tcBorders>
                  <w:vAlign w:val="center"/>
                </w:tcPr>
                <w:p w14:paraId="711577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p>
              </w:tc>
              <w:tc>
                <w:tcPr>
                  <w:tcW w:w="3461" w:type="pct"/>
                  <w:gridSpan w:val="4"/>
                  <w:vAlign w:val="center"/>
                </w:tcPr>
                <w:p w14:paraId="5FA3E9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便携式表面沾污仪</w:t>
                  </w:r>
                </w:p>
              </w:tc>
              <w:tc>
                <w:tcPr>
                  <w:tcW w:w="484" w:type="pct"/>
                  <w:vAlign w:val="center"/>
                </w:tcPr>
                <w:p w14:paraId="2E4083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rFonts w:hint="eastAsia"/>
                      <w:sz w:val="21"/>
                      <w:szCs w:val="21"/>
                      <w:lang w:val="en-US" w:eastAsia="zh-CN"/>
                    </w:rPr>
                    <w:t>1</w:t>
                  </w:r>
                  <w:r>
                    <w:rPr>
                      <w:sz w:val="21"/>
                      <w:szCs w:val="21"/>
                    </w:rPr>
                    <w:t>台</w:t>
                  </w:r>
                </w:p>
              </w:tc>
              <w:tc>
                <w:tcPr>
                  <w:tcW w:w="619" w:type="pct"/>
                  <w:tcBorders>
                    <w:right w:val="nil"/>
                  </w:tcBorders>
                  <w:vAlign w:val="center"/>
                </w:tcPr>
                <w:p w14:paraId="7BFEB6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4.0</w:t>
                  </w:r>
                </w:p>
              </w:tc>
            </w:tr>
            <w:tr w14:paraId="4690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896" w:type="pct"/>
                  <w:gridSpan w:val="5"/>
                  <w:tcBorders>
                    <w:left w:val="nil"/>
                  </w:tcBorders>
                  <w:vAlign w:val="center"/>
                </w:tcPr>
                <w:p w14:paraId="4658F0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bCs/>
                      <w:sz w:val="21"/>
                      <w:szCs w:val="21"/>
                    </w:rPr>
                    <w:t>辐射工作人员上岗学习考核</w:t>
                  </w:r>
                </w:p>
              </w:tc>
              <w:tc>
                <w:tcPr>
                  <w:tcW w:w="484" w:type="pct"/>
                  <w:vAlign w:val="center"/>
                </w:tcPr>
                <w:p w14:paraId="5D02C0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w:t>
                  </w:r>
                </w:p>
              </w:tc>
              <w:tc>
                <w:tcPr>
                  <w:tcW w:w="619" w:type="pct"/>
                  <w:tcBorders>
                    <w:right w:val="nil"/>
                  </w:tcBorders>
                  <w:vAlign w:val="center"/>
                </w:tcPr>
                <w:p w14:paraId="4DA178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17</w:t>
                  </w:r>
                </w:p>
              </w:tc>
            </w:tr>
            <w:tr w14:paraId="3A6B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896" w:type="pct"/>
                  <w:gridSpan w:val="5"/>
                  <w:tcBorders>
                    <w:left w:val="nil"/>
                  </w:tcBorders>
                  <w:vAlign w:val="center"/>
                </w:tcPr>
                <w:p w14:paraId="42C8AF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bCs/>
                      <w:sz w:val="21"/>
                      <w:szCs w:val="21"/>
                    </w:rPr>
                    <w:t>规章制度上墙</w:t>
                  </w:r>
                </w:p>
              </w:tc>
              <w:tc>
                <w:tcPr>
                  <w:tcW w:w="484" w:type="pct"/>
                  <w:vAlign w:val="center"/>
                </w:tcPr>
                <w:p w14:paraId="280F3E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w:t>
                  </w:r>
                </w:p>
              </w:tc>
              <w:tc>
                <w:tcPr>
                  <w:tcW w:w="619" w:type="pct"/>
                  <w:tcBorders>
                    <w:right w:val="nil"/>
                  </w:tcBorders>
                  <w:vAlign w:val="center"/>
                </w:tcPr>
                <w:p w14:paraId="6BD3E0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0.1</w:t>
                  </w:r>
                </w:p>
              </w:tc>
            </w:tr>
            <w:tr w14:paraId="3823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896" w:type="pct"/>
                  <w:gridSpan w:val="5"/>
                  <w:tcBorders>
                    <w:left w:val="nil"/>
                  </w:tcBorders>
                  <w:vAlign w:val="center"/>
                </w:tcPr>
                <w:p w14:paraId="36B283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bCs/>
                      <w:sz w:val="21"/>
                      <w:szCs w:val="21"/>
                    </w:rPr>
                    <w:t>应急和救助的物资准备（应急通信设备、警戒线、警示标牌、应急演练、备用铅罐等）</w:t>
                  </w:r>
                </w:p>
              </w:tc>
              <w:tc>
                <w:tcPr>
                  <w:tcW w:w="484" w:type="pct"/>
                  <w:vAlign w:val="center"/>
                </w:tcPr>
                <w:p w14:paraId="79627B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w:t>
                  </w:r>
                </w:p>
              </w:tc>
              <w:tc>
                <w:tcPr>
                  <w:tcW w:w="619" w:type="pct"/>
                  <w:tcBorders>
                    <w:right w:val="nil"/>
                  </w:tcBorders>
                  <w:vAlign w:val="center"/>
                </w:tcPr>
                <w:p w14:paraId="521985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10.0</w:t>
                  </w:r>
                </w:p>
              </w:tc>
            </w:tr>
            <w:tr w14:paraId="3227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380" w:type="pct"/>
                  <w:gridSpan w:val="6"/>
                  <w:tcBorders>
                    <w:left w:val="nil"/>
                  </w:tcBorders>
                  <w:vAlign w:val="center"/>
                </w:tcPr>
                <w:p w14:paraId="50F623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z w:val="21"/>
                      <w:szCs w:val="21"/>
                    </w:rPr>
                  </w:pPr>
                  <w:r>
                    <w:rPr>
                      <w:sz w:val="21"/>
                      <w:szCs w:val="21"/>
                    </w:rPr>
                    <w:t>合计</w:t>
                  </w:r>
                </w:p>
              </w:tc>
              <w:tc>
                <w:tcPr>
                  <w:tcW w:w="619" w:type="pct"/>
                  <w:tcBorders>
                    <w:right w:val="nil"/>
                  </w:tcBorders>
                  <w:vAlign w:val="center"/>
                </w:tcPr>
                <w:p w14:paraId="0DAFF3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rPr>
                  </w:pPr>
                  <w:r>
                    <w:rPr>
                      <w:rFonts w:hint="eastAsia"/>
                      <w:sz w:val="21"/>
                      <w:szCs w:val="21"/>
                      <w:lang w:val="en-US" w:eastAsia="zh-CN"/>
                    </w:rPr>
                    <w:t>217.8</w:t>
                  </w:r>
                </w:p>
              </w:tc>
            </w:tr>
          </w:tbl>
          <w:p w14:paraId="4E7EC6D9">
            <w:pPr>
              <w:spacing w:after="120"/>
            </w:pPr>
          </w:p>
          <w:p w14:paraId="4222D4C1">
            <w:pPr>
              <w:pStyle w:val="55"/>
              <w:ind w:firstLine="0"/>
            </w:pPr>
          </w:p>
          <w:p w14:paraId="4D48CB13">
            <w:pPr>
              <w:pStyle w:val="55"/>
              <w:ind w:firstLine="0"/>
            </w:pPr>
          </w:p>
          <w:p w14:paraId="7CA3855F">
            <w:pPr>
              <w:pStyle w:val="55"/>
              <w:ind w:firstLine="0"/>
            </w:pPr>
          </w:p>
          <w:p w14:paraId="284075D0">
            <w:pPr>
              <w:pStyle w:val="55"/>
              <w:ind w:firstLine="0"/>
            </w:pPr>
          </w:p>
        </w:tc>
      </w:tr>
    </w:tbl>
    <w:p w14:paraId="7DEEF96F">
      <w:pPr>
        <w:keepNext/>
        <w:keepLines/>
        <w:pageBreakBefore/>
        <w:spacing w:line="240" w:lineRule="auto"/>
        <w:outlineLvl w:val="0"/>
        <w:rPr>
          <w:b/>
          <w:bCs/>
          <w:sz w:val="28"/>
          <w:szCs w:val="28"/>
        </w:rPr>
      </w:pPr>
      <w:bookmarkStart w:id="55" w:name="_Toc194317400"/>
      <w:bookmarkStart w:id="56" w:name="_Toc15991547"/>
      <w:r>
        <w:rPr>
          <w:b/>
          <w:bCs/>
          <w:sz w:val="28"/>
          <w:szCs w:val="28"/>
        </w:rPr>
        <w:t>表11：环境影响分析</w:t>
      </w:r>
      <w:bookmarkEnd w:id="55"/>
      <w:bookmarkEnd w:id="56"/>
    </w:p>
    <w:tbl>
      <w:tblPr>
        <w:tblStyle w:val="57"/>
        <w:tblW w:w="49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4"/>
      </w:tblGrid>
      <w:tr w14:paraId="653A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5000" w:type="pct"/>
          </w:tcPr>
          <w:p w14:paraId="53E4077E">
            <w:pPr>
              <w:jc w:val="left"/>
              <w:rPr>
                <w:rFonts w:eastAsia="黑体"/>
                <w:bCs/>
              </w:rPr>
            </w:pPr>
            <w:r>
              <w:rPr>
                <w:rFonts w:eastAsia="黑体"/>
                <w:bCs/>
              </w:rPr>
              <w:t>建设阶段对环境的影响</w:t>
            </w:r>
          </w:p>
          <w:p w14:paraId="6E004377">
            <w:pPr>
              <w:ind w:firstLine="480"/>
              <w:rPr>
                <w:bCs/>
              </w:rPr>
            </w:pPr>
            <w:r>
              <w:rPr>
                <w:bCs/>
              </w:rPr>
              <w:t>本项目</w:t>
            </w:r>
            <w:r>
              <w:t>拟在</w:t>
            </w:r>
            <w:r>
              <w:rPr>
                <w:rFonts w:hint="eastAsia"/>
              </w:rPr>
              <w:t>四川天府新区万安街道高饭店村、开元村（天津路东段）</w:t>
            </w:r>
            <w:r>
              <w:rPr>
                <w:rFonts w:hint="eastAsia"/>
                <w:bCs/>
                <w:spacing w:val="-6"/>
                <w:lang w:eastAsia="zh-CN"/>
              </w:rPr>
              <w:t>四川天府新区人民医院</w:t>
            </w:r>
            <w:r>
              <w:rPr>
                <w:bCs/>
                <w:spacing w:val="-6"/>
              </w:rPr>
              <w:t>内</w:t>
            </w:r>
            <w:r>
              <w:rPr>
                <w:rFonts w:hint="eastAsia"/>
                <w:lang w:eastAsia="zh-CN"/>
              </w:rPr>
              <w:t>门诊医技楼</w:t>
            </w:r>
            <w:r>
              <w:rPr>
                <w:rFonts w:hint="eastAsia"/>
                <w:lang w:val="en-US" w:eastAsia="zh-CN"/>
              </w:rPr>
              <w:t>建设负一层核医学科、四层手术部和内镜中心的射线机房</w:t>
            </w:r>
            <w:r>
              <w:rPr>
                <w:rFonts w:hint="eastAsia"/>
              </w:rPr>
              <w:t>。</w:t>
            </w:r>
            <w:r>
              <w:t>施工期为土建工程（包括基础工程、主体工程、装饰工程、设备安装等）和射线装置安装、调试。</w:t>
            </w:r>
          </w:p>
          <w:p w14:paraId="1B290C24">
            <w:pPr>
              <w:rPr>
                <w:rFonts w:eastAsia="黑体"/>
              </w:rPr>
            </w:pPr>
            <w:r>
              <w:rPr>
                <w:rFonts w:eastAsia="黑体"/>
              </w:rPr>
              <w:t>一、土建施工环境影响分析</w:t>
            </w:r>
          </w:p>
          <w:p w14:paraId="10C387BD">
            <w:pPr>
              <w:widowControl/>
              <w:ind w:firstLine="480"/>
              <w:rPr>
                <w:bCs/>
              </w:rPr>
            </w:pPr>
            <w:r>
              <w:rPr>
                <w:bCs/>
              </w:rPr>
              <w:t>本项目土建工程施工期产生的污染物主要为扬尘、废水、噪声、废渣和废气等。</w:t>
            </w:r>
          </w:p>
          <w:p w14:paraId="383B1C27">
            <w:pPr>
              <w:ind w:firstLine="482"/>
              <w:rPr>
                <w:b/>
              </w:rPr>
            </w:pPr>
            <w:r>
              <w:rPr>
                <w:b/>
              </w:rPr>
              <w:t>（一）大气环境影响分析</w:t>
            </w:r>
          </w:p>
          <w:p w14:paraId="4EB3CA60">
            <w:pPr>
              <w:ind w:firstLine="480"/>
            </w:pPr>
            <w:r>
              <w:t>本项目施工期产生的废气主要为土建施工产生的少量扬尘及废气等。拆除、基础、主体工程施工采取湿法作业、加强施工设备维护等措施，装饰装修工程采用</w:t>
            </w:r>
            <w:r>
              <w:rPr>
                <w:bCs/>
              </w:rPr>
              <w:t>“环保型”油漆及涂料、加强通风或室内空气净化等措施，可尽量降低扬尘和废气对周围大气环境的影响。</w:t>
            </w:r>
          </w:p>
          <w:p w14:paraId="6267A648">
            <w:pPr>
              <w:ind w:firstLine="482"/>
              <w:rPr>
                <w:b/>
              </w:rPr>
            </w:pPr>
            <w:r>
              <w:rPr>
                <w:b/>
              </w:rPr>
              <w:t>（二）水环境影响分析</w:t>
            </w:r>
          </w:p>
          <w:p w14:paraId="3D62F717">
            <w:pPr>
              <w:ind w:firstLine="480"/>
            </w:pPr>
            <w:r>
              <w:rPr>
                <w:bCs/>
              </w:rPr>
              <w:t>土建施工</w:t>
            </w:r>
            <w:r>
              <w:t>主要为施工人员产生的生活污水及少量施工废水。本项目施工产生的生活污水依托医院污水处理设施处理后排入市政污水管网，施工废水采用简易沉淀池沉淀后循环使用，不外排，对地表水环境无影响。</w:t>
            </w:r>
          </w:p>
          <w:p w14:paraId="18AE0C84">
            <w:pPr>
              <w:ind w:firstLine="482"/>
              <w:rPr>
                <w:b/>
              </w:rPr>
            </w:pPr>
            <w:r>
              <w:rPr>
                <w:b/>
              </w:rPr>
              <w:t>（三）声环境影响分析</w:t>
            </w:r>
          </w:p>
          <w:p w14:paraId="6822F1A7">
            <w:pPr>
              <w:widowControl/>
              <w:ind w:firstLine="480"/>
              <w:rPr>
                <w:bCs/>
              </w:rPr>
            </w:pPr>
            <w:r>
              <w:t>施工期的噪声主要来源于施工现场的各类机械设备噪声，主要有重型运输车、电锯、电锤、空压机、角磨机等，本项目通过采取合理布置施工机具、使用低噪声施工机具、加强施工设备维护、合理安排施工时间、避免高噪声源强设备同时施工、加强对施工场地的噪声管理等措施，能最大限度地减少施工噪声的影响。</w:t>
            </w:r>
          </w:p>
          <w:p w14:paraId="1F9D7B5F">
            <w:pPr>
              <w:ind w:firstLine="482"/>
              <w:rPr>
                <w:b/>
              </w:rPr>
            </w:pPr>
            <w:r>
              <w:rPr>
                <w:b/>
              </w:rPr>
              <w:t>（四）固体废物影响分析</w:t>
            </w:r>
          </w:p>
          <w:p w14:paraId="7792ADF8">
            <w:pPr>
              <w:ind w:firstLine="480"/>
            </w:pPr>
            <w:r>
              <w:t>施工期产生的固体废物主要为建筑垃圾、包装废材和施工人员产生的生活垃圾。</w:t>
            </w:r>
            <w:r>
              <w:rPr>
                <w:bCs/>
              </w:rPr>
              <w:t>产生的废弃物如废材料、废纸张、废包装材料、废塑料薄膜等应妥善保管，及时回收处理；对于不可回收的建筑垃圾，应定点堆放，及时送当地指定的建筑垃圾</w:t>
            </w:r>
            <w:r>
              <w:rPr>
                <w:rFonts w:hint="eastAsia"/>
                <w:bCs/>
                <w:lang w:val="en-US" w:eastAsia="zh-CN"/>
              </w:rPr>
              <w:t>消纳</w:t>
            </w:r>
            <w:r>
              <w:rPr>
                <w:bCs/>
              </w:rPr>
              <w:t>场；产生的生活垃圾依托医院已有生活垃圾收集设施收集后，交由环卫部门统一处理。</w:t>
            </w:r>
          </w:p>
          <w:p w14:paraId="512907B7">
            <w:pPr>
              <w:widowControl/>
              <w:ind w:firstLine="480"/>
              <w:rPr>
                <w:bCs/>
              </w:rPr>
            </w:pPr>
            <w:r>
              <w:rPr>
                <w:bCs/>
              </w:rPr>
              <w:t>此外，在符合建筑设计和辐射防护要求的前提下，保证各屏蔽体有效衔接，各屏蔽体应有足够的超边量，避免各屏蔽体之间有漏缝产生。</w:t>
            </w:r>
          </w:p>
          <w:p w14:paraId="2E19E4CD">
            <w:pPr>
              <w:widowControl/>
              <w:ind w:firstLine="480"/>
              <w:rPr>
                <w:bCs/>
              </w:rPr>
            </w:pPr>
            <w:r>
              <w:rPr>
                <w:bCs/>
              </w:rPr>
              <w:t>本项目施工期较短，施工量较小，在建设单位的严格监督下，施工方遵守文明施工、合理施工的原则，做到各项环保措施，可使其对环境的影响降至</w:t>
            </w:r>
            <w:r>
              <w:rPr>
                <w:rFonts w:hint="eastAsia"/>
                <w:bCs/>
                <w:lang w:eastAsia="zh-CN"/>
              </w:rPr>
              <w:t>最低</w:t>
            </w:r>
            <w:r>
              <w:rPr>
                <w:bCs/>
              </w:rPr>
              <w:t>程度。施工结束后，项目施工期环境影响将随之消除。</w:t>
            </w:r>
          </w:p>
          <w:p w14:paraId="326B66D6">
            <w:pPr>
              <w:rPr>
                <w:rFonts w:eastAsia="黑体"/>
              </w:rPr>
            </w:pPr>
            <w:r>
              <w:rPr>
                <w:rFonts w:eastAsia="黑体"/>
              </w:rPr>
              <w:t>二、射线装置安装、调试期间的环境影响分析</w:t>
            </w:r>
          </w:p>
          <w:p w14:paraId="5D54FBD4">
            <w:pPr>
              <w:ind w:firstLine="480"/>
              <w:rPr>
                <w:bCs/>
              </w:rPr>
            </w:pPr>
            <w:r>
              <w:rPr>
                <w:bCs/>
              </w:rPr>
              <w:t>本项目涉及1台</w:t>
            </w:r>
            <w:r>
              <w:rPr>
                <w:rFonts w:hint="eastAsia"/>
                <w:bCs/>
                <w:lang w:val="en-US" w:eastAsia="zh-CN"/>
              </w:rPr>
              <w:t>DSA+CT复合设备、3台DSA、1台ERCP</w:t>
            </w:r>
            <w:r>
              <w:rPr>
                <w:bCs/>
              </w:rPr>
              <w:t>（</w:t>
            </w:r>
            <w:r>
              <w:rPr>
                <w:rFonts w:hint="eastAsia"/>
                <w:bCs/>
                <w:lang w:val="en-US" w:eastAsia="zh-CN"/>
              </w:rPr>
              <w:t>均为</w:t>
            </w:r>
            <w:r>
              <w:t>Ⅱ</w:t>
            </w:r>
            <w:r>
              <w:rPr>
                <w:bCs/>
              </w:rPr>
              <w:t>类射线装置）</w:t>
            </w:r>
            <w:r>
              <w:rPr>
                <w:rFonts w:hint="eastAsia"/>
                <w:bCs/>
                <w:lang w:eastAsia="zh-CN"/>
              </w:rPr>
              <w:t>；</w:t>
            </w:r>
            <w:r>
              <w:rPr>
                <w:rFonts w:hint="eastAsia"/>
                <w:bCs/>
                <w:lang w:val="en-US" w:eastAsia="zh-CN"/>
              </w:rPr>
              <w:t>1</w:t>
            </w:r>
            <w:r>
              <w:rPr>
                <w:bCs/>
              </w:rPr>
              <w:t>台PET/CT和</w:t>
            </w:r>
            <w:r>
              <w:rPr>
                <w:rFonts w:hint="eastAsia"/>
                <w:bCs/>
                <w:lang w:val="en-US" w:eastAsia="zh-CN"/>
              </w:rPr>
              <w:t>1</w:t>
            </w:r>
            <w:r>
              <w:rPr>
                <w:bCs/>
              </w:rPr>
              <w:t>台SPECT/CT（均为Ⅲ类射线装置），射线装置的运输、安装、调试均由设备厂家专业人员进行，建设单位不得自行安装及调试设备。</w:t>
            </w:r>
            <w:r>
              <w:t>本项目射线装置安装</w:t>
            </w:r>
            <w:r>
              <w:rPr>
                <w:bCs/>
              </w:rPr>
              <w:t>调试时，主要污染因素为X射线、臭氧和少量包装废弃物。建设单位应加强辐射防护管理，在此过程中应保证各屏蔽体屏蔽到位，关闭防护门，在机房门外设立电离辐射警告标志，禁止无关人员靠近，防止辐射事故发生。人员离开时机房必须上锁并派人看守。</w:t>
            </w:r>
          </w:p>
          <w:p w14:paraId="204DD6EC">
            <w:pPr>
              <w:ind w:firstLine="480"/>
            </w:pPr>
            <w:r>
              <w:rPr>
                <w:bCs/>
              </w:rPr>
              <w:t>由于设备的安装和调试均在机房内进行，经过机房墙体、防护门、防护窗的屏蔽和距离衰减后对环境的影响较小。射线装置安装完成后，建设单位需及时回收或处理包装材料等固体废物，不得随意丢弃。</w:t>
            </w:r>
          </w:p>
        </w:tc>
      </w:tr>
      <w:tr w14:paraId="3329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0" w:hRule="atLeast"/>
        </w:trPr>
        <w:tc>
          <w:tcPr>
            <w:tcW w:w="5000" w:type="pct"/>
          </w:tcPr>
          <w:p w14:paraId="2092E998">
            <w:pPr>
              <w:jc w:val="left"/>
              <w:rPr>
                <w:rFonts w:eastAsia="黑体"/>
                <w:bCs/>
              </w:rPr>
            </w:pPr>
            <w:r>
              <w:rPr>
                <w:rFonts w:eastAsia="黑体"/>
                <w:bCs/>
              </w:rPr>
              <w:t>运行阶段对环境的影响</w:t>
            </w:r>
          </w:p>
          <w:p w14:paraId="3F18416A">
            <w:pPr>
              <w:numPr>
                <w:ilvl w:val="0"/>
                <w:numId w:val="10"/>
              </w:numPr>
              <w:rPr>
                <w:rFonts w:eastAsia="黑体"/>
              </w:rPr>
            </w:pPr>
            <w:r>
              <w:rPr>
                <w:rFonts w:eastAsia="黑体"/>
              </w:rPr>
              <w:t>辐射环境影响分析</w:t>
            </w:r>
          </w:p>
          <w:p w14:paraId="6F78AF33">
            <w:pPr>
              <w:ind w:firstLine="480"/>
              <w:rPr>
                <w:rFonts w:eastAsia="黑体"/>
              </w:rPr>
            </w:pPr>
            <w:r>
              <w:rPr>
                <w:rFonts w:eastAsia="黑体"/>
              </w:rPr>
              <w:t>（</w:t>
            </w:r>
            <w:r>
              <w:rPr>
                <w:rFonts w:hint="eastAsia" w:eastAsia="黑体"/>
                <w:lang w:val="en-US" w:eastAsia="zh-CN"/>
              </w:rPr>
              <w:t>一</w:t>
            </w:r>
            <w:r>
              <w:rPr>
                <w:rFonts w:eastAsia="黑体"/>
              </w:rPr>
              <w:t>）负一层</w:t>
            </w:r>
            <w:r>
              <w:rPr>
                <w:rFonts w:hint="eastAsia" w:eastAsia="黑体"/>
                <w:lang w:val="en-US" w:eastAsia="zh-CN"/>
              </w:rPr>
              <w:t>核医学科</w:t>
            </w:r>
            <w:r>
              <w:rPr>
                <w:rFonts w:eastAsia="黑体"/>
              </w:rPr>
              <w:t>辐射环境影响分析</w:t>
            </w:r>
          </w:p>
          <w:p w14:paraId="4D0E2837">
            <w:pPr>
              <w:ind w:firstLine="480"/>
            </w:pPr>
            <w:r>
              <w:t>负一层</w:t>
            </w:r>
            <w:r>
              <w:rPr>
                <w:rFonts w:hint="eastAsia"/>
                <w:lang w:val="en-US" w:eastAsia="zh-CN"/>
              </w:rPr>
              <w:t>核医学科</w:t>
            </w:r>
            <w:r>
              <w:t>涉及使用非密封放射性</w:t>
            </w:r>
            <w:r>
              <w:rPr>
                <w:highlight w:val="none"/>
              </w:rPr>
              <w:t>物质</w:t>
            </w:r>
            <w:r>
              <w:rPr>
                <w:bCs/>
                <w:highlight w:val="none"/>
              </w:rPr>
              <w:t>氟-18、镓-68</w:t>
            </w:r>
            <w:r>
              <w:rPr>
                <w:rFonts w:hint="eastAsia"/>
                <w:bCs/>
                <w:highlight w:val="none"/>
                <w:lang w:val="en-US" w:eastAsia="zh-CN"/>
              </w:rPr>
              <w:t>和锝</w:t>
            </w:r>
            <w:r>
              <w:rPr>
                <w:bCs/>
                <w:highlight w:val="none"/>
              </w:rPr>
              <w:t>-</w:t>
            </w:r>
            <w:r>
              <w:rPr>
                <w:rFonts w:hint="eastAsia"/>
                <w:bCs/>
                <w:highlight w:val="none"/>
                <w:lang w:val="en-US" w:eastAsia="zh-CN"/>
              </w:rPr>
              <w:t>99</w:t>
            </w:r>
            <w:r>
              <w:rPr>
                <w:bCs/>
                <w:highlight w:val="none"/>
              </w:rPr>
              <w:t>，用于PET/CT和</w:t>
            </w:r>
            <w:r>
              <w:rPr>
                <w:rFonts w:hint="eastAsia"/>
                <w:bCs/>
                <w:highlight w:val="none"/>
                <w:lang w:val="en-US" w:eastAsia="zh-CN"/>
              </w:rPr>
              <w:t>S</w:t>
            </w:r>
            <w:r>
              <w:rPr>
                <w:bCs/>
                <w:highlight w:val="none"/>
              </w:rPr>
              <w:t>PE</w:t>
            </w:r>
            <w:r>
              <w:rPr>
                <w:rFonts w:hint="eastAsia"/>
                <w:bCs/>
                <w:highlight w:val="none"/>
                <w:lang w:val="en-US" w:eastAsia="zh-CN"/>
              </w:rPr>
              <w:t>C</w:t>
            </w:r>
            <w:r>
              <w:rPr>
                <w:bCs/>
                <w:highlight w:val="none"/>
              </w:rPr>
              <w:t>T/</w:t>
            </w:r>
            <w:r>
              <w:rPr>
                <w:rFonts w:hint="eastAsia"/>
                <w:bCs/>
                <w:highlight w:val="none"/>
                <w:lang w:val="en-US" w:eastAsia="zh-CN"/>
              </w:rPr>
              <w:t>CT</w:t>
            </w:r>
            <w:r>
              <w:rPr>
                <w:bCs/>
                <w:highlight w:val="none"/>
              </w:rPr>
              <w:t>显像诊断</w:t>
            </w:r>
            <w:r>
              <w:rPr>
                <w:rFonts w:hint="eastAsia"/>
                <w:bCs/>
                <w:highlight w:val="none"/>
                <w:lang w:eastAsia="zh-CN"/>
              </w:rPr>
              <w:t>；</w:t>
            </w:r>
            <w:r>
              <w:rPr>
                <w:rFonts w:hint="eastAsia"/>
                <w:bCs/>
                <w:highlight w:val="none"/>
                <w:lang w:val="en-US" w:eastAsia="zh-CN"/>
              </w:rPr>
              <w:t>使用</w:t>
            </w:r>
            <w:r>
              <w:rPr>
                <w:highlight w:val="none"/>
              </w:rPr>
              <w:t>非密封放射性物质</w:t>
            </w:r>
            <w:r>
              <w:rPr>
                <w:rFonts w:hint="eastAsia"/>
                <w:bCs/>
                <w:highlight w:val="none"/>
                <w:lang w:val="en-US" w:eastAsia="zh-CN"/>
              </w:rPr>
              <w:t>锶-89</w:t>
            </w:r>
            <w:r>
              <w:rPr>
                <w:bCs/>
                <w:highlight w:val="none"/>
              </w:rPr>
              <w:t>和碘-1</w:t>
            </w:r>
            <w:r>
              <w:rPr>
                <w:rFonts w:hint="eastAsia"/>
                <w:bCs/>
                <w:highlight w:val="none"/>
                <w:lang w:val="en-US" w:eastAsia="zh-CN"/>
              </w:rPr>
              <w:t>31，用于骨转移癌治疗、甲亢检查治疗；使用</w:t>
            </w:r>
            <w:r>
              <w:rPr>
                <w:highlight w:val="none"/>
              </w:rPr>
              <w:t>非密封放射性物质</w:t>
            </w:r>
            <w:r>
              <w:rPr>
                <w:rFonts w:hint="eastAsia"/>
                <w:bCs/>
                <w:highlight w:val="none"/>
                <w:lang w:val="en-US" w:eastAsia="zh-CN"/>
              </w:rPr>
              <w:t>磷-32，用于敷贴治疗。</w:t>
            </w:r>
            <w:r>
              <w:rPr>
                <w:bCs/>
              </w:rPr>
              <w:t>产生的电离辐射包括X射线、</w:t>
            </w:r>
            <w:r>
              <w:t>β射线、γ射线。</w:t>
            </w:r>
          </w:p>
          <w:p w14:paraId="73D60739">
            <w:pPr>
              <w:ind w:firstLine="480"/>
            </w:pPr>
            <w:r>
              <w:rPr>
                <w:rFonts w:hint="default" w:ascii="Times New Roman" w:hAnsi="Times New Roman" w:eastAsia="宋体" w:cs="Times New Roman"/>
                <w:color w:val="auto"/>
                <w:sz w:val="24"/>
                <w:szCs w:val="24"/>
                <w:highlight w:val="none"/>
                <w:lang w:eastAsia="zh-CN"/>
              </w:rPr>
              <w:t>根据前文</w:t>
            </w:r>
            <w:r>
              <w:rPr>
                <w:rFonts w:hint="default" w:ascii="Times New Roman" w:hAnsi="Times New Roman" w:eastAsia="宋体" w:cs="Times New Roman"/>
                <w:color w:val="auto"/>
                <w:sz w:val="24"/>
                <w:szCs w:val="24"/>
                <w:highlight w:val="none"/>
                <w:lang w:val="en-US" w:eastAsia="zh-CN"/>
              </w:rPr>
              <w:t>所述发展规划，</w:t>
            </w:r>
            <w:r>
              <w:rPr>
                <w:rFonts w:hint="default" w:ascii="Times New Roman" w:hAnsi="Times New Roman" w:eastAsia="宋体" w:cs="Times New Roman"/>
                <w:color w:val="auto"/>
                <w:sz w:val="24"/>
                <w:szCs w:val="24"/>
                <w:highlight w:val="none"/>
                <w:lang w:eastAsia="zh-CN"/>
              </w:rPr>
              <w:t>参考</w:t>
            </w:r>
            <w:r>
              <w:rPr>
                <w:rFonts w:hint="eastAsia" w:ascii="Times New Roman" w:hAnsi="Times New Roman" w:eastAsia="宋体" w:cs="Times New Roman"/>
                <w:color w:val="auto"/>
                <w:sz w:val="24"/>
                <w:szCs w:val="24"/>
                <w:highlight w:val="none"/>
                <w:lang w:val="en-US" w:eastAsia="zh-CN"/>
              </w:rPr>
              <w:t>操作</w:t>
            </w:r>
            <w:r>
              <w:rPr>
                <w:rFonts w:hint="default" w:ascii="Times New Roman" w:hAnsi="Times New Roman" w:eastAsia="宋体" w:cs="Times New Roman"/>
                <w:color w:val="auto"/>
                <w:sz w:val="24"/>
                <w:szCs w:val="24"/>
                <w:highlight w:val="none"/>
                <w:lang w:eastAsia="zh-CN"/>
              </w:rPr>
              <w:t>各放射性核素的</w:t>
            </w:r>
            <w:r>
              <w:rPr>
                <w:rFonts w:hint="eastAsia" w:ascii="Times New Roman" w:hAnsi="Times New Roman" w:eastAsia="宋体" w:cs="Times New Roman"/>
                <w:color w:val="auto"/>
                <w:sz w:val="24"/>
                <w:szCs w:val="24"/>
                <w:highlight w:val="none"/>
                <w:lang w:val="en-US" w:eastAsia="zh-CN"/>
              </w:rPr>
              <w:t>工作流程</w:t>
            </w:r>
            <w:r>
              <w:rPr>
                <w:rFonts w:hint="default" w:ascii="Times New Roman" w:hAnsi="Times New Roman" w:eastAsia="宋体" w:cs="Times New Roman"/>
                <w:color w:val="auto"/>
                <w:sz w:val="24"/>
                <w:szCs w:val="24"/>
                <w:highlight w:val="none"/>
                <w:lang w:eastAsia="zh-CN"/>
              </w:rPr>
              <w:t>，对</w:t>
            </w:r>
            <w:r>
              <w:rPr>
                <w:rFonts w:hint="default" w:ascii="Times New Roman" w:hAnsi="Times New Roman" w:eastAsia="宋体" w:cs="Times New Roman"/>
                <w:color w:val="auto"/>
                <w:sz w:val="24"/>
                <w:szCs w:val="24"/>
                <w:highlight w:val="none"/>
              </w:rPr>
              <w:t>各功能</w:t>
            </w:r>
            <w:r>
              <w:rPr>
                <w:rFonts w:hint="default" w:ascii="Times New Roman" w:hAnsi="Times New Roman" w:eastAsia="宋体" w:cs="Times New Roman"/>
                <w:color w:val="auto"/>
                <w:sz w:val="24"/>
                <w:szCs w:val="24"/>
                <w:highlight w:val="none"/>
                <w:lang w:eastAsia="zh-CN"/>
              </w:rPr>
              <w:t>场所放射性核素使用将按照其使用最频繁且辐射危害最大的情况进行参数选取，详</w:t>
            </w:r>
            <w:r>
              <w:rPr>
                <w:rFonts w:hint="default" w:ascii="Times New Roman" w:hAnsi="Times New Roman" w:eastAsia="宋体" w:cs="Times New Roman"/>
                <w:color w:val="auto"/>
                <w:sz w:val="24"/>
                <w:szCs w:val="24"/>
                <w:highlight w:val="none"/>
              </w:rPr>
              <w:t>见表</w:t>
            </w:r>
            <w:r>
              <w:rPr>
                <w:rFonts w:hint="eastAsia" w:ascii="Times New Roman" w:hAnsi="Times New Roman" w:eastAsia="宋体" w:cs="Times New Roman"/>
                <w:color w:val="auto"/>
                <w:sz w:val="24"/>
                <w:szCs w:val="24"/>
                <w:highlight w:val="none"/>
                <w:lang w:val="en-US" w:eastAsia="zh-CN"/>
              </w:rPr>
              <w:t>11-1</w:t>
            </w:r>
            <w:r>
              <w:rPr>
                <w:rFonts w:hint="default" w:ascii="Times New Roman" w:hAnsi="Times New Roman" w:eastAsia="宋体" w:cs="Times New Roman"/>
                <w:color w:val="auto"/>
                <w:sz w:val="24"/>
                <w:szCs w:val="24"/>
                <w:highlight w:val="none"/>
                <w:lang w:val="en-US" w:eastAsia="zh-CN"/>
              </w:rPr>
              <w:t>。</w:t>
            </w:r>
          </w:p>
          <w:p w14:paraId="454A9BBF">
            <w:pPr>
              <w:spacing w:before="120" w:beforeLines="50" w:line="240" w:lineRule="auto"/>
              <w:jc w:val="center"/>
              <w:rPr>
                <w:rFonts w:ascii="Times New Roman" w:hAnsi="Times New Roman" w:eastAsia="黑体" w:cs="Times New Roman"/>
                <w:bCs/>
                <w:sz w:val="21"/>
                <w:szCs w:val="21"/>
              </w:rPr>
            </w:pPr>
            <w:r>
              <w:rPr>
                <w:rFonts w:hint="default" w:ascii="Times New Roman" w:hAnsi="Times New Roman" w:eastAsia="黑体" w:cs="Times New Roman"/>
                <w:bCs/>
                <w:sz w:val="21"/>
                <w:szCs w:val="21"/>
              </w:rPr>
              <w:t>表</w:t>
            </w:r>
            <w:r>
              <w:rPr>
                <w:rFonts w:hint="eastAsia" w:ascii="Times New Roman" w:hAnsi="Times New Roman" w:eastAsia="黑体" w:cs="Times New Roman"/>
                <w:bCs/>
                <w:sz w:val="21"/>
                <w:szCs w:val="21"/>
                <w:lang w:val="en-US" w:eastAsia="zh-CN"/>
              </w:rPr>
              <w:t>11-1</w:t>
            </w:r>
            <w:r>
              <w:rPr>
                <w:rFonts w:hint="default" w:ascii="Times New Roman" w:hAnsi="Times New Roman" w:eastAsia="黑体" w:cs="Times New Roman"/>
                <w:bCs/>
                <w:sz w:val="21"/>
                <w:szCs w:val="21"/>
                <w:lang w:val="en-US" w:eastAsia="zh-CN"/>
              </w:rPr>
              <w:t xml:space="preserve">  用于</w:t>
            </w:r>
            <w:r>
              <w:rPr>
                <w:rFonts w:hint="eastAsia" w:ascii="Times New Roman" w:hAnsi="Times New Roman" w:eastAsia="黑体" w:cs="Times New Roman"/>
                <w:bCs/>
                <w:sz w:val="21"/>
                <w:szCs w:val="21"/>
                <w:lang w:val="en-US" w:eastAsia="zh-CN"/>
              </w:rPr>
              <w:t>影响分析</w:t>
            </w:r>
            <w:r>
              <w:rPr>
                <w:rFonts w:hint="default" w:ascii="Times New Roman" w:hAnsi="Times New Roman" w:eastAsia="黑体" w:cs="Times New Roman"/>
                <w:bCs/>
                <w:sz w:val="21"/>
                <w:szCs w:val="21"/>
                <w:lang w:eastAsia="zh-CN"/>
              </w:rPr>
              <w:t>的</w:t>
            </w:r>
            <w:r>
              <w:rPr>
                <w:rFonts w:hint="default" w:ascii="Times New Roman" w:hAnsi="Times New Roman" w:eastAsia="黑体" w:cs="Times New Roman"/>
                <w:bCs/>
                <w:sz w:val="21"/>
                <w:szCs w:val="21"/>
              </w:rPr>
              <w:t>各功能房间用药情况</w:t>
            </w:r>
            <w:r>
              <w:rPr>
                <w:rFonts w:hint="eastAsia" w:ascii="Times New Roman" w:hAnsi="Times New Roman" w:eastAsia="黑体" w:cs="Times New Roman"/>
                <w:bCs/>
                <w:sz w:val="21"/>
                <w:szCs w:val="21"/>
                <w:lang w:val="en-US" w:eastAsia="zh-CN"/>
              </w:rPr>
              <w:t>汇总</w:t>
            </w:r>
          </w:p>
          <w:tbl>
            <w:tblPr>
              <w:tblStyle w:val="58"/>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103"/>
              <w:gridCol w:w="2662"/>
              <w:gridCol w:w="2733"/>
              <w:gridCol w:w="867"/>
            </w:tblGrid>
            <w:tr w14:paraId="7361C2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tblHeader/>
                <w:jc w:val="center"/>
              </w:trPr>
              <w:tc>
                <w:tcPr>
                  <w:tcW w:w="784" w:type="pct"/>
                  <w:tcBorders>
                    <w:tl2br w:val="nil"/>
                    <w:tr2bl w:val="nil"/>
                  </w:tcBorders>
                  <w:noWrap w:val="0"/>
                  <w:vAlign w:val="center"/>
                </w:tcPr>
                <w:p w14:paraId="0C6B11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工作场所</w:t>
                  </w:r>
                </w:p>
              </w:tc>
              <w:tc>
                <w:tcPr>
                  <w:tcW w:w="631" w:type="pct"/>
                  <w:tcBorders>
                    <w:tl2br w:val="nil"/>
                    <w:tr2bl w:val="nil"/>
                  </w:tcBorders>
                  <w:noWrap w:val="0"/>
                  <w:vAlign w:val="center"/>
                </w:tcPr>
                <w:p w14:paraId="5A8482B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核素种类</w:t>
                  </w:r>
                </w:p>
              </w:tc>
              <w:tc>
                <w:tcPr>
                  <w:tcW w:w="1523" w:type="pct"/>
                  <w:tcBorders>
                    <w:tl2br w:val="nil"/>
                    <w:tr2bl w:val="nil"/>
                  </w:tcBorders>
                  <w:noWrap w:val="0"/>
                  <w:vAlign w:val="center"/>
                </w:tcPr>
                <w:p w14:paraId="1FFF4499">
                  <w:pPr>
                    <w:pageBreakBefore w:val="0"/>
                    <w:kinsoku/>
                    <w:wordWrap/>
                    <w:overflowPunct/>
                    <w:topLinePunct w:val="0"/>
                    <w:autoSpaceDE/>
                    <w:autoSpaceDN/>
                    <w:bidi w:val="0"/>
                    <w:adjustRightInd/>
                    <w:snapToGrid/>
                    <w:spacing w:line="360" w:lineRule="exact"/>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color w:val="auto"/>
                      <w:sz w:val="21"/>
                      <w:szCs w:val="21"/>
                      <w:highlight w:val="none"/>
                    </w:rPr>
                    <w:t>单人</w:t>
                  </w:r>
                  <w:r>
                    <w:rPr>
                      <w:rFonts w:hint="default" w:ascii="Times New Roman" w:hAnsi="Times New Roman" w:eastAsia="宋体" w:cs="Times New Roman"/>
                      <w:b/>
                      <w:color w:val="auto"/>
                      <w:sz w:val="21"/>
                      <w:szCs w:val="21"/>
                      <w:highlight w:val="none"/>
                      <w:lang w:val="en-US" w:eastAsia="zh-CN"/>
                    </w:rPr>
                    <w:t>/单次</w:t>
                  </w:r>
                  <w:r>
                    <w:rPr>
                      <w:rFonts w:hint="default" w:ascii="Times New Roman" w:hAnsi="Times New Roman" w:eastAsia="宋体" w:cs="Times New Roman"/>
                      <w:b/>
                      <w:color w:val="auto"/>
                      <w:sz w:val="21"/>
                      <w:szCs w:val="21"/>
                      <w:highlight w:val="none"/>
                      <w:lang w:eastAsia="zh-CN"/>
                    </w:rPr>
                    <w:t>使用</w:t>
                  </w:r>
                  <w:r>
                    <w:rPr>
                      <w:rFonts w:hint="eastAsia" w:ascii="Times New Roman" w:hAnsi="Times New Roman" w:eastAsia="宋体" w:cs="Times New Roman"/>
                      <w:b/>
                      <w:color w:val="auto"/>
                      <w:sz w:val="21"/>
                      <w:szCs w:val="21"/>
                      <w:highlight w:val="none"/>
                      <w:lang w:val="en-US" w:eastAsia="zh-CN"/>
                    </w:rPr>
                    <w:t>活度</w:t>
                  </w:r>
                  <w:r>
                    <w:rPr>
                      <w:rFonts w:hint="default" w:ascii="Times New Roman" w:hAnsi="Times New Roman" w:eastAsia="宋体" w:cs="Times New Roman"/>
                      <w:b/>
                      <w:color w:val="auto"/>
                      <w:sz w:val="21"/>
                      <w:szCs w:val="21"/>
                      <w:highlight w:val="none"/>
                      <w:lang w:eastAsia="zh-CN"/>
                    </w:rPr>
                    <w:t>，</w:t>
                  </w:r>
                  <w:r>
                    <w:rPr>
                      <w:rFonts w:hint="eastAsia" w:ascii="Times New Roman" w:hAnsi="Times New Roman" w:eastAsia="宋体" w:cs="Times New Roman"/>
                      <w:b/>
                      <w:color w:val="auto"/>
                      <w:sz w:val="21"/>
                      <w:szCs w:val="21"/>
                      <w:highlight w:val="none"/>
                      <w:lang w:val="en-US" w:eastAsia="zh-CN"/>
                    </w:rPr>
                    <w:t>M</w:t>
                  </w:r>
                  <w:r>
                    <w:rPr>
                      <w:rFonts w:hint="default" w:ascii="Times New Roman" w:hAnsi="Times New Roman" w:eastAsia="宋体" w:cs="Times New Roman"/>
                      <w:b/>
                      <w:color w:val="auto"/>
                      <w:sz w:val="21"/>
                      <w:szCs w:val="21"/>
                      <w:highlight w:val="none"/>
                      <w:lang w:val="en-US" w:eastAsia="zh-CN"/>
                    </w:rPr>
                    <w:t>Bq</w:t>
                  </w:r>
                </w:p>
              </w:tc>
              <w:tc>
                <w:tcPr>
                  <w:tcW w:w="1564" w:type="pct"/>
                  <w:tcBorders>
                    <w:tl2br w:val="nil"/>
                    <w:tr2bl w:val="nil"/>
                  </w:tcBorders>
                  <w:noWrap w:val="0"/>
                  <w:vAlign w:val="center"/>
                </w:tcPr>
                <w:p w14:paraId="6E43C41D">
                  <w:pPr>
                    <w:pageBreakBefore w:val="0"/>
                    <w:kinsoku/>
                    <w:wordWrap/>
                    <w:overflowPunct/>
                    <w:topLinePunct w:val="0"/>
                    <w:autoSpaceDE/>
                    <w:autoSpaceDN/>
                    <w:bidi w:val="0"/>
                    <w:adjustRightInd/>
                    <w:snapToGrid/>
                    <w:spacing w:line="360" w:lineRule="exact"/>
                    <w:jc w:val="center"/>
                    <w:textAlignment w:val="auto"/>
                    <w:outlineLvl w:val="9"/>
                    <w:rPr>
                      <w:rFonts w:hint="eastAsia" w:ascii="Times New Roman" w:hAnsi="Times New Roman" w:eastAsia="宋体" w:cs="Times New Roman"/>
                      <w:b/>
                      <w:color w:val="auto"/>
                      <w:sz w:val="21"/>
                      <w:szCs w:val="21"/>
                      <w:highlight w:val="none"/>
                      <w:lang w:eastAsia="zh-CN"/>
                    </w:rPr>
                  </w:pPr>
                  <w:r>
                    <w:rPr>
                      <w:rFonts w:hint="eastAsia" w:ascii="Times New Roman" w:hAnsi="Times New Roman" w:eastAsia="宋体" w:cs="Times New Roman"/>
                      <w:b/>
                      <w:color w:val="auto"/>
                      <w:sz w:val="21"/>
                      <w:szCs w:val="21"/>
                      <w:highlight w:val="none"/>
                      <w:lang w:val="en-US" w:eastAsia="zh-CN"/>
                    </w:rPr>
                    <w:t>分析时考虑的核素及用量</w:t>
                  </w:r>
                </w:p>
              </w:tc>
              <w:tc>
                <w:tcPr>
                  <w:tcW w:w="496" w:type="pct"/>
                  <w:tcBorders>
                    <w:tl2br w:val="nil"/>
                    <w:tr2bl w:val="nil"/>
                  </w:tcBorders>
                  <w:noWrap w:val="0"/>
                  <w:vAlign w:val="center"/>
                </w:tcPr>
                <w:p w14:paraId="5190E734">
                  <w:pPr>
                    <w:pageBreakBefore w:val="0"/>
                    <w:kinsoku/>
                    <w:wordWrap/>
                    <w:overflowPunct/>
                    <w:topLinePunct w:val="0"/>
                    <w:autoSpaceDE/>
                    <w:autoSpaceDN/>
                    <w:bidi w:val="0"/>
                    <w:adjustRightInd/>
                    <w:snapToGrid/>
                    <w:spacing w:line="360" w:lineRule="exact"/>
                    <w:jc w:val="center"/>
                    <w:textAlignment w:val="auto"/>
                    <w:outlineLvl w:val="9"/>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eastAsia="zh-CN"/>
                    </w:rPr>
                    <w:t>备注</w:t>
                  </w:r>
                </w:p>
              </w:tc>
            </w:tr>
            <w:tr w14:paraId="75C2BD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noWrap w:val="0"/>
                  <w:vAlign w:val="center"/>
                </w:tcPr>
                <w:p w14:paraId="1409988C">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lang w:val="en-US" w:eastAsia="zh-CN"/>
                    </w:rPr>
                    <w:t>储源室1#</w:t>
                  </w:r>
                </w:p>
              </w:tc>
              <w:tc>
                <w:tcPr>
                  <w:tcW w:w="631" w:type="pct"/>
                  <w:tcBorders>
                    <w:tl2br w:val="nil"/>
                    <w:tr2bl w:val="nil"/>
                  </w:tcBorders>
                  <w:shd w:val="clear" w:color="auto" w:fill="auto"/>
                  <w:noWrap w:val="0"/>
                  <w:vAlign w:val="center"/>
                </w:tcPr>
                <w:p w14:paraId="3F2CF79B">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p>
              </w:tc>
              <w:tc>
                <w:tcPr>
                  <w:tcW w:w="1523" w:type="pct"/>
                  <w:tcBorders>
                    <w:tl2br w:val="nil"/>
                    <w:tr2bl w:val="nil"/>
                  </w:tcBorders>
                  <w:shd w:val="clear" w:color="auto" w:fill="auto"/>
                  <w:noWrap w:val="0"/>
                  <w:vAlign w:val="center"/>
                </w:tcPr>
                <w:p w14:paraId="5B9B44C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1.11E+</w:t>
                  </w:r>
                  <w:r>
                    <w:rPr>
                      <w:rFonts w:hint="eastAsia" w:ascii="Times New Roman" w:hAnsi="Times New Roman" w:cs="Times New Roman"/>
                      <w:i w:val="0"/>
                      <w:iCs w:val="0"/>
                      <w:color w:val="000000"/>
                      <w:kern w:val="0"/>
                      <w:sz w:val="21"/>
                      <w:szCs w:val="21"/>
                      <w:u w:val="none"/>
                      <w:lang w:val="en-US" w:eastAsia="zh-CN" w:bidi="ar"/>
                    </w:rPr>
                    <w:t>04</w:t>
                  </w:r>
                </w:p>
              </w:tc>
              <w:tc>
                <w:tcPr>
                  <w:tcW w:w="1564" w:type="pct"/>
                  <w:vMerge w:val="restart"/>
                  <w:tcBorders>
                    <w:tl2br w:val="nil"/>
                    <w:tr2bl w:val="nil"/>
                  </w:tcBorders>
                  <w:shd w:val="clear" w:color="auto" w:fill="auto"/>
                  <w:noWrap w:val="0"/>
                  <w:vAlign w:val="center"/>
                </w:tcPr>
                <w:p w14:paraId="7D80F4F9">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按单日</w:t>
                  </w: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r>
                    <w:rPr>
                      <w:rFonts w:hint="eastAsia" w:ascii="Times New Roman" w:hAnsi="Times New Roman" w:cs="Times New Roman"/>
                      <w:color w:val="auto"/>
                      <w:sz w:val="21"/>
                      <w:szCs w:val="21"/>
                      <w:highlight w:val="none"/>
                      <w:lang w:val="en-US" w:eastAsia="zh-CN"/>
                    </w:rPr>
                    <w:t>的</w:t>
                  </w:r>
                  <w:r>
                    <w:rPr>
                      <w:rFonts w:hint="eastAsia" w:ascii="Times New Roman" w:hAnsi="Times New Roman" w:cs="Times New Roman"/>
                      <w:color w:val="auto"/>
                      <w:spacing w:val="-3"/>
                      <w:sz w:val="21"/>
                      <w:szCs w:val="21"/>
                      <w:lang w:val="en-US" w:eastAsia="zh-CN"/>
                    </w:rPr>
                    <w:t>最大操作量计算</w:t>
                  </w:r>
                </w:p>
              </w:tc>
              <w:tc>
                <w:tcPr>
                  <w:tcW w:w="496" w:type="pct"/>
                  <w:vMerge w:val="restart"/>
                  <w:tcBorders>
                    <w:tl2br w:val="nil"/>
                    <w:tr2bl w:val="nil"/>
                  </w:tcBorders>
                  <w:shd w:val="clear" w:color="auto" w:fill="auto"/>
                  <w:noWrap w:val="0"/>
                  <w:vAlign w:val="center"/>
                </w:tcPr>
                <w:p w14:paraId="27DED458">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裸源</w:t>
                  </w:r>
                </w:p>
              </w:tc>
            </w:tr>
            <w:tr w14:paraId="774EC9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6EA5D154">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7D714899">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zh-CN"/>
                    </w:rPr>
                  </w:pPr>
                  <w:r>
                    <w:rPr>
                      <w:rFonts w:hint="default" w:ascii="Times New Roman" w:hAnsi="Times New Roman" w:cs="Times New Roman" w:eastAsiaTheme="minorEastAsia"/>
                      <w:color w:val="auto"/>
                      <w:sz w:val="21"/>
                      <w:szCs w:val="21"/>
                      <w:highlight w:val="none"/>
                      <w:vertAlign w:val="superscript"/>
                      <w:lang w:val="en-US" w:eastAsia="zh-CN"/>
                    </w:rPr>
                    <w:t>32</w:t>
                  </w:r>
                  <w:r>
                    <w:rPr>
                      <w:rFonts w:hint="default" w:ascii="Times New Roman" w:hAnsi="Times New Roman" w:cs="Times New Roman" w:eastAsiaTheme="minorEastAsia"/>
                      <w:color w:val="auto"/>
                      <w:sz w:val="21"/>
                      <w:szCs w:val="21"/>
                      <w:highlight w:val="none"/>
                      <w:vertAlign w:val="baseline"/>
                      <w:lang w:val="en-US" w:eastAsia="zh-CN"/>
                    </w:rPr>
                    <w:t>P</w:t>
                  </w:r>
                </w:p>
              </w:tc>
              <w:tc>
                <w:tcPr>
                  <w:tcW w:w="1523" w:type="pct"/>
                  <w:tcBorders>
                    <w:tl2br w:val="nil"/>
                    <w:tr2bl w:val="nil"/>
                  </w:tcBorders>
                  <w:shd w:val="clear" w:color="auto" w:fill="auto"/>
                  <w:noWrap w:val="0"/>
                  <w:vAlign w:val="center"/>
                </w:tcPr>
                <w:p w14:paraId="31CB5F2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1.11E+0</w:t>
                  </w:r>
                  <w:r>
                    <w:rPr>
                      <w:rFonts w:hint="eastAsia" w:ascii="Times New Roman" w:hAnsi="Times New Roman" w:cs="Times New Roman"/>
                      <w:i w:val="0"/>
                      <w:iCs w:val="0"/>
                      <w:color w:val="000000"/>
                      <w:kern w:val="0"/>
                      <w:sz w:val="21"/>
                      <w:szCs w:val="21"/>
                      <w:u w:val="none"/>
                      <w:lang w:val="en-US" w:eastAsia="zh-CN" w:bidi="ar"/>
                    </w:rPr>
                    <w:t>1</w:t>
                  </w:r>
                </w:p>
              </w:tc>
              <w:tc>
                <w:tcPr>
                  <w:tcW w:w="1564" w:type="pct"/>
                  <w:vMerge w:val="continue"/>
                  <w:tcBorders>
                    <w:tl2br w:val="nil"/>
                    <w:tr2bl w:val="nil"/>
                  </w:tcBorders>
                  <w:shd w:val="clear" w:color="auto" w:fill="auto"/>
                  <w:noWrap w:val="0"/>
                  <w:vAlign w:val="center"/>
                </w:tcPr>
                <w:p w14:paraId="6A25F82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1A013297">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4B61C7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01F26CB6">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3EF29EAC">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cs="Times New Roman"/>
                      <w:spacing w:val="-6"/>
                      <w:sz w:val="21"/>
                      <w:szCs w:val="21"/>
                      <w:vertAlign w:val="superscript"/>
                    </w:rPr>
                    <w:t>68</w:t>
                  </w:r>
                  <w:r>
                    <w:rPr>
                      <w:rFonts w:hint="default" w:ascii="Times New Roman" w:hAnsi="Times New Roman" w:cs="Times New Roman"/>
                      <w:spacing w:val="-6"/>
                      <w:sz w:val="21"/>
                      <w:szCs w:val="21"/>
                    </w:rPr>
                    <w:t>Ga</w:t>
                  </w:r>
                </w:p>
              </w:tc>
              <w:tc>
                <w:tcPr>
                  <w:tcW w:w="1523" w:type="pct"/>
                  <w:tcBorders>
                    <w:tl2br w:val="nil"/>
                    <w:tr2bl w:val="nil"/>
                  </w:tcBorders>
                  <w:shd w:val="clear" w:color="auto" w:fill="auto"/>
                  <w:noWrap w:val="0"/>
                  <w:vAlign w:val="center"/>
                </w:tcPr>
                <w:p w14:paraId="727024D3">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1.85E+0</w:t>
                  </w:r>
                  <w:r>
                    <w:rPr>
                      <w:rFonts w:hint="eastAsia" w:ascii="Times New Roman" w:hAnsi="Times New Roman" w:cs="Times New Roman"/>
                      <w:i w:val="0"/>
                      <w:iCs w:val="0"/>
                      <w:color w:val="000000"/>
                      <w:kern w:val="0"/>
                      <w:sz w:val="21"/>
                      <w:szCs w:val="21"/>
                      <w:u w:val="none"/>
                      <w:lang w:val="en-US" w:eastAsia="zh-CN" w:bidi="ar"/>
                    </w:rPr>
                    <w:t>3</w:t>
                  </w:r>
                </w:p>
              </w:tc>
              <w:tc>
                <w:tcPr>
                  <w:tcW w:w="1564" w:type="pct"/>
                  <w:vMerge w:val="continue"/>
                  <w:tcBorders>
                    <w:tl2br w:val="nil"/>
                    <w:tr2bl w:val="nil"/>
                  </w:tcBorders>
                  <w:shd w:val="clear" w:color="auto" w:fill="auto"/>
                  <w:noWrap w:val="0"/>
                  <w:vAlign w:val="center"/>
                </w:tcPr>
                <w:p w14:paraId="5F31F8A7">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7B8D0383">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0B35D0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6DAEFE6F">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3818D400">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eastAsia="宋体" w:cs="Times New Roman"/>
                      <w:color w:val="auto"/>
                      <w:spacing w:val="-2"/>
                      <w:sz w:val="21"/>
                      <w:szCs w:val="21"/>
                      <w:vertAlign w:val="superscript"/>
                    </w:rPr>
                    <w:t>99m</w:t>
                  </w:r>
                  <w:r>
                    <w:rPr>
                      <w:rFonts w:hint="default" w:ascii="Times New Roman" w:hAnsi="Times New Roman" w:eastAsia="宋体" w:cs="Times New Roman"/>
                      <w:color w:val="auto"/>
                      <w:spacing w:val="-2"/>
                      <w:sz w:val="21"/>
                      <w:szCs w:val="21"/>
                    </w:rPr>
                    <w:t>Tc</w:t>
                  </w:r>
                </w:p>
              </w:tc>
              <w:tc>
                <w:tcPr>
                  <w:tcW w:w="1523" w:type="pct"/>
                  <w:tcBorders>
                    <w:tl2br w:val="nil"/>
                    <w:tr2bl w:val="nil"/>
                  </w:tcBorders>
                  <w:shd w:val="clear" w:color="auto" w:fill="auto"/>
                  <w:noWrap w:val="0"/>
                  <w:vAlign w:val="center"/>
                </w:tcPr>
                <w:p w14:paraId="22BC4AEB">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2.22E+</w:t>
                  </w:r>
                  <w:r>
                    <w:rPr>
                      <w:rFonts w:hint="eastAsia" w:ascii="Times New Roman" w:hAnsi="Times New Roman" w:cs="Times New Roman"/>
                      <w:i w:val="0"/>
                      <w:iCs w:val="0"/>
                      <w:color w:val="000000"/>
                      <w:kern w:val="0"/>
                      <w:sz w:val="21"/>
                      <w:szCs w:val="21"/>
                      <w:u w:val="none"/>
                      <w:lang w:val="en-US" w:eastAsia="zh-CN" w:bidi="ar"/>
                    </w:rPr>
                    <w:t>04</w:t>
                  </w:r>
                </w:p>
              </w:tc>
              <w:tc>
                <w:tcPr>
                  <w:tcW w:w="1564" w:type="pct"/>
                  <w:vMerge w:val="continue"/>
                  <w:tcBorders>
                    <w:tl2br w:val="nil"/>
                    <w:tr2bl w:val="nil"/>
                  </w:tcBorders>
                  <w:shd w:val="clear" w:color="auto" w:fill="auto"/>
                  <w:noWrap w:val="0"/>
                  <w:vAlign w:val="center"/>
                </w:tcPr>
                <w:p w14:paraId="370C393D">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6EC68EB3">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013D54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noWrap w:val="0"/>
                  <w:vAlign w:val="center"/>
                </w:tcPr>
                <w:p w14:paraId="2CF15569">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分装室1#</w:t>
                  </w:r>
                </w:p>
              </w:tc>
              <w:tc>
                <w:tcPr>
                  <w:tcW w:w="631" w:type="pct"/>
                  <w:tcBorders>
                    <w:tl2br w:val="nil"/>
                    <w:tr2bl w:val="nil"/>
                  </w:tcBorders>
                  <w:shd w:val="clear" w:color="auto" w:fill="auto"/>
                  <w:noWrap w:val="0"/>
                  <w:vAlign w:val="center"/>
                </w:tcPr>
                <w:p w14:paraId="6A2434F3">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p>
              </w:tc>
              <w:tc>
                <w:tcPr>
                  <w:tcW w:w="1523" w:type="pct"/>
                  <w:tcBorders>
                    <w:tl2br w:val="nil"/>
                    <w:tr2bl w:val="nil"/>
                  </w:tcBorders>
                  <w:shd w:val="clear" w:color="auto" w:fill="auto"/>
                  <w:noWrap w:val="0"/>
                  <w:vAlign w:val="center"/>
                </w:tcPr>
                <w:p w14:paraId="0AA4C970">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rPr>
                  </w:pPr>
                  <w:r>
                    <w:rPr>
                      <w:rFonts w:hint="default" w:ascii="Times New Roman" w:hAnsi="Times New Roman" w:eastAsia="宋体" w:cs="Times New Roman"/>
                      <w:i w:val="0"/>
                      <w:iCs w:val="0"/>
                      <w:color w:val="000000"/>
                      <w:kern w:val="0"/>
                      <w:sz w:val="21"/>
                      <w:szCs w:val="21"/>
                      <w:u w:val="none"/>
                      <w:lang w:val="en-US" w:eastAsia="zh-CN" w:bidi="ar"/>
                    </w:rPr>
                    <w:t>1.11E+</w:t>
                  </w:r>
                  <w:r>
                    <w:rPr>
                      <w:rFonts w:hint="eastAsia" w:ascii="Times New Roman" w:hAnsi="Times New Roman" w:cs="Times New Roman"/>
                      <w:i w:val="0"/>
                      <w:iCs w:val="0"/>
                      <w:color w:val="000000"/>
                      <w:kern w:val="0"/>
                      <w:sz w:val="21"/>
                      <w:szCs w:val="21"/>
                      <w:u w:val="none"/>
                      <w:lang w:val="en-US" w:eastAsia="zh-CN" w:bidi="ar"/>
                    </w:rPr>
                    <w:t>03</w:t>
                  </w:r>
                </w:p>
              </w:tc>
              <w:tc>
                <w:tcPr>
                  <w:tcW w:w="1564" w:type="pct"/>
                  <w:vMerge w:val="restart"/>
                  <w:tcBorders>
                    <w:tl2br w:val="nil"/>
                    <w:tr2bl w:val="nil"/>
                  </w:tcBorders>
                  <w:shd w:val="clear" w:color="auto" w:fill="auto"/>
                  <w:noWrap w:val="0"/>
                  <w:vAlign w:val="center"/>
                </w:tcPr>
                <w:p w14:paraId="539BF549">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手套箱按单次操作3人用量计算，室内按</w:t>
                  </w: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r>
                    <w:rPr>
                      <w:rFonts w:hint="eastAsia" w:ascii="Times New Roman" w:hAnsi="Times New Roman" w:cs="Times New Roman"/>
                      <w:color w:val="auto"/>
                      <w:spacing w:val="-3"/>
                      <w:sz w:val="21"/>
                      <w:szCs w:val="21"/>
                      <w:lang w:val="en-US" w:eastAsia="zh-CN"/>
                    </w:rPr>
                    <w:t>单次1人用量计算</w:t>
                  </w:r>
                </w:p>
              </w:tc>
              <w:tc>
                <w:tcPr>
                  <w:tcW w:w="496" w:type="pct"/>
                  <w:vMerge w:val="restart"/>
                  <w:tcBorders>
                    <w:tl2br w:val="nil"/>
                    <w:tr2bl w:val="nil"/>
                  </w:tcBorders>
                  <w:shd w:val="clear" w:color="auto" w:fill="auto"/>
                  <w:noWrap w:val="0"/>
                  <w:vAlign w:val="center"/>
                </w:tcPr>
                <w:p w14:paraId="68464F82">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3065BC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0D7CBDED">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7DE76FC7">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zh-CN" w:bidi="ar-SA"/>
                    </w:rPr>
                  </w:pPr>
                  <w:r>
                    <w:rPr>
                      <w:rFonts w:hint="default" w:ascii="Times New Roman" w:hAnsi="Times New Roman" w:cs="Times New Roman" w:eastAsiaTheme="minorEastAsia"/>
                      <w:color w:val="auto"/>
                      <w:sz w:val="21"/>
                      <w:szCs w:val="21"/>
                      <w:highlight w:val="none"/>
                      <w:vertAlign w:val="superscript"/>
                      <w:lang w:val="en-US" w:eastAsia="zh-CN"/>
                    </w:rPr>
                    <w:t>32</w:t>
                  </w:r>
                  <w:r>
                    <w:rPr>
                      <w:rFonts w:hint="default" w:ascii="Times New Roman" w:hAnsi="Times New Roman" w:cs="Times New Roman" w:eastAsiaTheme="minorEastAsia"/>
                      <w:color w:val="auto"/>
                      <w:sz w:val="21"/>
                      <w:szCs w:val="21"/>
                      <w:highlight w:val="none"/>
                      <w:vertAlign w:val="baseline"/>
                      <w:lang w:val="en-US" w:eastAsia="zh-CN"/>
                    </w:rPr>
                    <w:t>P</w:t>
                  </w:r>
                </w:p>
              </w:tc>
              <w:tc>
                <w:tcPr>
                  <w:tcW w:w="1523" w:type="pct"/>
                  <w:tcBorders>
                    <w:tl2br w:val="nil"/>
                    <w:tr2bl w:val="nil"/>
                  </w:tcBorders>
                  <w:shd w:val="clear" w:color="auto" w:fill="auto"/>
                  <w:noWrap w:val="0"/>
                  <w:vAlign w:val="center"/>
                </w:tcPr>
                <w:p w14:paraId="0D90A6CF">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1.11E+0</w:t>
                  </w:r>
                  <w:r>
                    <w:rPr>
                      <w:rFonts w:hint="eastAsia" w:ascii="Times New Roman" w:hAnsi="Times New Roman" w:cs="Times New Roman"/>
                      <w:i w:val="0"/>
                      <w:iCs w:val="0"/>
                      <w:color w:val="000000"/>
                      <w:kern w:val="0"/>
                      <w:sz w:val="21"/>
                      <w:szCs w:val="21"/>
                      <w:u w:val="none"/>
                      <w:lang w:val="en-US" w:eastAsia="zh-CN" w:bidi="ar"/>
                    </w:rPr>
                    <w:t>1</w:t>
                  </w:r>
                </w:p>
              </w:tc>
              <w:tc>
                <w:tcPr>
                  <w:tcW w:w="1564" w:type="pct"/>
                  <w:vMerge w:val="continue"/>
                  <w:tcBorders>
                    <w:tl2br w:val="nil"/>
                    <w:tr2bl w:val="nil"/>
                  </w:tcBorders>
                  <w:shd w:val="clear" w:color="auto" w:fill="auto"/>
                  <w:noWrap w:val="0"/>
                  <w:vAlign w:val="center"/>
                </w:tcPr>
                <w:p w14:paraId="1FD2C1A3">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6FF7E251">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1ED81C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036F481E">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56468366">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cs="Times New Roman"/>
                      <w:spacing w:val="-6"/>
                      <w:sz w:val="21"/>
                      <w:szCs w:val="21"/>
                      <w:vertAlign w:val="superscript"/>
                    </w:rPr>
                    <w:t>68</w:t>
                  </w:r>
                  <w:r>
                    <w:rPr>
                      <w:rFonts w:hint="default" w:ascii="Times New Roman" w:hAnsi="Times New Roman" w:cs="Times New Roman"/>
                      <w:spacing w:val="-6"/>
                      <w:sz w:val="21"/>
                      <w:szCs w:val="21"/>
                    </w:rPr>
                    <w:t>Ga</w:t>
                  </w:r>
                </w:p>
              </w:tc>
              <w:tc>
                <w:tcPr>
                  <w:tcW w:w="1523" w:type="pct"/>
                  <w:tcBorders>
                    <w:tl2br w:val="nil"/>
                    <w:tr2bl w:val="nil"/>
                  </w:tcBorders>
                  <w:shd w:val="clear" w:color="auto" w:fill="auto"/>
                  <w:noWrap w:val="0"/>
                  <w:vAlign w:val="center"/>
                </w:tcPr>
                <w:p w14:paraId="61EFD12B">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5.55E+02</w:t>
                  </w:r>
                </w:p>
              </w:tc>
              <w:tc>
                <w:tcPr>
                  <w:tcW w:w="1564" w:type="pct"/>
                  <w:vMerge w:val="continue"/>
                  <w:tcBorders>
                    <w:tl2br w:val="nil"/>
                    <w:tr2bl w:val="nil"/>
                  </w:tcBorders>
                  <w:shd w:val="clear" w:color="auto" w:fill="auto"/>
                  <w:noWrap w:val="0"/>
                  <w:vAlign w:val="center"/>
                </w:tcPr>
                <w:p w14:paraId="5FECDCFF">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0DB0933A">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2D89E1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02942849">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7E630DB6">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eastAsia="宋体" w:cs="Times New Roman"/>
                      <w:color w:val="auto"/>
                      <w:spacing w:val="-2"/>
                      <w:sz w:val="21"/>
                      <w:szCs w:val="21"/>
                      <w:vertAlign w:val="superscript"/>
                    </w:rPr>
                    <w:t>99m</w:t>
                  </w:r>
                  <w:r>
                    <w:rPr>
                      <w:rFonts w:hint="default" w:ascii="Times New Roman" w:hAnsi="Times New Roman" w:eastAsia="宋体" w:cs="Times New Roman"/>
                      <w:color w:val="auto"/>
                      <w:spacing w:val="-2"/>
                      <w:sz w:val="21"/>
                      <w:szCs w:val="21"/>
                    </w:rPr>
                    <w:t>Tc</w:t>
                  </w:r>
                </w:p>
              </w:tc>
              <w:tc>
                <w:tcPr>
                  <w:tcW w:w="1523" w:type="pct"/>
                  <w:tcBorders>
                    <w:tl2br w:val="nil"/>
                    <w:tr2bl w:val="nil"/>
                  </w:tcBorders>
                  <w:shd w:val="clear" w:color="auto" w:fill="auto"/>
                  <w:noWrap w:val="0"/>
                  <w:vAlign w:val="center"/>
                </w:tcPr>
                <w:p w14:paraId="1E30A189">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2.22E+03</w:t>
                  </w:r>
                </w:p>
              </w:tc>
              <w:tc>
                <w:tcPr>
                  <w:tcW w:w="1564" w:type="pct"/>
                  <w:vMerge w:val="continue"/>
                  <w:tcBorders>
                    <w:tl2br w:val="nil"/>
                    <w:tr2bl w:val="nil"/>
                  </w:tcBorders>
                  <w:shd w:val="clear" w:color="auto" w:fill="auto"/>
                  <w:noWrap w:val="0"/>
                  <w:vAlign w:val="center"/>
                </w:tcPr>
                <w:p w14:paraId="0F4BC2E5">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4C84787D">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39FD91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84" w:type="pct"/>
                  <w:tcBorders>
                    <w:tl2br w:val="nil"/>
                    <w:tr2bl w:val="nil"/>
                  </w:tcBorders>
                  <w:noWrap w:val="0"/>
                  <w:vAlign w:val="center"/>
                </w:tcPr>
                <w:p w14:paraId="07E8DD3E">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敷贴室（1#、2#）</w:t>
                  </w:r>
                </w:p>
              </w:tc>
              <w:tc>
                <w:tcPr>
                  <w:tcW w:w="631" w:type="pct"/>
                  <w:tcBorders>
                    <w:tl2br w:val="nil"/>
                    <w:tr2bl w:val="nil"/>
                  </w:tcBorders>
                  <w:shd w:val="clear" w:color="auto" w:fill="auto"/>
                  <w:noWrap w:val="0"/>
                  <w:vAlign w:val="center"/>
                </w:tcPr>
                <w:p w14:paraId="3934EACA">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cs="Times New Roman" w:eastAsiaTheme="minorEastAsia"/>
                      <w:color w:val="auto"/>
                      <w:sz w:val="21"/>
                      <w:szCs w:val="21"/>
                      <w:highlight w:val="none"/>
                      <w:vertAlign w:val="superscript"/>
                      <w:lang w:val="en-US" w:eastAsia="zh-CN"/>
                    </w:rPr>
                    <w:t>32</w:t>
                  </w:r>
                  <w:r>
                    <w:rPr>
                      <w:rFonts w:hint="default" w:ascii="Times New Roman" w:hAnsi="Times New Roman" w:cs="Times New Roman" w:eastAsiaTheme="minorEastAsia"/>
                      <w:color w:val="auto"/>
                      <w:sz w:val="21"/>
                      <w:szCs w:val="21"/>
                      <w:highlight w:val="none"/>
                      <w:vertAlign w:val="baseline"/>
                      <w:lang w:val="en-US" w:eastAsia="zh-CN"/>
                    </w:rPr>
                    <w:t>P</w:t>
                  </w:r>
                </w:p>
              </w:tc>
              <w:tc>
                <w:tcPr>
                  <w:tcW w:w="1523" w:type="pct"/>
                  <w:tcBorders>
                    <w:tl2br w:val="nil"/>
                    <w:tr2bl w:val="nil"/>
                  </w:tcBorders>
                  <w:shd w:val="clear" w:color="auto" w:fill="auto"/>
                  <w:noWrap w:val="0"/>
                  <w:vAlign w:val="center"/>
                </w:tcPr>
                <w:p w14:paraId="506ED528">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1.11E+0</w:t>
                  </w:r>
                  <w:r>
                    <w:rPr>
                      <w:rFonts w:hint="eastAsia" w:ascii="Times New Roman" w:hAnsi="Times New Roman" w:cs="Times New Roman"/>
                      <w:i w:val="0"/>
                      <w:iCs w:val="0"/>
                      <w:color w:val="000000"/>
                      <w:kern w:val="0"/>
                      <w:sz w:val="21"/>
                      <w:szCs w:val="21"/>
                      <w:u w:val="none"/>
                      <w:lang w:val="en-US" w:eastAsia="zh-CN" w:bidi="ar"/>
                    </w:rPr>
                    <w:t>1</w:t>
                  </w:r>
                </w:p>
              </w:tc>
              <w:tc>
                <w:tcPr>
                  <w:tcW w:w="1564" w:type="pct"/>
                  <w:tcBorders>
                    <w:tl2br w:val="nil"/>
                    <w:tr2bl w:val="nil"/>
                  </w:tcBorders>
                  <w:shd w:val="clear" w:color="auto" w:fill="auto"/>
                  <w:noWrap w:val="0"/>
                  <w:vAlign w:val="center"/>
                </w:tcPr>
                <w:p w14:paraId="74C59232">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38E9185A">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3EFBCA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noWrap w:val="0"/>
                  <w:vAlign w:val="center"/>
                </w:tcPr>
                <w:p w14:paraId="3115A803">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PET注射室</w:t>
                  </w:r>
                </w:p>
              </w:tc>
              <w:tc>
                <w:tcPr>
                  <w:tcW w:w="631" w:type="pct"/>
                  <w:tcBorders>
                    <w:tl2br w:val="nil"/>
                    <w:tr2bl w:val="nil"/>
                  </w:tcBorders>
                  <w:shd w:val="clear" w:color="auto" w:fill="auto"/>
                  <w:noWrap w:val="0"/>
                  <w:vAlign w:val="center"/>
                </w:tcPr>
                <w:p w14:paraId="0A1339AD">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p>
              </w:tc>
              <w:tc>
                <w:tcPr>
                  <w:tcW w:w="1523" w:type="pct"/>
                  <w:tcBorders>
                    <w:tl2br w:val="nil"/>
                    <w:tr2bl w:val="nil"/>
                  </w:tcBorders>
                  <w:shd w:val="clear" w:color="auto" w:fill="auto"/>
                  <w:noWrap w:val="0"/>
                  <w:vAlign w:val="center"/>
                </w:tcPr>
                <w:p w14:paraId="18009055">
                  <w:pPr>
                    <w:widowControl/>
                    <w:spacing w:line="240" w:lineRule="auto"/>
                    <w:jc w:val="center"/>
                    <w:rPr>
                      <w:rFonts w:hint="eastAsia"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bCs/>
                      <w:color w:val="000000"/>
                      <w:sz w:val="21"/>
                      <w:szCs w:val="21"/>
                    </w:rPr>
                    <w:t>3.7</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eastAsia" w:ascii="Times New Roman" w:hAnsi="Times New Roman" w:eastAsia="宋体" w:cs="Times New Roman"/>
                      <w:b w:val="0"/>
                      <w:bCs/>
                      <w:color w:val="000000"/>
                      <w:sz w:val="21"/>
                      <w:szCs w:val="21"/>
                      <w:lang w:val="en-US" w:eastAsia="zh-CN"/>
                    </w:rPr>
                    <w:t>2</w:t>
                  </w:r>
                </w:p>
              </w:tc>
              <w:tc>
                <w:tcPr>
                  <w:tcW w:w="1564" w:type="pct"/>
                  <w:tcBorders>
                    <w:tl2br w:val="nil"/>
                    <w:tr2bl w:val="nil"/>
                  </w:tcBorders>
                  <w:shd w:val="clear" w:color="auto" w:fill="auto"/>
                  <w:noWrap w:val="0"/>
                  <w:vAlign w:val="center"/>
                </w:tcPr>
                <w:p w14:paraId="4EE72C1E">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以此计算</w:t>
                  </w:r>
                </w:p>
              </w:tc>
              <w:tc>
                <w:tcPr>
                  <w:tcW w:w="496" w:type="pct"/>
                  <w:tcBorders>
                    <w:tl2br w:val="nil"/>
                    <w:tr2bl w:val="nil"/>
                  </w:tcBorders>
                  <w:shd w:val="clear" w:color="auto" w:fill="auto"/>
                  <w:noWrap w:val="0"/>
                  <w:vAlign w:val="center"/>
                </w:tcPr>
                <w:p w14:paraId="0AF16A9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407C14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6773D5E5">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6E428A41">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cs="Times New Roman"/>
                      <w:spacing w:val="-6"/>
                      <w:sz w:val="21"/>
                      <w:szCs w:val="21"/>
                      <w:vertAlign w:val="superscript"/>
                    </w:rPr>
                    <w:t>68</w:t>
                  </w:r>
                  <w:r>
                    <w:rPr>
                      <w:rFonts w:hint="default" w:ascii="Times New Roman" w:hAnsi="Times New Roman" w:cs="Times New Roman"/>
                      <w:spacing w:val="-6"/>
                      <w:sz w:val="21"/>
                      <w:szCs w:val="21"/>
                    </w:rPr>
                    <w:t>Ga</w:t>
                  </w:r>
                </w:p>
              </w:tc>
              <w:tc>
                <w:tcPr>
                  <w:tcW w:w="1523" w:type="pct"/>
                  <w:tcBorders>
                    <w:tl2br w:val="nil"/>
                    <w:tr2bl w:val="nil"/>
                  </w:tcBorders>
                  <w:shd w:val="clear" w:color="auto" w:fill="auto"/>
                  <w:noWrap w:val="0"/>
                  <w:vAlign w:val="center"/>
                </w:tcPr>
                <w:p w14:paraId="1A99341E">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lang w:val="en-US" w:eastAsia="zh-CN" w:bidi="ar-SA"/>
                    </w:rPr>
                    <w:t>1.85E+0</w:t>
                  </w:r>
                  <w:r>
                    <w:rPr>
                      <w:rFonts w:hint="eastAsia" w:ascii="Times New Roman" w:hAnsi="Times New Roman" w:eastAsia="宋体" w:cs="Times New Roman"/>
                      <w:spacing w:val="-6"/>
                      <w:sz w:val="21"/>
                      <w:szCs w:val="21"/>
                      <w:lang w:val="en-US" w:eastAsia="zh-CN" w:bidi="ar-SA"/>
                    </w:rPr>
                    <w:t>2</w:t>
                  </w:r>
                </w:p>
              </w:tc>
              <w:tc>
                <w:tcPr>
                  <w:tcW w:w="1564" w:type="pct"/>
                  <w:tcBorders>
                    <w:tl2br w:val="nil"/>
                    <w:tr2bl w:val="nil"/>
                  </w:tcBorders>
                  <w:shd w:val="clear" w:color="auto" w:fill="auto"/>
                  <w:noWrap w:val="0"/>
                  <w:vAlign w:val="center"/>
                </w:tcPr>
                <w:p w14:paraId="3309B1FD">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0BE1F5E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05A448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tcBorders>
                    <w:tl2br w:val="nil"/>
                    <w:tr2bl w:val="nil"/>
                  </w:tcBorders>
                  <w:noWrap w:val="0"/>
                  <w:vAlign w:val="center"/>
                </w:tcPr>
                <w:p w14:paraId="1516EA3E">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ECT注射室</w:t>
                  </w:r>
                </w:p>
              </w:tc>
              <w:tc>
                <w:tcPr>
                  <w:tcW w:w="631" w:type="pct"/>
                  <w:tcBorders>
                    <w:tl2br w:val="nil"/>
                    <w:tr2bl w:val="nil"/>
                  </w:tcBorders>
                  <w:shd w:val="clear" w:color="auto" w:fill="auto"/>
                  <w:noWrap w:val="0"/>
                  <w:vAlign w:val="center"/>
                </w:tcPr>
                <w:p w14:paraId="10BB688F">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eastAsia="宋体" w:cs="Times New Roman"/>
                      <w:color w:val="auto"/>
                      <w:spacing w:val="-2"/>
                      <w:sz w:val="21"/>
                      <w:szCs w:val="21"/>
                      <w:vertAlign w:val="superscript"/>
                    </w:rPr>
                    <w:t>99m</w:t>
                  </w:r>
                  <w:r>
                    <w:rPr>
                      <w:rFonts w:hint="default" w:ascii="Times New Roman" w:hAnsi="Times New Roman" w:eastAsia="宋体" w:cs="Times New Roman"/>
                      <w:color w:val="auto"/>
                      <w:spacing w:val="-2"/>
                      <w:sz w:val="21"/>
                      <w:szCs w:val="21"/>
                    </w:rPr>
                    <w:t>Tc</w:t>
                  </w:r>
                </w:p>
              </w:tc>
              <w:tc>
                <w:tcPr>
                  <w:tcW w:w="1523" w:type="pct"/>
                  <w:tcBorders>
                    <w:tl2br w:val="nil"/>
                    <w:tr2bl w:val="nil"/>
                  </w:tcBorders>
                  <w:shd w:val="clear" w:color="auto" w:fill="auto"/>
                  <w:noWrap w:val="0"/>
                  <w:vAlign w:val="center"/>
                </w:tcPr>
                <w:p w14:paraId="3DFB0C04">
                  <w:pPr>
                    <w:spacing w:line="240" w:lineRule="auto"/>
                    <w:jc w:val="center"/>
                    <w:rPr>
                      <w:rFonts w:hint="eastAsia"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bCs/>
                      <w:color w:val="000000"/>
                      <w:sz w:val="21"/>
                      <w:szCs w:val="21"/>
                      <w:lang w:val="en-US" w:eastAsia="zh-CN"/>
                    </w:rPr>
                    <w:t>7.40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eastAsia" w:ascii="Times New Roman" w:hAnsi="Times New Roman" w:eastAsia="宋体" w:cs="Times New Roman"/>
                      <w:b w:val="0"/>
                      <w:bCs/>
                      <w:color w:val="000000"/>
                      <w:sz w:val="21"/>
                      <w:szCs w:val="21"/>
                      <w:lang w:val="en-US" w:eastAsia="zh-CN"/>
                    </w:rPr>
                    <w:t>2</w:t>
                  </w:r>
                </w:p>
              </w:tc>
              <w:tc>
                <w:tcPr>
                  <w:tcW w:w="1564" w:type="pct"/>
                  <w:tcBorders>
                    <w:tl2br w:val="nil"/>
                    <w:tr2bl w:val="nil"/>
                  </w:tcBorders>
                  <w:shd w:val="clear" w:color="auto" w:fill="auto"/>
                  <w:noWrap w:val="0"/>
                  <w:vAlign w:val="center"/>
                </w:tcPr>
                <w:p w14:paraId="2FC7623A">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以此计算</w:t>
                  </w:r>
                </w:p>
              </w:tc>
              <w:tc>
                <w:tcPr>
                  <w:tcW w:w="496" w:type="pct"/>
                  <w:tcBorders>
                    <w:tl2br w:val="nil"/>
                    <w:tr2bl w:val="nil"/>
                  </w:tcBorders>
                  <w:shd w:val="clear" w:color="auto" w:fill="auto"/>
                  <w:noWrap w:val="0"/>
                  <w:vAlign w:val="center"/>
                </w:tcPr>
                <w:p w14:paraId="2071105F">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721E98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noWrap w:val="0"/>
                  <w:vAlign w:val="center"/>
                </w:tcPr>
                <w:p w14:paraId="34EE303D">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PET注射后等候室</w:t>
                  </w:r>
                </w:p>
              </w:tc>
              <w:tc>
                <w:tcPr>
                  <w:tcW w:w="631" w:type="pct"/>
                  <w:tcBorders>
                    <w:tl2br w:val="nil"/>
                    <w:tr2bl w:val="nil"/>
                  </w:tcBorders>
                  <w:shd w:val="clear" w:color="auto" w:fill="auto"/>
                  <w:noWrap w:val="0"/>
                  <w:vAlign w:val="center"/>
                </w:tcPr>
                <w:p w14:paraId="1C860BE8">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p>
              </w:tc>
              <w:tc>
                <w:tcPr>
                  <w:tcW w:w="1523" w:type="pct"/>
                  <w:tcBorders>
                    <w:tl2br w:val="nil"/>
                    <w:tr2bl w:val="nil"/>
                  </w:tcBorders>
                  <w:shd w:val="clear" w:color="auto" w:fill="auto"/>
                  <w:noWrap w:val="0"/>
                  <w:vAlign w:val="center"/>
                </w:tcPr>
                <w:p w14:paraId="6502EB2F">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en-US" w:bidi="ar-SA"/>
                    </w:rPr>
                  </w:pPr>
                  <w:r>
                    <w:rPr>
                      <w:rFonts w:hint="default" w:ascii="Times New Roman" w:hAnsi="Times New Roman" w:eastAsia="宋体" w:cs="Times New Roman"/>
                      <w:i w:val="0"/>
                      <w:iCs w:val="0"/>
                      <w:color w:val="000000"/>
                      <w:kern w:val="0"/>
                      <w:sz w:val="21"/>
                      <w:szCs w:val="21"/>
                      <w:u w:val="none"/>
                      <w:lang w:val="en-US" w:eastAsia="zh-CN" w:bidi="ar"/>
                    </w:rPr>
                    <w:t>1.11E+</w:t>
                  </w:r>
                  <w:r>
                    <w:rPr>
                      <w:rFonts w:hint="eastAsia" w:ascii="Times New Roman" w:hAnsi="Times New Roman" w:cs="Times New Roman"/>
                      <w:i w:val="0"/>
                      <w:iCs w:val="0"/>
                      <w:color w:val="000000"/>
                      <w:kern w:val="0"/>
                      <w:sz w:val="21"/>
                      <w:szCs w:val="21"/>
                      <w:u w:val="none"/>
                      <w:lang w:val="en-US" w:eastAsia="zh-CN" w:bidi="ar"/>
                    </w:rPr>
                    <w:t>03</w:t>
                  </w:r>
                </w:p>
              </w:tc>
              <w:tc>
                <w:tcPr>
                  <w:tcW w:w="1564" w:type="pct"/>
                  <w:vMerge w:val="restart"/>
                  <w:tcBorders>
                    <w:tl2br w:val="nil"/>
                    <w:tr2bl w:val="nil"/>
                  </w:tcBorders>
                  <w:shd w:val="clear" w:color="auto" w:fill="auto"/>
                  <w:noWrap w:val="0"/>
                  <w:vAlign w:val="center"/>
                </w:tcPr>
                <w:p w14:paraId="7513C74D">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以</w:t>
                  </w:r>
                  <w:r>
                    <w:rPr>
                      <w:rFonts w:hint="eastAsia" w:ascii="Times New Roman" w:hAnsi="Times New Roman" w:cs="Times New Roman"/>
                      <w:color w:val="auto"/>
                      <w:spacing w:val="-3"/>
                      <w:sz w:val="21"/>
                      <w:szCs w:val="21"/>
                      <w:vertAlign w:val="superscript"/>
                      <w:lang w:val="en-US" w:eastAsia="zh-CN"/>
                    </w:rPr>
                    <w:t>18</w:t>
                  </w:r>
                  <w:r>
                    <w:rPr>
                      <w:rFonts w:hint="eastAsia" w:ascii="Times New Roman" w:hAnsi="Times New Roman" w:cs="Times New Roman"/>
                      <w:color w:val="auto"/>
                      <w:spacing w:val="-3"/>
                      <w:sz w:val="21"/>
                      <w:szCs w:val="21"/>
                      <w:lang w:val="en-US" w:eastAsia="zh-CN"/>
                    </w:rPr>
                    <w:t>F按同时3人候诊计算</w:t>
                  </w:r>
                </w:p>
              </w:tc>
              <w:tc>
                <w:tcPr>
                  <w:tcW w:w="496" w:type="pct"/>
                  <w:vMerge w:val="restart"/>
                  <w:tcBorders>
                    <w:tl2br w:val="nil"/>
                    <w:tr2bl w:val="nil"/>
                  </w:tcBorders>
                  <w:shd w:val="clear" w:color="auto" w:fill="auto"/>
                  <w:noWrap w:val="0"/>
                  <w:vAlign w:val="center"/>
                </w:tcPr>
                <w:p w14:paraId="0D057D96">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体内</w:t>
                  </w:r>
                </w:p>
              </w:tc>
            </w:tr>
            <w:tr w14:paraId="62C6F5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128A57C2">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48C896A4">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cs="Times New Roman"/>
                      <w:spacing w:val="-6"/>
                      <w:sz w:val="21"/>
                      <w:szCs w:val="21"/>
                      <w:vertAlign w:val="superscript"/>
                    </w:rPr>
                    <w:t>68</w:t>
                  </w:r>
                  <w:r>
                    <w:rPr>
                      <w:rFonts w:hint="default" w:ascii="Times New Roman" w:hAnsi="Times New Roman" w:cs="Times New Roman"/>
                      <w:spacing w:val="-6"/>
                      <w:sz w:val="21"/>
                      <w:szCs w:val="21"/>
                    </w:rPr>
                    <w:t>Ga</w:t>
                  </w:r>
                </w:p>
              </w:tc>
              <w:tc>
                <w:tcPr>
                  <w:tcW w:w="1523" w:type="pct"/>
                  <w:tcBorders>
                    <w:tl2br w:val="nil"/>
                    <w:tr2bl w:val="nil"/>
                  </w:tcBorders>
                  <w:shd w:val="clear" w:color="auto" w:fill="auto"/>
                  <w:noWrap w:val="0"/>
                  <w:vAlign w:val="center"/>
                </w:tcPr>
                <w:p w14:paraId="30134026">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5.55E+02</w:t>
                  </w:r>
                </w:p>
              </w:tc>
              <w:tc>
                <w:tcPr>
                  <w:tcW w:w="1564" w:type="pct"/>
                  <w:vMerge w:val="continue"/>
                  <w:tcBorders>
                    <w:tl2br w:val="nil"/>
                    <w:tr2bl w:val="nil"/>
                  </w:tcBorders>
                  <w:shd w:val="clear" w:color="auto" w:fill="auto"/>
                  <w:noWrap w:val="0"/>
                  <w:vAlign w:val="center"/>
                </w:tcPr>
                <w:p w14:paraId="0FAAB1D6">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43CC633A">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56863C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84" w:type="pct"/>
                  <w:tcBorders>
                    <w:tl2br w:val="nil"/>
                    <w:tr2bl w:val="nil"/>
                  </w:tcBorders>
                  <w:noWrap w:val="0"/>
                  <w:vAlign w:val="center"/>
                </w:tcPr>
                <w:p w14:paraId="521B48B9">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ECT注射后等候室</w:t>
                  </w:r>
                </w:p>
              </w:tc>
              <w:tc>
                <w:tcPr>
                  <w:tcW w:w="631" w:type="pct"/>
                  <w:tcBorders>
                    <w:tl2br w:val="nil"/>
                    <w:tr2bl w:val="nil"/>
                  </w:tcBorders>
                  <w:shd w:val="clear" w:color="auto" w:fill="auto"/>
                  <w:noWrap w:val="0"/>
                  <w:vAlign w:val="center"/>
                </w:tcPr>
                <w:p w14:paraId="107998F5">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eastAsia="宋体" w:cs="Times New Roman"/>
                      <w:color w:val="auto"/>
                      <w:spacing w:val="-2"/>
                      <w:sz w:val="21"/>
                      <w:szCs w:val="21"/>
                      <w:vertAlign w:val="superscript"/>
                    </w:rPr>
                    <w:t>99m</w:t>
                  </w:r>
                  <w:r>
                    <w:rPr>
                      <w:rFonts w:hint="default" w:ascii="Times New Roman" w:hAnsi="Times New Roman" w:eastAsia="宋体" w:cs="Times New Roman"/>
                      <w:color w:val="auto"/>
                      <w:spacing w:val="-2"/>
                      <w:sz w:val="21"/>
                      <w:szCs w:val="21"/>
                    </w:rPr>
                    <w:t>Tc</w:t>
                  </w:r>
                </w:p>
              </w:tc>
              <w:tc>
                <w:tcPr>
                  <w:tcW w:w="1523" w:type="pct"/>
                  <w:tcBorders>
                    <w:tl2br w:val="nil"/>
                    <w:tr2bl w:val="nil"/>
                  </w:tcBorders>
                  <w:shd w:val="clear" w:color="auto" w:fill="auto"/>
                  <w:noWrap w:val="0"/>
                  <w:vAlign w:val="center"/>
                </w:tcPr>
                <w:p w14:paraId="47705FB6">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2.22E+03</w:t>
                  </w:r>
                </w:p>
              </w:tc>
              <w:tc>
                <w:tcPr>
                  <w:tcW w:w="1564" w:type="pct"/>
                  <w:tcBorders>
                    <w:tl2br w:val="nil"/>
                    <w:tr2bl w:val="nil"/>
                  </w:tcBorders>
                  <w:shd w:val="clear" w:color="auto" w:fill="auto"/>
                  <w:noWrap w:val="0"/>
                  <w:vAlign w:val="center"/>
                </w:tcPr>
                <w:p w14:paraId="1917DB36">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按同时3人候诊计算</w:t>
                  </w:r>
                </w:p>
              </w:tc>
              <w:tc>
                <w:tcPr>
                  <w:tcW w:w="496" w:type="pct"/>
                  <w:tcBorders>
                    <w:tl2br w:val="nil"/>
                    <w:tr2bl w:val="nil"/>
                  </w:tcBorders>
                  <w:shd w:val="clear" w:color="auto" w:fill="auto"/>
                  <w:noWrap w:val="0"/>
                  <w:vAlign w:val="center"/>
                </w:tcPr>
                <w:p w14:paraId="3BCAE07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544DF2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shd w:val="clear" w:color="auto" w:fill="auto"/>
                  <w:noWrap w:val="0"/>
                  <w:vAlign w:val="center"/>
                </w:tcPr>
                <w:p w14:paraId="3EB5C6DC">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PET/CT机房</w:t>
                  </w:r>
                </w:p>
              </w:tc>
              <w:tc>
                <w:tcPr>
                  <w:tcW w:w="631" w:type="pct"/>
                  <w:tcBorders>
                    <w:tl2br w:val="nil"/>
                    <w:tr2bl w:val="nil"/>
                  </w:tcBorders>
                  <w:shd w:val="clear" w:color="auto" w:fill="auto"/>
                  <w:noWrap w:val="0"/>
                  <w:vAlign w:val="center"/>
                </w:tcPr>
                <w:p w14:paraId="7E2B93DD">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p>
              </w:tc>
              <w:tc>
                <w:tcPr>
                  <w:tcW w:w="1523" w:type="pct"/>
                  <w:tcBorders>
                    <w:tl2br w:val="nil"/>
                    <w:tr2bl w:val="nil"/>
                  </w:tcBorders>
                  <w:shd w:val="clear" w:color="auto" w:fill="auto"/>
                  <w:noWrap w:val="0"/>
                  <w:vAlign w:val="center"/>
                </w:tcPr>
                <w:p w14:paraId="7A9F3008">
                  <w:pPr>
                    <w:widowControl/>
                    <w:spacing w:line="240" w:lineRule="auto"/>
                    <w:jc w:val="center"/>
                    <w:rPr>
                      <w:rFonts w:hint="eastAsia"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bCs/>
                      <w:color w:val="000000"/>
                      <w:sz w:val="21"/>
                      <w:szCs w:val="21"/>
                    </w:rPr>
                    <w:t>3.7</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eastAsia" w:ascii="Times New Roman" w:hAnsi="Times New Roman" w:eastAsia="宋体" w:cs="Times New Roman"/>
                      <w:b w:val="0"/>
                      <w:bCs/>
                      <w:color w:val="000000"/>
                      <w:sz w:val="21"/>
                      <w:szCs w:val="21"/>
                      <w:lang w:val="en-US" w:eastAsia="zh-CN"/>
                    </w:rPr>
                    <w:t>2</w:t>
                  </w:r>
                </w:p>
              </w:tc>
              <w:tc>
                <w:tcPr>
                  <w:tcW w:w="1564" w:type="pct"/>
                  <w:tcBorders>
                    <w:tl2br w:val="nil"/>
                    <w:tr2bl w:val="nil"/>
                  </w:tcBorders>
                  <w:shd w:val="clear" w:color="auto" w:fill="auto"/>
                  <w:noWrap w:val="0"/>
                  <w:vAlign w:val="center"/>
                </w:tcPr>
                <w:p w14:paraId="4C088DB8">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以此计算</w:t>
                  </w:r>
                </w:p>
              </w:tc>
              <w:tc>
                <w:tcPr>
                  <w:tcW w:w="496" w:type="pct"/>
                  <w:tcBorders>
                    <w:tl2br w:val="nil"/>
                    <w:tr2bl w:val="nil"/>
                  </w:tcBorders>
                  <w:shd w:val="clear" w:color="auto" w:fill="auto"/>
                  <w:noWrap w:val="0"/>
                  <w:vAlign w:val="center"/>
                </w:tcPr>
                <w:p w14:paraId="4C24360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52FF28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shd w:val="clear" w:color="auto" w:fill="auto"/>
                  <w:noWrap w:val="0"/>
                  <w:vAlign w:val="center"/>
                </w:tcPr>
                <w:p w14:paraId="6C0CCB5F">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p>
              </w:tc>
              <w:tc>
                <w:tcPr>
                  <w:tcW w:w="631" w:type="pct"/>
                  <w:tcBorders>
                    <w:tl2br w:val="nil"/>
                    <w:tr2bl w:val="nil"/>
                  </w:tcBorders>
                  <w:shd w:val="clear" w:color="auto" w:fill="auto"/>
                  <w:noWrap w:val="0"/>
                  <w:vAlign w:val="center"/>
                </w:tcPr>
                <w:p w14:paraId="702115EC">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cs="Times New Roman"/>
                      <w:spacing w:val="-6"/>
                      <w:sz w:val="21"/>
                      <w:szCs w:val="21"/>
                      <w:vertAlign w:val="superscript"/>
                    </w:rPr>
                    <w:t>68</w:t>
                  </w:r>
                  <w:r>
                    <w:rPr>
                      <w:rFonts w:hint="default" w:ascii="Times New Roman" w:hAnsi="Times New Roman" w:cs="Times New Roman"/>
                      <w:spacing w:val="-6"/>
                      <w:sz w:val="21"/>
                      <w:szCs w:val="21"/>
                    </w:rPr>
                    <w:t>Ga</w:t>
                  </w:r>
                </w:p>
              </w:tc>
              <w:tc>
                <w:tcPr>
                  <w:tcW w:w="1523" w:type="pct"/>
                  <w:tcBorders>
                    <w:tl2br w:val="nil"/>
                    <w:tr2bl w:val="nil"/>
                  </w:tcBorders>
                  <w:shd w:val="clear" w:color="auto" w:fill="auto"/>
                  <w:noWrap w:val="0"/>
                  <w:vAlign w:val="center"/>
                </w:tcPr>
                <w:p w14:paraId="0E61C447">
                  <w:pPr>
                    <w:spacing w:line="240" w:lineRule="auto"/>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eastAsia="宋体" w:cs="Times New Roman"/>
                      <w:spacing w:val="-6"/>
                      <w:sz w:val="21"/>
                      <w:szCs w:val="21"/>
                      <w:lang w:val="en-US" w:eastAsia="zh-CN" w:bidi="ar-SA"/>
                    </w:rPr>
                    <w:t>1.85E+0</w:t>
                  </w:r>
                  <w:r>
                    <w:rPr>
                      <w:rFonts w:hint="eastAsia" w:ascii="Times New Roman" w:hAnsi="Times New Roman" w:eastAsia="宋体" w:cs="Times New Roman"/>
                      <w:spacing w:val="-6"/>
                      <w:sz w:val="21"/>
                      <w:szCs w:val="21"/>
                      <w:lang w:val="en-US" w:eastAsia="zh-CN" w:bidi="ar-SA"/>
                    </w:rPr>
                    <w:t>2</w:t>
                  </w:r>
                </w:p>
              </w:tc>
              <w:tc>
                <w:tcPr>
                  <w:tcW w:w="1564" w:type="pct"/>
                  <w:tcBorders>
                    <w:tl2br w:val="nil"/>
                    <w:tr2bl w:val="nil"/>
                  </w:tcBorders>
                  <w:shd w:val="clear" w:color="auto" w:fill="auto"/>
                  <w:noWrap w:val="0"/>
                  <w:vAlign w:val="center"/>
                </w:tcPr>
                <w:p w14:paraId="0122E26E">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3F699E8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1E2FB6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84" w:type="pct"/>
                  <w:tcBorders>
                    <w:tl2br w:val="nil"/>
                    <w:tr2bl w:val="nil"/>
                  </w:tcBorders>
                  <w:shd w:val="clear" w:color="auto" w:fill="auto"/>
                  <w:noWrap w:val="0"/>
                  <w:vAlign w:val="center"/>
                </w:tcPr>
                <w:p w14:paraId="4574B609">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SPECT/CT机房</w:t>
                  </w:r>
                </w:p>
              </w:tc>
              <w:tc>
                <w:tcPr>
                  <w:tcW w:w="631" w:type="pct"/>
                  <w:tcBorders>
                    <w:tl2br w:val="nil"/>
                    <w:tr2bl w:val="nil"/>
                  </w:tcBorders>
                  <w:shd w:val="clear" w:color="auto" w:fill="auto"/>
                  <w:noWrap w:val="0"/>
                  <w:vAlign w:val="center"/>
                </w:tcPr>
                <w:p w14:paraId="19E25D9E">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eastAsia="宋体" w:cs="Times New Roman"/>
                      <w:color w:val="auto"/>
                      <w:spacing w:val="-2"/>
                      <w:sz w:val="21"/>
                      <w:szCs w:val="21"/>
                      <w:vertAlign w:val="superscript"/>
                    </w:rPr>
                    <w:t>99m</w:t>
                  </w:r>
                  <w:r>
                    <w:rPr>
                      <w:rFonts w:hint="default" w:ascii="Times New Roman" w:hAnsi="Times New Roman" w:eastAsia="宋体" w:cs="Times New Roman"/>
                      <w:color w:val="auto"/>
                      <w:spacing w:val="-2"/>
                      <w:sz w:val="21"/>
                      <w:szCs w:val="21"/>
                    </w:rPr>
                    <w:t>Tc</w:t>
                  </w:r>
                </w:p>
              </w:tc>
              <w:tc>
                <w:tcPr>
                  <w:tcW w:w="1523" w:type="pct"/>
                  <w:tcBorders>
                    <w:tl2br w:val="nil"/>
                    <w:tr2bl w:val="nil"/>
                  </w:tcBorders>
                  <w:shd w:val="clear" w:color="auto" w:fill="auto"/>
                  <w:noWrap w:val="0"/>
                  <w:vAlign w:val="center"/>
                </w:tcPr>
                <w:p w14:paraId="3F82054F">
                  <w:pPr>
                    <w:spacing w:line="240" w:lineRule="auto"/>
                    <w:jc w:val="center"/>
                    <w:rPr>
                      <w:rFonts w:hint="eastAsia" w:ascii="Times New Roman" w:hAnsi="Times New Roman" w:eastAsia="宋体" w:cs="Times New Roman"/>
                      <w:spacing w:val="-6"/>
                      <w:sz w:val="21"/>
                      <w:szCs w:val="21"/>
                      <w:lang w:val="en-US" w:eastAsia="zh-CN" w:bidi="ar-SA"/>
                    </w:rPr>
                  </w:pPr>
                  <w:r>
                    <w:rPr>
                      <w:rFonts w:hint="default" w:ascii="Times New Roman" w:hAnsi="Times New Roman" w:eastAsia="宋体" w:cs="Times New Roman"/>
                      <w:b w:val="0"/>
                      <w:bCs/>
                      <w:color w:val="000000"/>
                      <w:sz w:val="21"/>
                      <w:szCs w:val="21"/>
                      <w:lang w:val="en-US" w:eastAsia="zh-CN"/>
                    </w:rPr>
                    <w:t>7.40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eastAsia" w:ascii="Times New Roman" w:hAnsi="Times New Roman" w:eastAsia="宋体" w:cs="Times New Roman"/>
                      <w:b w:val="0"/>
                      <w:bCs/>
                      <w:color w:val="000000"/>
                      <w:sz w:val="21"/>
                      <w:szCs w:val="21"/>
                      <w:lang w:val="en-US" w:eastAsia="zh-CN"/>
                    </w:rPr>
                    <w:t>2</w:t>
                  </w:r>
                </w:p>
              </w:tc>
              <w:tc>
                <w:tcPr>
                  <w:tcW w:w="1564" w:type="pct"/>
                  <w:tcBorders>
                    <w:tl2br w:val="nil"/>
                    <w:tr2bl w:val="nil"/>
                  </w:tcBorders>
                  <w:shd w:val="clear" w:color="auto" w:fill="auto"/>
                  <w:noWrap w:val="0"/>
                  <w:vAlign w:val="center"/>
                </w:tcPr>
                <w:p w14:paraId="4974829C">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5F2CA6C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1B3802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shd w:val="clear" w:color="auto" w:fill="auto"/>
                  <w:noWrap w:val="0"/>
                  <w:vAlign w:val="center"/>
                </w:tcPr>
                <w:p w14:paraId="691C6671">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PET留观室</w:t>
                  </w:r>
                </w:p>
              </w:tc>
              <w:tc>
                <w:tcPr>
                  <w:tcW w:w="631" w:type="pct"/>
                  <w:tcBorders>
                    <w:tl2br w:val="nil"/>
                    <w:tr2bl w:val="nil"/>
                  </w:tcBorders>
                  <w:shd w:val="clear" w:color="auto" w:fill="auto"/>
                  <w:noWrap w:val="0"/>
                  <w:vAlign w:val="center"/>
                </w:tcPr>
                <w:p w14:paraId="735BFF21">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eastAsia="宋体" w:cs="Times New Roman"/>
                      <w:color w:val="auto"/>
                      <w:sz w:val="21"/>
                      <w:szCs w:val="21"/>
                      <w:highlight w:val="none"/>
                      <w:vertAlign w:val="superscript"/>
                      <w:lang w:val="en-US" w:eastAsia="zh-CN"/>
                    </w:rPr>
                    <w:t>18</w:t>
                  </w:r>
                  <w:r>
                    <w:rPr>
                      <w:rFonts w:hint="default" w:ascii="Times New Roman" w:hAnsi="Times New Roman" w:eastAsia="宋体" w:cs="Times New Roman"/>
                      <w:color w:val="auto"/>
                      <w:sz w:val="21"/>
                      <w:szCs w:val="21"/>
                      <w:highlight w:val="none"/>
                      <w:lang w:val="en-US" w:eastAsia="zh-CN"/>
                    </w:rPr>
                    <w:t>F</w:t>
                  </w:r>
                </w:p>
              </w:tc>
              <w:tc>
                <w:tcPr>
                  <w:tcW w:w="1523" w:type="pct"/>
                  <w:tcBorders>
                    <w:tl2br w:val="nil"/>
                    <w:tr2bl w:val="nil"/>
                  </w:tcBorders>
                  <w:shd w:val="clear" w:color="auto" w:fill="auto"/>
                  <w:noWrap w:val="0"/>
                  <w:vAlign w:val="center"/>
                </w:tcPr>
                <w:p w14:paraId="7C2FEE9E">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en-US" w:bidi="ar-SA"/>
                    </w:rPr>
                  </w:pPr>
                  <w:r>
                    <w:rPr>
                      <w:rFonts w:hint="default" w:ascii="Times New Roman" w:hAnsi="Times New Roman" w:eastAsia="宋体" w:cs="Times New Roman"/>
                      <w:i w:val="0"/>
                      <w:iCs w:val="0"/>
                      <w:color w:val="000000"/>
                      <w:kern w:val="0"/>
                      <w:sz w:val="21"/>
                      <w:szCs w:val="21"/>
                      <w:u w:val="none"/>
                      <w:lang w:val="en-US" w:eastAsia="zh-CN" w:bidi="ar"/>
                    </w:rPr>
                    <w:t>1.11E+</w:t>
                  </w:r>
                  <w:r>
                    <w:rPr>
                      <w:rFonts w:hint="eastAsia" w:ascii="Times New Roman" w:hAnsi="Times New Roman" w:cs="Times New Roman"/>
                      <w:i w:val="0"/>
                      <w:iCs w:val="0"/>
                      <w:color w:val="000000"/>
                      <w:kern w:val="0"/>
                      <w:sz w:val="21"/>
                      <w:szCs w:val="21"/>
                      <w:u w:val="none"/>
                      <w:lang w:val="en-US" w:eastAsia="zh-CN" w:bidi="ar"/>
                    </w:rPr>
                    <w:t>03</w:t>
                  </w:r>
                </w:p>
              </w:tc>
              <w:tc>
                <w:tcPr>
                  <w:tcW w:w="1564" w:type="pct"/>
                  <w:vMerge w:val="restart"/>
                  <w:tcBorders>
                    <w:tl2br w:val="nil"/>
                    <w:tr2bl w:val="nil"/>
                  </w:tcBorders>
                  <w:shd w:val="clear" w:color="auto" w:fill="auto"/>
                  <w:noWrap w:val="0"/>
                  <w:vAlign w:val="center"/>
                </w:tcPr>
                <w:p w14:paraId="73FAEBE7">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以</w:t>
                  </w:r>
                  <w:r>
                    <w:rPr>
                      <w:rFonts w:hint="eastAsia" w:ascii="Times New Roman" w:hAnsi="Times New Roman" w:cs="Times New Roman"/>
                      <w:color w:val="auto"/>
                      <w:spacing w:val="-3"/>
                      <w:sz w:val="21"/>
                      <w:szCs w:val="21"/>
                      <w:vertAlign w:val="superscript"/>
                      <w:lang w:val="en-US" w:eastAsia="zh-CN"/>
                    </w:rPr>
                    <w:t>18</w:t>
                  </w:r>
                  <w:r>
                    <w:rPr>
                      <w:rFonts w:hint="eastAsia" w:ascii="Times New Roman" w:hAnsi="Times New Roman" w:cs="Times New Roman"/>
                      <w:color w:val="auto"/>
                      <w:spacing w:val="-3"/>
                      <w:sz w:val="21"/>
                      <w:szCs w:val="21"/>
                      <w:lang w:val="en-US" w:eastAsia="zh-CN"/>
                    </w:rPr>
                    <w:t>F按同时3人留观计算</w:t>
                  </w:r>
                </w:p>
              </w:tc>
              <w:tc>
                <w:tcPr>
                  <w:tcW w:w="496" w:type="pct"/>
                  <w:vMerge w:val="restart"/>
                  <w:tcBorders>
                    <w:tl2br w:val="nil"/>
                    <w:tr2bl w:val="nil"/>
                  </w:tcBorders>
                  <w:shd w:val="clear" w:color="auto" w:fill="auto"/>
                  <w:noWrap w:val="0"/>
                  <w:vAlign w:val="center"/>
                </w:tcPr>
                <w:p w14:paraId="6E9B8A3A">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3397BD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shd w:val="clear" w:color="auto" w:fill="auto"/>
                  <w:noWrap w:val="0"/>
                  <w:vAlign w:val="center"/>
                </w:tcPr>
                <w:p w14:paraId="461474CA">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p>
              </w:tc>
              <w:tc>
                <w:tcPr>
                  <w:tcW w:w="631" w:type="pct"/>
                  <w:tcBorders>
                    <w:tl2br w:val="nil"/>
                    <w:tr2bl w:val="nil"/>
                  </w:tcBorders>
                  <w:shd w:val="clear" w:color="auto" w:fill="auto"/>
                  <w:noWrap w:val="0"/>
                  <w:vAlign w:val="center"/>
                </w:tcPr>
                <w:p w14:paraId="403D856E">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cs="Times New Roman"/>
                      <w:spacing w:val="-6"/>
                      <w:sz w:val="21"/>
                      <w:szCs w:val="21"/>
                      <w:vertAlign w:val="superscript"/>
                    </w:rPr>
                    <w:t>68</w:t>
                  </w:r>
                  <w:r>
                    <w:rPr>
                      <w:rFonts w:hint="default" w:ascii="Times New Roman" w:hAnsi="Times New Roman" w:cs="Times New Roman"/>
                      <w:spacing w:val="-6"/>
                      <w:sz w:val="21"/>
                      <w:szCs w:val="21"/>
                    </w:rPr>
                    <w:t>Ga</w:t>
                  </w:r>
                </w:p>
              </w:tc>
              <w:tc>
                <w:tcPr>
                  <w:tcW w:w="1523" w:type="pct"/>
                  <w:tcBorders>
                    <w:tl2br w:val="nil"/>
                    <w:tr2bl w:val="nil"/>
                  </w:tcBorders>
                  <w:shd w:val="clear" w:color="auto" w:fill="auto"/>
                  <w:noWrap w:val="0"/>
                  <w:vAlign w:val="center"/>
                </w:tcPr>
                <w:p w14:paraId="7B8ED78B">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en-US" w:bidi="ar-SA"/>
                    </w:rPr>
                  </w:pPr>
                  <w:r>
                    <w:rPr>
                      <w:rFonts w:hint="eastAsia" w:ascii="Times New Roman" w:hAnsi="Times New Roman" w:cs="Times New Roman"/>
                      <w:color w:val="auto"/>
                      <w:spacing w:val="-3"/>
                      <w:sz w:val="21"/>
                      <w:szCs w:val="21"/>
                      <w:lang w:val="en-US" w:eastAsia="zh-CN"/>
                    </w:rPr>
                    <w:t>5.55E+02</w:t>
                  </w:r>
                </w:p>
              </w:tc>
              <w:tc>
                <w:tcPr>
                  <w:tcW w:w="1564" w:type="pct"/>
                  <w:vMerge w:val="continue"/>
                  <w:tcBorders>
                    <w:tl2br w:val="nil"/>
                    <w:tr2bl w:val="nil"/>
                  </w:tcBorders>
                  <w:shd w:val="clear" w:color="auto" w:fill="auto"/>
                  <w:noWrap w:val="0"/>
                  <w:vAlign w:val="center"/>
                </w:tcPr>
                <w:p w14:paraId="4F86F24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vMerge w:val="continue"/>
                  <w:tcBorders>
                    <w:tl2br w:val="nil"/>
                    <w:tr2bl w:val="nil"/>
                  </w:tcBorders>
                  <w:shd w:val="clear" w:color="auto" w:fill="auto"/>
                  <w:noWrap w:val="0"/>
                  <w:vAlign w:val="center"/>
                </w:tcPr>
                <w:p w14:paraId="2E0E594B">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r>
            <w:tr w14:paraId="5B5F15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tcBorders>
                    <w:tl2br w:val="nil"/>
                    <w:tr2bl w:val="nil"/>
                  </w:tcBorders>
                  <w:shd w:val="clear" w:color="auto" w:fill="auto"/>
                  <w:noWrap w:val="0"/>
                  <w:vAlign w:val="center"/>
                </w:tcPr>
                <w:p w14:paraId="3C754A52">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ECT留观室</w:t>
                  </w:r>
                </w:p>
              </w:tc>
              <w:tc>
                <w:tcPr>
                  <w:tcW w:w="631" w:type="pct"/>
                  <w:tcBorders>
                    <w:tl2br w:val="nil"/>
                    <w:tr2bl w:val="nil"/>
                  </w:tcBorders>
                  <w:shd w:val="clear" w:color="auto" w:fill="auto"/>
                  <w:noWrap w:val="0"/>
                  <w:vAlign w:val="center"/>
                </w:tcPr>
                <w:p w14:paraId="2649BC0A">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eastAsia="宋体" w:cs="Times New Roman"/>
                      <w:color w:val="auto"/>
                      <w:spacing w:val="-2"/>
                      <w:sz w:val="21"/>
                      <w:szCs w:val="21"/>
                      <w:vertAlign w:val="superscript"/>
                    </w:rPr>
                    <w:t>99m</w:t>
                  </w:r>
                  <w:r>
                    <w:rPr>
                      <w:rFonts w:hint="default" w:ascii="Times New Roman" w:hAnsi="Times New Roman" w:eastAsia="宋体" w:cs="Times New Roman"/>
                      <w:color w:val="auto"/>
                      <w:spacing w:val="-2"/>
                      <w:sz w:val="21"/>
                      <w:szCs w:val="21"/>
                    </w:rPr>
                    <w:t>Tc</w:t>
                  </w:r>
                </w:p>
              </w:tc>
              <w:tc>
                <w:tcPr>
                  <w:tcW w:w="1523" w:type="pct"/>
                  <w:tcBorders>
                    <w:tl2br w:val="nil"/>
                    <w:tr2bl w:val="nil"/>
                  </w:tcBorders>
                  <w:shd w:val="clear" w:color="auto" w:fill="auto"/>
                  <w:noWrap w:val="0"/>
                  <w:vAlign w:val="center"/>
                </w:tcPr>
                <w:p w14:paraId="6BC2FFAC">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en-US" w:bidi="ar-SA"/>
                    </w:rPr>
                  </w:pPr>
                  <w:r>
                    <w:rPr>
                      <w:rFonts w:hint="eastAsia" w:ascii="Times New Roman" w:hAnsi="Times New Roman" w:cs="Times New Roman"/>
                      <w:color w:val="auto"/>
                      <w:spacing w:val="-3"/>
                      <w:sz w:val="21"/>
                      <w:szCs w:val="21"/>
                      <w:lang w:val="en-US" w:eastAsia="zh-CN"/>
                    </w:rPr>
                    <w:t>2.22E+03</w:t>
                  </w:r>
                </w:p>
              </w:tc>
              <w:tc>
                <w:tcPr>
                  <w:tcW w:w="1564" w:type="pct"/>
                  <w:tcBorders>
                    <w:tl2br w:val="nil"/>
                    <w:tr2bl w:val="nil"/>
                  </w:tcBorders>
                  <w:shd w:val="clear" w:color="auto" w:fill="auto"/>
                  <w:noWrap w:val="0"/>
                  <w:vAlign w:val="center"/>
                </w:tcPr>
                <w:p w14:paraId="4E45F666">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按同时3人留观计算</w:t>
                  </w:r>
                </w:p>
              </w:tc>
              <w:tc>
                <w:tcPr>
                  <w:tcW w:w="496" w:type="pct"/>
                  <w:tcBorders>
                    <w:tl2br w:val="nil"/>
                    <w:tr2bl w:val="nil"/>
                  </w:tcBorders>
                  <w:shd w:val="clear" w:color="auto" w:fill="auto"/>
                  <w:noWrap w:val="0"/>
                  <w:vAlign w:val="center"/>
                </w:tcPr>
                <w:p w14:paraId="41A2082D">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1B3759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noWrap w:val="0"/>
                  <w:vAlign w:val="center"/>
                </w:tcPr>
                <w:p w14:paraId="0DE57D0D">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抢救室</w:t>
                  </w:r>
                </w:p>
              </w:tc>
              <w:tc>
                <w:tcPr>
                  <w:tcW w:w="631" w:type="pct"/>
                  <w:tcBorders>
                    <w:tl2br w:val="nil"/>
                    <w:tr2bl w:val="nil"/>
                  </w:tcBorders>
                  <w:shd w:val="clear" w:color="auto" w:fill="auto"/>
                  <w:noWrap w:val="0"/>
                  <w:vAlign w:val="center"/>
                </w:tcPr>
                <w:p w14:paraId="61399276">
                  <w:pPr>
                    <w:spacing w:line="360" w:lineRule="exact"/>
                    <w:jc w:val="center"/>
                    <w:rPr>
                      <w:rFonts w:hint="default" w:ascii="Times New Roman" w:hAnsi="Times New Roman" w:eastAsia="宋体" w:cs="Times New Roman"/>
                      <w:spacing w:val="-6"/>
                      <w:sz w:val="21"/>
                      <w:szCs w:val="21"/>
                      <w:lang w:val="en-US" w:eastAsia="en-US" w:bidi="ar-SA"/>
                    </w:rPr>
                  </w:pPr>
                  <w:r>
                    <w:rPr>
                      <w:bCs/>
                      <w:spacing w:val="-6"/>
                      <w:sz w:val="21"/>
                      <w:szCs w:val="21"/>
                      <w:vertAlign w:val="superscript"/>
                    </w:rPr>
                    <w:t>18</w:t>
                  </w:r>
                  <w:r>
                    <w:rPr>
                      <w:bCs/>
                      <w:spacing w:val="-6"/>
                      <w:sz w:val="21"/>
                      <w:szCs w:val="21"/>
                    </w:rPr>
                    <w:t>F</w:t>
                  </w:r>
                </w:p>
              </w:tc>
              <w:tc>
                <w:tcPr>
                  <w:tcW w:w="1523" w:type="pct"/>
                  <w:tcBorders>
                    <w:tl2br w:val="nil"/>
                    <w:tr2bl w:val="nil"/>
                  </w:tcBorders>
                  <w:shd w:val="clear" w:color="auto" w:fill="auto"/>
                  <w:noWrap w:val="0"/>
                  <w:vAlign w:val="center"/>
                </w:tcPr>
                <w:p w14:paraId="4945867E">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default" w:ascii="Times New Roman" w:hAnsi="Times New Roman" w:eastAsia="宋体" w:cs="Times New Roman"/>
                      <w:b w:val="0"/>
                      <w:bCs/>
                      <w:color w:val="000000"/>
                      <w:sz w:val="21"/>
                      <w:szCs w:val="21"/>
                    </w:rPr>
                    <w:t>3.7</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eastAsia" w:ascii="Times New Roman" w:hAnsi="Times New Roman" w:cs="Times New Roman"/>
                      <w:b w:val="0"/>
                      <w:bCs/>
                      <w:color w:val="000000"/>
                      <w:sz w:val="21"/>
                      <w:szCs w:val="21"/>
                      <w:lang w:val="en-US" w:eastAsia="zh-CN"/>
                    </w:rPr>
                    <w:t>2</w:t>
                  </w:r>
                </w:p>
              </w:tc>
              <w:tc>
                <w:tcPr>
                  <w:tcW w:w="1564" w:type="pct"/>
                  <w:tcBorders>
                    <w:tl2br w:val="nil"/>
                    <w:tr2bl w:val="nil"/>
                  </w:tcBorders>
                  <w:shd w:val="clear" w:color="auto" w:fill="auto"/>
                  <w:noWrap w:val="0"/>
                  <w:vAlign w:val="center"/>
                </w:tcPr>
                <w:p w14:paraId="07FBA5AE">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以此计算</w:t>
                  </w:r>
                </w:p>
              </w:tc>
              <w:tc>
                <w:tcPr>
                  <w:tcW w:w="496" w:type="pct"/>
                  <w:tcBorders>
                    <w:tl2br w:val="nil"/>
                    <w:tr2bl w:val="nil"/>
                  </w:tcBorders>
                  <w:shd w:val="clear" w:color="auto" w:fill="auto"/>
                  <w:noWrap w:val="0"/>
                  <w:vAlign w:val="center"/>
                </w:tcPr>
                <w:p w14:paraId="7E3D8B8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221185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3C4B36AA">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42EAB6C6">
                  <w:pPr>
                    <w:spacing w:line="360" w:lineRule="exact"/>
                    <w:jc w:val="center"/>
                    <w:rPr>
                      <w:rFonts w:hint="default" w:ascii="Times New Roman" w:hAnsi="Times New Roman" w:eastAsia="宋体" w:cs="Times New Roman"/>
                      <w:bCs/>
                      <w:spacing w:val="-6"/>
                      <w:sz w:val="21"/>
                      <w:szCs w:val="21"/>
                      <w:vertAlign w:val="superscript"/>
                      <w:lang w:val="en-US" w:eastAsia="en-US" w:bidi="ar-SA"/>
                    </w:rPr>
                  </w:pPr>
                  <w:r>
                    <w:rPr>
                      <w:rFonts w:hint="eastAsia" w:cs="Times New Roman" w:eastAsiaTheme="minorEastAsia"/>
                      <w:color w:val="auto"/>
                      <w:sz w:val="21"/>
                      <w:szCs w:val="21"/>
                      <w:highlight w:val="none"/>
                      <w:vertAlign w:val="superscript"/>
                      <w:lang w:val="en-US" w:eastAsia="zh-CN"/>
                    </w:rPr>
                    <w:t>32</w:t>
                  </w:r>
                  <w:r>
                    <w:rPr>
                      <w:rFonts w:hint="eastAsia" w:cs="Times New Roman" w:eastAsiaTheme="minorEastAsia"/>
                      <w:color w:val="auto"/>
                      <w:sz w:val="21"/>
                      <w:szCs w:val="21"/>
                      <w:highlight w:val="none"/>
                      <w:vertAlign w:val="baseline"/>
                      <w:lang w:val="en-US" w:eastAsia="zh-CN"/>
                    </w:rPr>
                    <w:t>P</w:t>
                  </w:r>
                </w:p>
              </w:tc>
              <w:tc>
                <w:tcPr>
                  <w:tcW w:w="1523" w:type="pct"/>
                  <w:tcBorders>
                    <w:tl2br w:val="nil"/>
                    <w:tr2bl w:val="nil"/>
                  </w:tcBorders>
                  <w:shd w:val="clear" w:color="auto" w:fill="auto"/>
                  <w:noWrap w:val="0"/>
                  <w:vAlign w:val="center"/>
                </w:tcPr>
                <w:p w14:paraId="75211BC7">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1.11E+0</w:t>
                  </w:r>
                  <w:r>
                    <w:rPr>
                      <w:rFonts w:hint="eastAsia" w:ascii="Times New Roman" w:hAnsi="Times New Roman" w:cs="Times New Roman"/>
                      <w:i w:val="0"/>
                      <w:iCs w:val="0"/>
                      <w:color w:val="000000"/>
                      <w:kern w:val="0"/>
                      <w:sz w:val="21"/>
                      <w:szCs w:val="21"/>
                      <w:u w:val="none"/>
                      <w:lang w:val="en-US" w:eastAsia="zh-CN" w:bidi="ar"/>
                    </w:rPr>
                    <w:t>1</w:t>
                  </w:r>
                </w:p>
              </w:tc>
              <w:tc>
                <w:tcPr>
                  <w:tcW w:w="1564" w:type="pct"/>
                  <w:tcBorders>
                    <w:tl2br w:val="nil"/>
                    <w:tr2bl w:val="nil"/>
                  </w:tcBorders>
                  <w:shd w:val="clear" w:color="auto" w:fill="auto"/>
                  <w:noWrap w:val="0"/>
                  <w:vAlign w:val="center"/>
                </w:tcPr>
                <w:p w14:paraId="0FBF6888">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75AE8A2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088670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5FC8353D">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30E2E77F">
                  <w:pPr>
                    <w:spacing w:line="360" w:lineRule="exact"/>
                    <w:jc w:val="center"/>
                    <w:rPr>
                      <w:rFonts w:hint="default" w:ascii="Times New Roman" w:hAnsi="Times New Roman" w:eastAsia="宋体" w:cs="Times New Roman"/>
                      <w:spacing w:val="-6"/>
                      <w:sz w:val="21"/>
                      <w:szCs w:val="21"/>
                      <w:lang w:val="en-US" w:eastAsia="en-US" w:bidi="ar-SA"/>
                    </w:rPr>
                  </w:pPr>
                  <w:r>
                    <w:rPr>
                      <w:spacing w:val="-6"/>
                      <w:sz w:val="21"/>
                      <w:szCs w:val="21"/>
                      <w:vertAlign w:val="superscript"/>
                    </w:rPr>
                    <w:t>68</w:t>
                  </w:r>
                  <w:r>
                    <w:rPr>
                      <w:spacing w:val="-6"/>
                      <w:sz w:val="21"/>
                      <w:szCs w:val="21"/>
                    </w:rPr>
                    <w:t>Ga</w:t>
                  </w:r>
                </w:p>
              </w:tc>
              <w:tc>
                <w:tcPr>
                  <w:tcW w:w="1523" w:type="pct"/>
                  <w:tcBorders>
                    <w:tl2br w:val="nil"/>
                    <w:tr2bl w:val="nil"/>
                  </w:tcBorders>
                  <w:shd w:val="clear" w:color="auto" w:fill="auto"/>
                  <w:noWrap w:val="0"/>
                  <w:vAlign w:val="center"/>
                </w:tcPr>
                <w:p w14:paraId="5C9187E6">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spacing w:val="-6"/>
                      <w:sz w:val="21"/>
                      <w:szCs w:val="21"/>
                      <w:lang w:val="en-US" w:eastAsia="zh-CN" w:bidi="ar-SA"/>
                    </w:rPr>
                    <w:t>1.85E+0</w:t>
                  </w:r>
                  <w:r>
                    <w:rPr>
                      <w:rFonts w:hint="eastAsia" w:ascii="Times New Roman" w:hAnsi="Times New Roman" w:cs="Times New Roman"/>
                      <w:spacing w:val="-6"/>
                      <w:sz w:val="21"/>
                      <w:szCs w:val="21"/>
                      <w:lang w:val="en-US" w:eastAsia="zh-CN" w:bidi="ar-SA"/>
                    </w:rPr>
                    <w:t>2</w:t>
                  </w:r>
                </w:p>
              </w:tc>
              <w:tc>
                <w:tcPr>
                  <w:tcW w:w="1564" w:type="pct"/>
                  <w:tcBorders>
                    <w:tl2br w:val="nil"/>
                    <w:tr2bl w:val="nil"/>
                  </w:tcBorders>
                  <w:shd w:val="clear" w:color="auto" w:fill="auto"/>
                  <w:noWrap w:val="0"/>
                  <w:vAlign w:val="center"/>
                </w:tcPr>
                <w:p w14:paraId="1326F319">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31BF411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21138A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69F2078B">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2932B8BF">
                  <w:pPr>
                    <w:spacing w:line="360" w:lineRule="exact"/>
                    <w:jc w:val="center"/>
                    <w:rPr>
                      <w:rFonts w:hint="default" w:ascii="Times New Roman" w:hAnsi="Times New Roman" w:eastAsia="宋体" w:cs="Times New Roman"/>
                      <w:spacing w:val="-6"/>
                      <w:sz w:val="21"/>
                      <w:szCs w:val="21"/>
                      <w:vertAlign w:val="superscript"/>
                      <w:lang w:val="en-US" w:eastAsia="zh-CN" w:bidi="ar-SA"/>
                    </w:rPr>
                  </w:pPr>
                  <w:r>
                    <w:rPr>
                      <w:spacing w:val="-6"/>
                      <w:sz w:val="21"/>
                      <w:szCs w:val="21"/>
                      <w:vertAlign w:val="superscript"/>
                    </w:rPr>
                    <w:t>89</w:t>
                  </w:r>
                  <w:r>
                    <w:rPr>
                      <w:spacing w:val="-6"/>
                      <w:sz w:val="21"/>
                      <w:szCs w:val="21"/>
                    </w:rPr>
                    <w:t>Sr</w:t>
                  </w:r>
                </w:p>
              </w:tc>
              <w:tc>
                <w:tcPr>
                  <w:tcW w:w="1523" w:type="pct"/>
                  <w:tcBorders>
                    <w:tl2br w:val="nil"/>
                    <w:tr2bl w:val="nil"/>
                  </w:tcBorders>
                  <w:shd w:val="clear" w:color="auto" w:fill="auto"/>
                  <w:noWrap w:val="0"/>
                  <w:vAlign w:val="center"/>
                </w:tcPr>
                <w:p w14:paraId="5F8EBD4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default" w:ascii="Times New Roman" w:hAnsi="Times New Roman" w:eastAsia="宋体" w:cs="Times New Roman"/>
                      <w:b w:val="0"/>
                      <w:bCs/>
                      <w:color w:val="000000"/>
                      <w:sz w:val="21"/>
                      <w:szCs w:val="21"/>
                      <w:highlight w:val="none"/>
                    </w:rPr>
                    <w:t>1.48E+</w:t>
                  </w:r>
                  <w:r>
                    <w:rPr>
                      <w:rFonts w:hint="eastAsia" w:ascii="Times New Roman" w:hAnsi="Times New Roman" w:eastAsia="宋体" w:cs="Times New Roman"/>
                      <w:b w:val="0"/>
                      <w:bCs/>
                      <w:color w:val="000000"/>
                      <w:sz w:val="21"/>
                      <w:szCs w:val="21"/>
                      <w:highlight w:val="none"/>
                      <w:lang w:val="en-US" w:eastAsia="zh-CN"/>
                    </w:rPr>
                    <w:t>0</w:t>
                  </w:r>
                  <w:r>
                    <w:rPr>
                      <w:rFonts w:hint="eastAsia" w:ascii="Times New Roman" w:hAnsi="Times New Roman" w:cs="Times New Roman"/>
                      <w:b w:val="0"/>
                      <w:bCs/>
                      <w:color w:val="000000"/>
                      <w:sz w:val="21"/>
                      <w:szCs w:val="21"/>
                      <w:highlight w:val="none"/>
                      <w:lang w:val="en-US" w:eastAsia="zh-CN"/>
                    </w:rPr>
                    <w:t>2</w:t>
                  </w:r>
                </w:p>
              </w:tc>
              <w:tc>
                <w:tcPr>
                  <w:tcW w:w="1564" w:type="pct"/>
                  <w:tcBorders>
                    <w:tl2br w:val="nil"/>
                    <w:tr2bl w:val="nil"/>
                  </w:tcBorders>
                  <w:shd w:val="clear" w:color="auto" w:fill="auto"/>
                  <w:noWrap w:val="0"/>
                  <w:vAlign w:val="center"/>
                </w:tcPr>
                <w:p w14:paraId="78C4D771">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54E099D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4C05C7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23923FAE">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5F023F86">
                  <w:pPr>
                    <w:spacing w:line="360" w:lineRule="exact"/>
                    <w:jc w:val="center"/>
                    <w:rPr>
                      <w:rFonts w:hint="default" w:ascii="Times New Roman" w:hAnsi="Times New Roman" w:eastAsia="宋体" w:cs="Times New Roman"/>
                      <w:spacing w:val="-6"/>
                      <w:sz w:val="21"/>
                      <w:szCs w:val="21"/>
                      <w:vertAlign w:val="superscript"/>
                      <w:lang w:val="en-US" w:eastAsia="zh-CN" w:bidi="ar-SA"/>
                    </w:rPr>
                  </w:pPr>
                  <w:r>
                    <w:rPr>
                      <w:spacing w:val="-6"/>
                      <w:sz w:val="21"/>
                      <w:szCs w:val="21"/>
                      <w:vertAlign w:val="superscript"/>
                    </w:rPr>
                    <w:t>99m</w:t>
                  </w:r>
                  <w:r>
                    <w:rPr>
                      <w:spacing w:val="-6"/>
                      <w:sz w:val="21"/>
                      <w:szCs w:val="21"/>
                    </w:rPr>
                    <w:t>Tc</w:t>
                  </w:r>
                </w:p>
              </w:tc>
              <w:tc>
                <w:tcPr>
                  <w:tcW w:w="1523" w:type="pct"/>
                  <w:tcBorders>
                    <w:tl2br w:val="nil"/>
                    <w:tr2bl w:val="nil"/>
                  </w:tcBorders>
                  <w:shd w:val="clear" w:color="auto" w:fill="auto"/>
                  <w:noWrap w:val="0"/>
                  <w:vAlign w:val="center"/>
                </w:tcPr>
                <w:p w14:paraId="585176E8">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default" w:ascii="Times New Roman" w:hAnsi="Times New Roman" w:eastAsia="宋体" w:cs="Times New Roman"/>
                      <w:b w:val="0"/>
                      <w:bCs/>
                      <w:color w:val="000000"/>
                      <w:sz w:val="21"/>
                      <w:szCs w:val="21"/>
                      <w:lang w:val="en-US" w:eastAsia="zh-CN"/>
                    </w:rPr>
                    <w:t>7.40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eastAsia" w:ascii="Times New Roman" w:hAnsi="Times New Roman" w:cs="Times New Roman"/>
                      <w:b w:val="0"/>
                      <w:bCs/>
                      <w:color w:val="000000"/>
                      <w:sz w:val="21"/>
                      <w:szCs w:val="21"/>
                      <w:lang w:val="en-US" w:eastAsia="zh-CN"/>
                    </w:rPr>
                    <w:t>2</w:t>
                  </w:r>
                </w:p>
              </w:tc>
              <w:tc>
                <w:tcPr>
                  <w:tcW w:w="1564" w:type="pct"/>
                  <w:tcBorders>
                    <w:tl2br w:val="nil"/>
                    <w:tr2bl w:val="nil"/>
                  </w:tcBorders>
                  <w:shd w:val="clear" w:color="auto" w:fill="auto"/>
                  <w:noWrap w:val="0"/>
                  <w:vAlign w:val="center"/>
                </w:tcPr>
                <w:p w14:paraId="7E80DB2E">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4C40D36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241BED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2F918A73">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217878AB">
                  <w:pPr>
                    <w:spacing w:line="360" w:lineRule="exact"/>
                    <w:jc w:val="center"/>
                    <w:rPr>
                      <w:rFonts w:hint="default" w:ascii="Times New Roman" w:hAnsi="Times New Roman" w:eastAsia="宋体" w:cs="Times New Roman"/>
                      <w:spacing w:val="-6"/>
                      <w:sz w:val="21"/>
                      <w:szCs w:val="21"/>
                      <w:lang w:val="en-US" w:eastAsia="zh-CN" w:bidi="ar-SA"/>
                    </w:rPr>
                  </w:pPr>
                  <w:r>
                    <w:rPr>
                      <w:rFonts w:hint="default" w:ascii="Times New Roman" w:hAnsi="Times New Roman" w:cs="Times New Roman"/>
                      <w:spacing w:val="-6"/>
                      <w:sz w:val="21"/>
                      <w:szCs w:val="21"/>
                      <w:vertAlign w:val="superscript"/>
                    </w:rPr>
                    <w:t>131</w:t>
                  </w:r>
                  <w:r>
                    <w:rPr>
                      <w:rFonts w:hint="default" w:ascii="Times New Roman" w:hAnsi="Times New Roman" w:cs="Times New Roman"/>
                      <w:spacing w:val="-6"/>
                      <w:sz w:val="21"/>
                      <w:szCs w:val="21"/>
                    </w:rPr>
                    <w:t>I</w:t>
                  </w:r>
                </w:p>
              </w:tc>
              <w:tc>
                <w:tcPr>
                  <w:tcW w:w="1523" w:type="pct"/>
                  <w:tcBorders>
                    <w:tl2br w:val="nil"/>
                    <w:tr2bl w:val="nil"/>
                  </w:tcBorders>
                  <w:shd w:val="clear" w:color="auto" w:fill="auto"/>
                  <w:noWrap w:val="0"/>
                  <w:vAlign w:val="center"/>
                </w:tcPr>
                <w:p w14:paraId="352B3D1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default" w:ascii="Times New Roman" w:hAnsi="Times New Roman" w:eastAsia="宋体" w:cs="Times New Roman"/>
                      <w:b w:val="0"/>
                      <w:bCs/>
                      <w:color w:val="000000"/>
                      <w:sz w:val="21"/>
                      <w:szCs w:val="21"/>
                      <w:lang w:val="en-US" w:eastAsia="zh-CN"/>
                    </w:rPr>
                    <w:t>7.40</w:t>
                  </w:r>
                  <w:r>
                    <w:rPr>
                      <w:rFonts w:hint="default" w:ascii="Times New Roman" w:hAnsi="Times New Roman" w:eastAsia="宋体" w:cs="Times New Roman"/>
                      <w:b w:val="0"/>
                      <w:bCs/>
                      <w:color w:val="000000"/>
                      <w:sz w:val="21"/>
                      <w:szCs w:val="21"/>
                    </w:rPr>
                    <w:t>E+</w:t>
                  </w:r>
                  <w:r>
                    <w:rPr>
                      <w:rFonts w:hint="default" w:ascii="Times New Roman" w:hAnsi="Times New Roman" w:eastAsia="宋体" w:cs="Times New Roman"/>
                      <w:b w:val="0"/>
                      <w:bCs/>
                      <w:color w:val="000000"/>
                      <w:sz w:val="21"/>
                      <w:szCs w:val="21"/>
                      <w:lang w:val="en-US" w:eastAsia="zh-CN"/>
                    </w:rPr>
                    <w:t>0</w:t>
                  </w:r>
                  <w:r>
                    <w:rPr>
                      <w:rFonts w:hint="eastAsia" w:ascii="Times New Roman" w:hAnsi="Times New Roman" w:cs="Times New Roman"/>
                      <w:b w:val="0"/>
                      <w:bCs/>
                      <w:color w:val="000000"/>
                      <w:sz w:val="21"/>
                      <w:szCs w:val="21"/>
                      <w:lang w:val="en-US" w:eastAsia="zh-CN"/>
                    </w:rPr>
                    <w:t>2</w:t>
                  </w:r>
                </w:p>
              </w:tc>
              <w:tc>
                <w:tcPr>
                  <w:tcW w:w="1564" w:type="pct"/>
                  <w:tcBorders>
                    <w:tl2br w:val="nil"/>
                    <w:tr2bl w:val="nil"/>
                  </w:tcBorders>
                  <w:shd w:val="clear" w:color="auto" w:fill="auto"/>
                  <w:noWrap w:val="0"/>
                  <w:vAlign w:val="center"/>
                </w:tcPr>
                <w:p w14:paraId="7E764A84">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7D87462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40A055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tcBorders>
                    <w:tl2br w:val="nil"/>
                    <w:tr2bl w:val="nil"/>
                  </w:tcBorders>
                  <w:noWrap w:val="0"/>
                  <w:vAlign w:val="center"/>
                </w:tcPr>
                <w:p w14:paraId="2249DEDD">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甲功室</w:t>
                  </w:r>
                </w:p>
              </w:tc>
              <w:tc>
                <w:tcPr>
                  <w:tcW w:w="631" w:type="pct"/>
                  <w:tcBorders>
                    <w:tl2br w:val="nil"/>
                    <w:tr2bl w:val="nil"/>
                  </w:tcBorders>
                  <w:shd w:val="clear" w:color="auto" w:fill="auto"/>
                  <w:noWrap w:val="0"/>
                  <w:vAlign w:val="center"/>
                </w:tcPr>
                <w:p w14:paraId="198ECBF4">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cs="Times New Roman"/>
                      <w:spacing w:val="-6"/>
                      <w:sz w:val="21"/>
                      <w:szCs w:val="21"/>
                      <w:vertAlign w:val="superscript"/>
                    </w:rPr>
                    <w:t>131</w:t>
                  </w:r>
                  <w:r>
                    <w:rPr>
                      <w:rFonts w:hint="default" w:ascii="Times New Roman" w:hAnsi="Times New Roman" w:cs="Times New Roman"/>
                      <w:spacing w:val="-6"/>
                      <w:sz w:val="21"/>
                      <w:szCs w:val="21"/>
                    </w:rPr>
                    <w:t>I</w:t>
                  </w:r>
                </w:p>
              </w:tc>
              <w:tc>
                <w:tcPr>
                  <w:tcW w:w="1523" w:type="pct"/>
                  <w:tcBorders>
                    <w:tl2br w:val="nil"/>
                    <w:tr2bl w:val="nil"/>
                  </w:tcBorders>
                  <w:shd w:val="clear" w:color="auto" w:fill="auto"/>
                  <w:noWrap w:val="0"/>
                  <w:vAlign w:val="center"/>
                </w:tcPr>
                <w:p w14:paraId="43862F3D">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cs="Times New Roman"/>
                      <w:b w:val="0"/>
                      <w:bCs/>
                      <w:color w:val="000000"/>
                      <w:sz w:val="21"/>
                      <w:szCs w:val="21"/>
                      <w:highlight w:val="none"/>
                      <w:lang w:val="en-US" w:eastAsia="zh-CN"/>
                    </w:rPr>
                    <w:t>5.55</w:t>
                  </w:r>
                  <w:r>
                    <w:rPr>
                      <w:rFonts w:hint="default" w:ascii="Times New Roman" w:hAnsi="Times New Roman" w:eastAsia="宋体" w:cs="Times New Roman"/>
                      <w:b w:val="0"/>
                      <w:bCs/>
                      <w:color w:val="000000"/>
                      <w:sz w:val="21"/>
                      <w:szCs w:val="21"/>
                      <w:highlight w:val="none"/>
                    </w:rPr>
                    <w:t>E</w:t>
                  </w:r>
                  <w:r>
                    <w:rPr>
                      <w:rFonts w:hint="eastAsia" w:ascii="Times New Roman" w:hAnsi="Times New Roman" w:cs="Times New Roman"/>
                      <w:b w:val="0"/>
                      <w:bCs/>
                      <w:color w:val="000000"/>
                      <w:sz w:val="21"/>
                      <w:szCs w:val="21"/>
                      <w:highlight w:val="none"/>
                      <w:lang w:val="en-US" w:eastAsia="zh-CN"/>
                    </w:rPr>
                    <w:t>-01</w:t>
                  </w:r>
                </w:p>
              </w:tc>
              <w:tc>
                <w:tcPr>
                  <w:tcW w:w="1564" w:type="pct"/>
                  <w:tcBorders>
                    <w:tl2br w:val="nil"/>
                    <w:tr2bl w:val="nil"/>
                  </w:tcBorders>
                  <w:shd w:val="clear" w:color="auto" w:fill="auto"/>
                  <w:noWrap w:val="0"/>
                  <w:vAlign w:val="center"/>
                </w:tcPr>
                <w:p w14:paraId="67D98B4F">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073CBBB9">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77A532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shd w:val="clear" w:color="auto" w:fill="auto"/>
                  <w:noWrap w:val="0"/>
                  <w:vAlign w:val="center"/>
                </w:tcPr>
                <w:p w14:paraId="5680DE36">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lang w:val="en-US" w:eastAsia="zh-CN"/>
                    </w:rPr>
                    <w:t>储源室</w:t>
                  </w:r>
                  <w:r>
                    <w:rPr>
                      <w:rFonts w:hint="eastAsia"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w:t>
                  </w:r>
                </w:p>
              </w:tc>
              <w:tc>
                <w:tcPr>
                  <w:tcW w:w="631" w:type="pct"/>
                  <w:tcBorders>
                    <w:tl2br w:val="nil"/>
                    <w:tr2bl w:val="nil"/>
                  </w:tcBorders>
                  <w:shd w:val="clear" w:color="auto" w:fill="auto"/>
                  <w:noWrap w:val="0"/>
                  <w:vAlign w:val="center"/>
                </w:tcPr>
                <w:p w14:paraId="0078C478">
                  <w:pPr>
                    <w:spacing w:line="360" w:lineRule="exact"/>
                    <w:jc w:val="center"/>
                    <w:rPr>
                      <w:rFonts w:hint="default" w:ascii="Times New Roman" w:hAnsi="Times New Roman" w:eastAsia="宋体" w:cs="Times New Roman"/>
                      <w:spacing w:val="-6"/>
                      <w:sz w:val="21"/>
                      <w:szCs w:val="21"/>
                      <w:lang w:val="en-US" w:eastAsia="zh-CN" w:bidi="ar-SA"/>
                    </w:rPr>
                  </w:pPr>
                  <w:r>
                    <w:rPr>
                      <w:spacing w:val="-6"/>
                      <w:sz w:val="21"/>
                      <w:szCs w:val="21"/>
                      <w:vertAlign w:val="superscript"/>
                    </w:rPr>
                    <w:t>89</w:t>
                  </w:r>
                  <w:r>
                    <w:rPr>
                      <w:spacing w:val="-6"/>
                      <w:sz w:val="21"/>
                      <w:szCs w:val="21"/>
                    </w:rPr>
                    <w:t>Sr</w:t>
                  </w:r>
                </w:p>
              </w:tc>
              <w:tc>
                <w:tcPr>
                  <w:tcW w:w="1523" w:type="pct"/>
                  <w:tcBorders>
                    <w:tl2br w:val="nil"/>
                    <w:tr2bl w:val="nil"/>
                  </w:tcBorders>
                  <w:shd w:val="clear" w:color="auto" w:fill="auto"/>
                  <w:noWrap w:val="0"/>
                  <w:vAlign w:val="center"/>
                </w:tcPr>
                <w:p w14:paraId="4BE38550">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7.40E+0</w:t>
                  </w:r>
                  <w:r>
                    <w:rPr>
                      <w:rFonts w:hint="eastAsia" w:ascii="Times New Roman" w:hAnsi="Times New Roman" w:cs="Times New Roman"/>
                      <w:i w:val="0"/>
                      <w:iCs w:val="0"/>
                      <w:color w:val="000000"/>
                      <w:kern w:val="0"/>
                      <w:sz w:val="21"/>
                      <w:szCs w:val="21"/>
                      <w:u w:val="none"/>
                      <w:lang w:val="en-US" w:eastAsia="zh-CN" w:bidi="ar"/>
                    </w:rPr>
                    <w:t>2</w:t>
                  </w:r>
                </w:p>
              </w:tc>
              <w:tc>
                <w:tcPr>
                  <w:tcW w:w="1564" w:type="pct"/>
                  <w:vMerge w:val="restart"/>
                  <w:tcBorders>
                    <w:tl2br w:val="nil"/>
                    <w:tr2bl w:val="nil"/>
                  </w:tcBorders>
                  <w:shd w:val="clear" w:color="auto" w:fill="auto"/>
                  <w:noWrap w:val="0"/>
                  <w:vAlign w:val="center"/>
                </w:tcPr>
                <w:p w14:paraId="4AC61BF1">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按单日</w:t>
                  </w:r>
                  <w:r>
                    <w:rPr>
                      <w:rFonts w:hint="eastAsia" w:ascii="Times New Roman" w:hAnsi="Times New Roman" w:cs="Times New Roman"/>
                      <w:color w:val="auto"/>
                      <w:sz w:val="21"/>
                      <w:szCs w:val="21"/>
                      <w:highlight w:val="none"/>
                      <w:vertAlign w:val="superscript"/>
                      <w:lang w:val="en-US" w:eastAsia="zh-CN"/>
                    </w:rPr>
                    <w:t>131</w:t>
                  </w:r>
                  <w:r>
                    <w:rPr>
                      <w:rFonts w:hint="eastAsia" w:ascii="Times New Roman" w:hAnsi="Times New Roman" w:cs="Times New Roman"/>
                      <w:color w:val="auto"/>
                      <w:sz w:val="21"/>
                      <w:szCs w:val="21"/>
                      <w:highlight w:val="none"/>
                      <w:lang w:val="en-US" w:eastAsia="zh-CN"/>
                    </w:rPr>
                    <w:t>I的</w:t>
                  </w:r>
                  <w:r>
                    <w:rPr>
                      <w:rFonts w:hint="eastAsia" w:ascii="Times New Roman" w:hAnsi="Times New Roman" w:cs="Times New Roman"/>
                      <w:color w:val="auto"/>
                      <w:spacing w:val="-3"/>
                      <w:sz w:val="21"/>
                      <w:szCs w:val="21"/>
                      <w:lang w:val="en-US" w:eastAsia="zh-CN"/>
                    </w:rPr>
                    <w:t>最大操作量计算</w:t>
                  </w:r>
                </w:p>
              </w:tc>
              <w:tc>
                <w:tcPr>
                  <w:tcW w:w="496" w:type="pct"/>
                  <w:tcBorders>
                    <w:tl2br w:val="nil"/>
                    <w:tr2bl w:val="nil"/>
                  </w:tcBorders>
                  <w:shd w:val="clear" w:color="auto" w:fill="auto"/>
                  <w:noWrap w:val="0"/>
                  <w:vAlign w:val="center"/>
                </w:tcPr>
                <w:p w14:paraId="292BEC5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0C1819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shd w:val="clear" w:color="auto" w:fill="auto"/>
                  <w:noWrap w:val="0"/>
                  <w:vAlign w:val="center"/>
                </w:tcPr>
                <w:p w14:paraId="5CC586C4">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p>
              </w:tc>
              <w:tc>
                <w:tcPr>
                  <w:tcW w:w="631" w:type="pct"/>
                  <w:tcBorders>
                    <w:tl2br w:val="nil"/>
                    <w:tr2bl w:val="nil"/>
                  </w:tcBorders>
                  <w:shd w:val="clear" w:color="auto" w:fill="auto"/>
                  <w:noWrap w:val="0"/>
                  <w:vAlign w:val="center"/>
                </w:tcPr>
                <w:p w14:paraId="6E09345E">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cs="Times New Roman"/>
                      <w:spacing w:val="-6"/>
                      <w:sz w:val="21"/>
                      <w:szCs w:val="21"/>
                      <w:vertAlign w:val="superscript"/>
                    </w:rPr>
                    <w:t>131</w:t>
                  </w:r>
                  <w:r>
                    <w:rPr>
                      <w:rFonts w:hint="default" w:ascii="Times New Roman" w:hAnsi="Times New Roman" w:cs="Times New Roman"/>
                      <w:spacing w:val="-6"/>
                      <w:sz w:val="21"/>
                      <w:szCs w:val="21"/>
                    </w:rPr>
                    <w:t>I</w:t>
                  </w:r>
                </w:p>
              </w:tc>
              <w:tc>
                <w:tcPr>
                  <w:tcW w:w="1523" w:type="pct"/>
                  <w:tcBorders>
                    <w:tl2br w:val="nil"/>
                    <w:tr2bl w:val="nil"/>
                  </w:tcBorders>
                  <w:shd w:val="clear" w:color="auto" w:fill="auto"/>
                  <w:noWrap w:val="0"/>
                  <w:vAlign w:val="center"/>
                </w:tcPr>
                <w:p w14:paraId="6A2A008F">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3.70E+0</w:t>
                  </w:r>
                  <w:r>
                    <w:rPr>
                      <w:rFonts w:hint="eastAsia" w:ascii="Times New Roman" w:hAnsi="Times New Roman" w:cs="Times New Roman"/>
                      <w:i w:val="0"/>
                      <w:iCs w:val="0"/>
                      <w:color w:val="000000"/>
                      <w:kern w:val="0"/>
                      <w:sz w:val="21"/>
                      <w:szCs w:val="21"/>
                      <w:u w:val="none"/>
                      <w:lang w:val="en-US" w:eastAsia="zh-CN" w:bidi="ar"/>
                    </w:rPr>
                    <w:t>3</w:t>
                  </w:r>
                </w:p>
              </w:tc>
              <w:tc>
                <w:tcPr>
                  <w:tcW w:w="1564" w:type="pct"/>
                  <w:vMerge w:val="continue"/>
                  <w:tcBorders>
                    <w:tl2br w:val="nil"/>
                    <w:tr2bl w:val="nil"/>
                  </w:tcBorders>
                  <w:shd w:val="clear" w:color="auto" w:fill="auto"/>
                  <w:noWrap w:val="0"/>
                  <w:vAlign w:val="center"/>
                </w:tcPr>
                <w:p w14:paraId="45D26593">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5D1350D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6215BA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shd w:val="clear" w:color="auto" w:fill="auto"/>
                  <w:noWrap w:val="0"/>
                  <w:vAlign w:val="center"/>
                </w:tcPr>
                <w:p w14:paraId="057B4974">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分装室</w:t>
                  </w:r>
                  <w:r>
                    <w:rPr>
                      <w:rFonts w:hint="eastAsia"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w:t>
                  </w:r>
                </w:p>
              </w:tc>
              <w:tc>
                <w:tcPr>
                  <w:tcW w:w="631" w:type="pct"/>
                  <w:tcBorders>
                    <w:tl2br w:val="nil"/>
                    <w:tr2bl w:val="nil"/>
                  </w:tcBorders>
                  <w:shd w:val="clear" w:color="auto" w:fill="auto"/>
                  <w:noWrap w:val="0"/>
                  <w:vAlign w:val="center"/>
                </w:tcPr>
                <w:p w14:paraId="58B36FE1">
                  <w:pPr>
                    <w:spacing w:line="360" w:lineRule="exact"/>
                    <w:jc w:val="center"/>
                    <w:rPr>
                      <w:rFonts w:hint="default" w:ascii="Times New Roman" w:hAnsi="Times New Roman" w:eastAsia="宋体" w:cs="Times New Roman"/>
                      <w:spacing w:val="-6"/>
                      <w:sz w:val="21"/>
                      <w:szCs w:val="21"/>
                      <w:lang w:val="en-US" w:eastAsia="zh-CN" w:bidi="ar-SA"/>
                    </w:rPr>
                  </w:pPr>
                  <w:r>
                    <w:rPr>
                      <w:spacing w:val="-6"/>
                      <w:sz w:val="21"/>
                      <w:szCs w:val="21"/>
                      <w:vertAlign w:val="superscript"/>
                    </w:rPr>
                    <w:t>89</w:t>
                  </w:r>
                  <w:r>
                    <w:rPr>
                      <w:spacing w:val="-6"/>
                      <w:sz w:val="21"/>
                      <w:szCs w:val="21"/>
                    </w:rPr>
                    <w:t>Sr</w:t>
                  </w:r>
                </w:p>
              </w:tc>
              <w:tc>
                <w:tcPr>
                  <w:tcW w:w="1523" w:type="pct"/>
                  <w:tcBorders>
                    <w:tl2br w:val="nil"/>
                    <w:tr2bl w:val="nil"/>
                  </w:tcBorders>
                  <w:shd w:val="clear" w:color="auto" w:fill="auto"/>
                  <w:noWrap w:val="0"/>
                  <w:vAlign w:val="center"/>
                </w:tcPr>
                <w:p w14:paraId="21724AFF">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eastAsia" w:ascii="Times New Roman" w:hAnsi="Times New Roman" w:cs="Times New Roman"/>
                      <w:color w:val="auto"/>
                      <w:spacing w:val="-3"/>
                      <w:sz w:val="21"/>
                      <w:szCs w:val="21"/>
                      <w:lang w:val="en-US" w:eastAsia="zh-CN"/>
                    </w:rPr>
                    <w:t>4.44E+02</w:t>
                  </w:r>
                </w:p>
              </w:tc>
              <w:tc>
                <w:tcPr>
                  <w:tcW w:w="1564" w:type="pct"/>
                  <w:vMerge w:val="restart"/>
                  <w:tcBorders>
                    <w:tl2br w:val="nil"/>
                    <w:tr2bl w:val="nil"/>
                  </w:tcBorders>
                  <w:shd w:val="clear" w:color="auto" w:fill="auto"/>
                  <w:noWrap w:val="0"/>
                  <w:vAlign w:val="center"/>
                </w:tcPr>
                <w:p w14:paraId="7B0BA613">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按单次操作3人用量计算</w:t>
                  </w:r>
                </w:p>
              </w:tc>
              <w:tc>
                <w:tcPr>
                  <w:tcW w:w="496" w:type="pct"/>
                  <w:tcBorders>
                    <w:tl2br w:val="nil"/>
                    <w:tr2bl w:val="nil"/>
                  </w:tcBorders>
                  <w:shd w:val="clear" w:color="auto" w:fill="auto"/>
                  <w:noWrap w:val="0"/>
                  <w:vAlign w:val="center"/>
                </w:tcPr>
                <w:p w14:paraId="7B38B7C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75098A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shd w:val="clear" w:color="auto" w:fill="auto"/>
                  <w:noWrap w:val="0"/>
                  <w:vAlign w:val="center"/>
                </w:tcPr>
                <w:p w14:paraId="7CD24E79">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p>
              </w:tc>
              <w:tc>
                <w:tcPr>
                  <w:tcW w:w="631" w:type="pct"/>
                  <w:tcBorders>
                    <w:tl2br w:val="nil"/>
                    <w:tr2bl w:val="nil"/>
                  </w:tcBorders>
                  <w:shd w:val="clear" w:color="auto" w:fill="auto"/>
                  <w:noWrap w:val="0"/>
                  <w:vAlign w:val="center"/>
                </w:tcPr>
                <w:p w14:paraId="12377CEB">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cs="Times New Roman"/>
                      <w:spacing w:val="-6"/>
                      <w:sz w:val="21"/>
                      <w:szCs w:val="21"/>
                      <w:vertAlign w:val="superscript"/>
                    </w:rPr>
                    <w:t>131</w:t>
                  </w:r>
                  <w:r>
                    <w:rPr>
                      <w:rFonts w:hint="default" w:ascii="Times New Roman" w:hAnsi="Times New Roman" w:cs="Times New Roman"/>
                      <w:spacing w:val="-6"/>
                      <w:sz w:val="21"/>
                      <w:szCs w:val="21"/>
                    </w:rPr>
                    <w:t>I</w:t>
                  </w:r>
                </w:p>
              </w:tc>
              <w:tc>
                <w:tcPr>
                  <w:tcW w:w="1523" w:type="pct"/>
                  <w:tcBorders>
                    <w:tl2br w:val="nil"/>
                    <w:tr2bl w:val="nil"/>
                  </w:tcBorders>
                  <w:shd w:val="clear" w:color="auto" w:fill="auto"/>
                  <w:noWrap w:val="0"/>
                  <w:vAlign w:val="center"/>
                </w:tcPr>
                <w:p w14:paraId="2DEFE8D3">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2.22E+03</w:t>
                  </w:r>
                </w:p>
              </w:tc>
              <w:tc>
                <w:tcPr>
                  <w:tcW w:w="1564" w:type="pct"/>
                  <w:vMerge w:val="continue"/>
                  <w:tcBorders>
                    <w:tl2br w:val="nil"/>
                    <w:tr2bl w:val="nil"/>
                  </w:tcBorders>
                  <w:shd w:val="clear" w:color="auto" w:fill="auto"/>
                  <w:noWrap w:val="0"/>
                  <w:vAlign w:val="center"/>
                </w:tcPr>
                <w:p w14:paraId="6B04824A">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2CEFD6B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3E376C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tcBorders>
                    <w:tl2br w:val="nil"/>
                    <w:tr2bl w:val="nil"/>
                  </w:tcBorders>
                  <w:noWrap w:val="0"/>
                  <w:vAlign w:val="center"/>
                </w:tcPr>
                <w:p w14:paraId="4C30D785">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Sr-注射室</w:t>
                  </w:r>
                </w:p>
              </w:tc>
              <w:tc>
                <w:tcPr>
                  <w:tcW w:w="631" w:type="pct"/>
                  <w:tcBorders>
                    <w:tl2br w:val="nil"/>
                    <w:tr2bl w:val="nil"/>
                  </w:tcBorders>
                  <w:shd w:val="clear" w:color="auto" w:fill="auto"/>
                  <w:noWrap w:val="0"/>
                  <w:vAlign w:val="center"/>
                </w:tcPr>
                <w:p w14:paraId="4BA39974">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rPr>
                  </w:pPr>
                  <w:r>
                    <w:rPr>
                      <w:rFonts w:hint="default" w:ascii="Times New Roman" w:hAnsi="Times New Roman" w:cs="Times New Roman"/>
                      <w:spacing w:val="-6"/>
                      <w:sz w:val="21"/>
                      <w:szCs w:val="21"/>
                      <w:vertAlign w:val="superscript"/>
                    </w:rPr>
                    <w:t>89</w:t>
                  </w:r>
                  <w:r>
                    <w:rPr>
                      <w:rFonts w:hint="default" w:ascii="Times New Roman" w:hAnsi="Times New Roman" w:cs="Times New Roman"/>
                      <w:spacing w:val="-6"/>
                      <w:sz w:val="21"/>
                      <w:szCs w:val="21"/>
                    </w:rPr>
                    <w:t>Sr</w:t>
                  </w:r>
                </w:p>
              </w:tc>
              <w:tc>
                <w:tcPr>
                  <w:tcW w:w="1523" w:type="pct"/>
                  <w:tcBorders>
                    <w:tl2br w:val="nil"/>
                    <w:tr2bl w:val="nil"/>
                  </w:tcBorders>
                  <w:shd w:val="clear" w:color="auto" w:fill="auto"/>
                  <w:noWrap w:val="0"/>
                  <w:vAlign w:val="center"/>
                </w:tcPr>
                <w:p w14:paraId="18F65E42">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eastAsia="宋体" w:cs="Times New Roman"/>
                      <w:color w:val="auto"/>
                      <w:spacing w:val="-3"/>
                      <w:sz w:val="21"/>
                      <w:szCs w:val="21"/>
                      <w:lang w:eastAsia="zh-CN"/>
                    </w:rPr>
                  </w:pPr>
                  <w:r>
                    <w:rPr>
                      <w:rFonts w:hint="default" w:ascii="Times New Roman" w:hAnsi="Times New Roman" w:eastAsia="宋体" w:cs="Times New Roman"/>
                      <w:b w:val="0"/>
                      <w:bCs/>
                      <w:color w:val="000000"/>
                      <w:sz w:val="21"/>
                      <w:szCs w:val="21"/>
                      <w:highlight w:val="none"/>
                    </w:rPr>
                    <w:t>1.48E+</w:t>
                  </w:r>
                  <w:r>
                    <w:rPr>
                      <w:rFonts w:hint="eastAsia" w:ascii="Times New Roman" w:hAnsi="Times New Roman" w:eastAsia="宋体" w:cs="Times New Roman"/>
                      <w:b w:val="0"/>
                      <w:bCs/>
                      <w:color w:val="000000"/>
                      <w:sz w:val="21"/>
                      <w:szCs w:val="21"/>
                      <w:highlight w:val="none"/>
                      <w:lang w:val="en-US" w:eastAsia="zh-CN"/>
                    </w:rPr>
                    <w:t>0</w:t>
                  </w:r>
                  <w:r>
                    <w:rPr>
                      <w:rFonts w:hint="eastAsia" w:ascii="Times New Roman" w:hAnsi="Times New Roman" w:cs="Times New Roman"/>
                      <w:b w:val="0"/>
                      <w:bCs/>
                      <w:color w:val="000000"/>
                      <w:sz w:val="21"/>
                      <w:szCs w:val="21"/>
                      <w:highlight w:val="none"/>
                      <w:lang w:val="en-US" w:eastAsia="zh-CN"/>
                    </w:rPr>
                    <w:t>2</w:t>
                  </w:r>
                </w:p>
              </w:tc>
              <w:tc>
                <w:tcPr>
                  <w:tcW w:w="1564" w:type="pct"/>
                  <w:tcBorders>
                    <w:tl2br w:val="nil"/>
                    <w:tr2bl w:val="nil"/>
                  </w:tcBorders>
                  <w:shd w:val="clear" w:color="auto" w:fill="auto"/>
                  <w:noWrap w:val="0"/>
                  <w:vAlign w:val="center"/>
                </w:tcPr>
                <w:p w14:paraId="5D242028">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50B4B59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121B2B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tcBorders>
                    <w:tl2br w:val="nil"/>
                    <w:tr2bl w:val="nil"/>
                  </w:tcBorders>
                  <w:shd w:val="clear" w:color="auto" w:fill="auto"/>
                  <w:noWrap w:val="0"/>
                  <w:vAlign w:val="center"/>
                </w:tcPr>
                <w:p w14:paraId="6B477EEF">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bidi="ar-SA"/>
                    </w:rPr>
                    <w:t>I-131服药室</w:t>
                  </w:r>
                </w:p>
              </w:tc>
              <w:tc>
                <w:tcPr>
                  <w:tcW w:w="631" w:type="pct"/>
                  <w:tcBorders>
                    <w:tl2br w:val="nil"/>
                    <w:tr2bl w:val="nil"/>
                  </w:tcBorders>
                  <w:shd w:val="clear" w:color="auto" w:fill="auto"/>
                  <w:noWrap w:val="0"/>
                  <w:vAlign w:val="center"/>
                </w:tcPr>
                <w:p w14:paraId="0BF57D0E">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cs="Times New Roman"/>
                      <w:spacing w:val="-6"/>
                      <w:sz w:val="21"/>
                      <w:szCs w:val="21"/>
                      <w:vertAlign w:val="superscript"/>
                    </w:rPr>
                    <w:t>131</w:t>
                  </w:r>
                  <w:r>
                    <w:rPr>
                      <w:rFonts w:hint="default" w:ascii="Times New Roman" w:hAnsi="Times New Roman" w:cs="Times New Roman"/>
                      <w:spacing w:val="-6"/>
                      <w:sz w:val="21"/>
                      <w:szCs w:val="21"/>
                    </w:rPr>
                    <w:t>I</w:t>
                  </w:r>
                </w:p>
              </w:tc>
              <w:tc>
                <w:tcPr>
                  <w:tcW w:w="1523" w:type="pct"/>
                  <w:tcBorders>
                    <w:tl2br w:val="nil"/>
                    <w:tr2bl w:val="nil"/>
                  </w:tcBorders>
                  <w:shd w:val="clear" w:color="auto" w:fill="auto"/>
                  <w:noWrap w:val="0"/>
                  <w:vAlign w:val="center"/>
                </w:tcPr>
                <w:p w14:paraId="78B3752E">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default" w:ascii="Times New Roman" w:hAnsi="Times New Roman" w:eastAsia="宋体" w:cs="Times New Roman"/>
                      <w:i w:val="0"/>
                      <w:iCs w:val="0"/>
                      <w:color w:val="000000"/>
                      <w:kern w:val="0"/>
                      <w:sz w:val="21"/>
                      <w:szCs w:val="21"/>
                      <w:u w:val="none"/>
                      <w:lang w:val="en-US" w:eastAsia="zh-CN" w:bidi="ar"/>
                    </w:rPr>
                    <w:t>7.40E+0</w:t>
                  </w:r>
                  <w:r>
                    <w:rPr>
                      <w:rFonts w:hint="eastAsia" w:ascii="Times New Roman" w:hAnsi="Times New Roman" w:cs="Times New Roman"/>
                      <w:i w:val="0"/>
                      <w:iCs w:val="0"/>
                      <w:color w:val="000000"/>
                      <w:kern w:val="0"/>
                      <w:sz w:val="21"/>
                      <w:szCs w:val="21"/>
                      <w:u w:val="none"/>
                      <w:lang w:val="en-US" w:eastAsia="zh-CN" w:bidi="ar"/>
                    </w:rPr>
                    <w:t>2</w:t>
                  </w:r>
                </w:p>
              </w:tc>
              <w:tc>
                <w:tcPr>
                  <w:tcW w:w="1564" w:type="pct"/>
                  <w:tcBorders>
                    <w:tl2br w:val="nil"/>
                    <w:tr2bl w:val="nil"/>
                  </w:tcBorders>
                  <w:shd w:val="clear" w:color="auto" w:fill="auto"/>
                  <w:noWrap w:val="0"/>
                  <w:vAlign w:val="center"/>
                </w:tcPr>
                <w:p w14:paraId="719961D5">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p>
              </w:tc>
              <w:tc>
                <w:tcPr>
                  <w:tcW w:w="496" w:type="pct"/>
                  <w:tcBorders>
                    <w:tl2br w:val="nil"/>
                    <w:tr2bl w:val="nil"/>
                  </w:tcBorders>
                  <w:shd w:val="clear" w:color="auto" w:fill="auto"/>
                  <w:noWrap w:val="0"/>
                  <w:vAlign w:val="center"/>
                </w:tcPr>
                <w:p w14:paraId="18FFDCD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裸源</w:t>
                  </w:r>
                </w:p>
              </w:tc>
            </w:tr>
            <w:tr w14:paraId="0B5FF9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restart"/>
                  <w:tcBorders>
                    <w:tl2br w:val="nil"/>
                    <w:tr2bl w:val="nil"/>
                  </w:tcBorders>
                  <w:noWrap w:val="0"/>
                  <w:vAlign w:val="center"/>
                </w:tcPr>
                <w:p w14:paraId="2F453041">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日间留观室</w:t>
                  </w:r>
                </w:p>
              </w:tc>
              <w:tc>
                <w:tcPr>
                  <w:tcW w:w="631" w:type="pct"/>
                  <w:tcBorders>
                    <w:tl2br w:val="nil"/>
                    <w:tr2bl w:val="nil"/>
                  </w:tcBorders>
                  <w:shd w:val="clear" w:color="auto" w:fill="auto"/>
                  <w:noWrap w:val="0"/>
                  <w:vAlign w:val="center"/>
                </w:tcPr>
                <w:p w14:paraId="0A8D5180">
                  <w:pPr>
                    <w:spacing w:line="360" w:lineRule="exact"/>
                    <w:jc w:val="center"/>
                    <w:rPr>
                      <w:rFonts w:hint="default" w:ascii="Times New Roman" w:hAnsi="Times New Roman" w:eastAsia="宋体" w:cs="Times New Roman"/>
                      <w:spacing w:val="-6"/>
                      <w:sz w:val="21"/>
                      <w:szCs w:val="21"/>
                      <w:lang w:val="en-US" w:eastAsia="zh-CN" w:bidi="ar-SA"/>
                    </w:rPr>
                  </w:pPr>
                  <w:r>
                    <w:rPr>
                      <w:spacing w:val="-6"/>
                      <w:sz w:val="21"/>
                      <w:szCs w:val="21"/>
                      <w:vertAlign w:val="superscript"/>
                    </w:rPr>
                    <w:t>89</w:t>
                  </w:r>
                  <w:r>
                    <w:rPr>
                      <w:spacing w:val="-6"/>
                      <w:sz w:val="21"/>
                      <w:szCs w:val="21"/>
                    </w:rPr>
                    <w:t>Sr</w:t>
                  </w:r>
                </w:p>
              </w:tc>
              <w:tc>
                <w:tcPr>
                  <w:tcW w:w="1523" w:type="pct"/>
                  <w:tcBorders>
                    <w:tl2br w:val="nil"/>
                    <w:tr2bl w:val="nil"/>
                  </w:tcBorders>
                  <w:shd w:val="clear" w:color="auto" w:fill="auto"/>
                  <w:noWrap w:val="0"/>
                  <w:vAlign w:val="center"/>
                </w:tcPr>
                <w:p w14:paraId="085CE699">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zh-CN" w:bidi="ar-SA"/>
                    </w:rPr>
                  </w:pPr>
                  <w:r>
                    <w:rPr>
                      <w:rFonts w:hint="eastAsia" w:ascii="Times New Roman" w:hAnsi="Times New Roman" w:cs="Times New Roman"/>
                      <w:color w:val="auto"/>
                      <w:spacing w:val="-3"/>
                      <w:sz w:val="21"/>
                      <w:szCs w:val="21"/>
                      <w:lang w:val="en-US" w:eastAsia="zh-CN"/>
                    </w:rPr>
                    <w:t>4.44E+02</w:t>
                  </w:r>
                </w:p>
              </w:tc>
              <w:tc>
                <w:tcPr>
                  <w:tcW w:w="1564" w:type="pct"/>
                  <w:tcBorders>
                    <w:tl2br w:val="nil"/>
                    <w:tr2bl w:val="nil"/>
                  </w:tcBorders>
                  <w:shd w:val="clear" w:color="auto" w:fill="auto"/>
                  <w:noWrap w:val="0"/>
                  <w:vAlign w:val="center"/>
                </w:tcPr>
                <w:p w14:paraId="308040EC">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按同时3人留观计算</w:t>
                  </w:r>
                </w:p>
              </w:tc>
              <w:tc>
                <w:tcPr>
                  <w:tcW w:w="496" w:type="pct"/>
                  <w:tcBorders>
                    <w:tl2br w:val="nil"/>
                    <w:tr2bl w:val="nil"/>
                  </w:tcBorders>
                  <w:shd w:val="clear" w:color="auto" w:fill="auto"/>
                  <w:noWrap w:val="0"/>
                  <w:vAlign w:val="center"/>
                </w:tcPr>
                <w:p w14:paraId="6FFBA79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r w14:paraId="75382E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4" w:type="pct"/>
                  <w:vMerge w:val="continue"/>
                  <w:tcBorders>
                    <w:tl2br w:val="nil"/>
                    <w:tr2bl w:val="nil"/>
                  </w:tcBorders>
                  <w:noWrap w:val="0"/>
                  <w:vAlign w:val="center"/>
                </w:tcPr>
                <w:p w14:paraId="73126FEC">
                  <w:pPr>
                    <w:pageBreakBefore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631" w:type="pct"/>
                  <w:tcBorders>
                    <w:tl2br w:val="nil"/>
                    <w:tr2bl w:val="nil"/>
                  </w:tcBorders>
                  <w:shd w:val="clear" w:color="auto" w:fill="auto"/>
                  <w:noWrap w:val="0"/>
                  <w:vAlign w:val="center"/>
                </w:tcPr>
                <w:p w14:paraId="64537709">
                  <w:pPr>
                    <w:pStyle w:val="1261"/>
                    <w:keepNext w:val="0"/>
                    <w:keepLines w:val="0"/>
                    <w:pageBreakBefore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2"/>
                      <w:sz w:val="21"/>
                      <w:szCs w:val="21"/>
                      <w:vertAlign w:val="superscript"/>
                      <w:lang w:val="en-US" w:eastAsia="en-US" w:bidi="ar-SA"/>
                    </w:rPr>
                  </w:pPr>
                  <w:r>
                    <w:rPr>
                      <w:rFonts w:hint="default" w:ascii="Times New Roman" w:hAnsi="Times New Roman" w:cs="Times New Roman"/>
                      <w:spacing w:val="-6"/>
                      <w:sz w:val="21"/>
                      <w:szCs w:val="21"/>
                      <w:vertAlign w:val="superscript"/>
                    </w:rPr>
                    <w:t>131</w:t>
                  </w:r>
                  <w:r>
                    <w:rPr>
                      <w:rFonts w:hint="default" w:ascii="Times New Roman" w:hAnsi="Times New Roman" w:cs="Times New Roman"/>
                      <w:spacing w:val="-6"/>
                      <w:sz w:val="21"/>
                      <w:szCs w:val="21"/>
                    </w:rPr>
                    <w:t>I</w:t>
                  </w:r>
                </w:p>
              </w:tc>
              <w:tc>
                <w:tcPr>
                  <w:tcW w:w="1523" w:type="pct"/>
                  <w:tcBorders>
                    <w:tl2br w:val="nil"/>
                    <w:tr2bl w:val="nil"/>
                  </w:tcBorders>
                  <w:shd w:val="clear" w:color="auto" w:fill="auto"/>
                  <w:noWrap w:val="0"/>
                  <w:vAlign w:val="center"/>
                </w:tcPr>
                <w:p w14:paraId="31D6B6D9">
                  <w:pPr>
                    <w:pStyle w:val="1261"/>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lang w:val="en-US" w:eastAsia="en-US" w:bidi="ar-SA"/>
                    </w:rPr>
                  </w:pPr>
                  <w:r>
                    <w:rPr>
                      <w:rFonts w:hint="eastAsia" w:ascii="Times New Roman" w:hAnsi="Times New Roman" w:cs="Times New Roman"/>
                      <w:color w:val="auto"/>
                      <w:spacing w:val="-3"/>
                      <w:sz w:val="21"/>
                      <w:szCs w:val="21"/>
                      <w:lang w:val="en-US" w:eastAsia="zh-CN"/>
                    </w:rPr>
                    <w:t>2.22E+03</w:t>
                  </w:r>
                </w:p>
              </w:tc>
              <w:tc>
                <w:tcPr>
                  <w:tcW w:w="1564" w:type="pct"/>
                  <w:tcBorders>
                    <w:tl2br w:val="nil"/>
                    <w:tr2bl w:val="nil"/>
                  </w:tcBorders>
                  <w:shd w:val="clear" w:color="auto" w:fill="auto"/>
                  <w:noWrap w:val="0"/>
                  <w:vAlign w:val="center"/>
                </w:tcPr>
                <w:p w14:paraId="043E245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按同时3人留观计算</w:t>
                  </w:r>
                </w:p>
              </w:tc>
              <w:tc>
                <w:tcPr>
                  <w:tcW w:w="496" w:type="pct"/>
                  <w:tcBorders>
                    <w:tl2br w:val="nil"/>
                    <w:tr2bl w:val="nil"/>
                  </w:tcBorders>
                  <w:shd w:val="clear" w:color="auto" w:fill="auto"/>
                  <w:noWrap w:val="0"/>
                  <w:vAlign w:val="center"/>
                </w:tcPr>
                <w:p w14:paraId="5C3123F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3"/>
                      <w:sz w:val="21"/>
                      <w:szCs w:val="21"/>
                    </w:rPr>
                  </w:pPr>
                  <w:r>
                    <w:rPr>
                      <w:rFonts w:hint="eastAsia" w:ascii="Times New Roman" w:hAnsi="Times New Roman" w:cs="Times New Roman"/>
                      <w:color w:val="auto"/>
                      <w:spacing w:val="-3"/>
                      <w:sz w:val="21"/>
                      <w:szCs w:val="21"/>
                      <w:lang w:val="en-US" w:eastAsia="zh-CN"/>
                    </w:rPr>
                    <w:t>体内</w:t>
                  </w:r>
                </w:p>
              </w:tc>
            </w:tr>
          </w:tbl>
          <w:p w14:paraId="5CA81191">
            <w:pPr>
              <w:ind w:firstLine="482"/>
              <w:rPr>
                <w:b/>
              </w:rPr>
            </w:pPr>
          </w:p>
          <w:p w14:paraId="74C56A4D">
            <w:pPr>
              <w:ind w:firstLine="482"/>
              <w:rPr>
                <w:b/>
              </w:rPr>
            </w:pPr>
            <w:r>
              <w:rPr>
                <w:b/>
              </w:rPr>
              <w:t>1、β射线辐射影响分析</w:t>
            </w:r>
          </w:p>
          <w:p w14:paraId="1DC80114">
            <w:pPr>
              <w:ind w:firstLine="480"/>
              <w:rPr>
                <w:sz w:val="24"/>
                <w:szCs w:val="24"/>
              </w:rPr>
            </w:pPr>
            <w:r>
              <w:rPr>
                <w:sz w:val="24"/>
                <w:szCs w:val="24"/>
              </w:rPr>
              <w:t>根据《放射卫生学》（章仲侯主编，P171），β粒子在不同介质中的射程按式11-1计算：</w:t>
            </w:r>
          </w:p>
          <w:p w14:paraId="7F1F580D">
            <w:pPr>
              <w:ind w:firstLine="480"/>
              <w:jc w:val="right"/>
              <w:rPr>
                <w:bCs/>
                <w:sz w:val="24"/>
                <w:szCs w:val="24"/>
              </w:rPr>
            </w:pPr>
            <w:r>
              <w:rPr>
                <w:position w:val="-28"/>
                <w:sz w:val="24"/>
                <w:szCs w:val="24"/>
              </w:rPr>
              <w:drawing>
                <wp:inline distT="0" distB="0" distL="0" distR="0">
                  <wp:extent cx="800100" cy="402590"/>
                  <wp:effectExtent l="0" t="0" r="0" b="1651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9"/>
                          <a:stretch>
                            <a:fillRect/>
                          </a:stretch>
                        </pic:blipFill>
                        <pic:spPr>
                          <a:xfrm>
                            <a:off x="0" y="0"/>
                            <a:ext cx="800100" cy="402590"/>
                          </a:xfrm>
                          <a:prstGeom prst="rect">
                            <a:avLst/>
                          </a:prstGeom>
                          <a:noFill/>
                          <a:ln>
                            <a:noFill/>
                          </a:ln>
                        </pic:spPr>
                      </pic:pic>
                    </a:graphicData>
                  </a:graphic>
                </wp:inline>
              </w:drawing>
            </w:r>
            <w:r>
              <w:rPr>
                <w:sz w:val="24"/>
                <w:szCs w:val="24"/>
              </w:rPr>
              <w:t>……………………………式11-1</w:t>
            </w:r>
          </w:p>
          <w:p w14:paraId="310B5547">
            <w:pPr>
              <w:ind w:firstLine="525"/>
              <w:rPr>
                <w:sz w:val="24"/>
                <w:szCs w:val="24"/>
              </w:rPr>
            </w:pPr>
            <w:r>
              <w:rPr>
                <w:sz w:val="24"/>
                <w:szCs w:val="24"/>
              </w:rPr>
              <w:t>式中：</w:t>
            </w:r>
            <w:r>
              <w:rPr>
                <w:i/>
                <w:sz w:val="24"/>
                <w:szCs w:val="24"/>
              </w:rPr>
              <w:t>d</w:t>
            </w:r>
            <w:r>
              <w:rPr>
                <w:sz w:val="24"/>
                <w:szCs w:val="24"/>
              </w:rPr>
              <w:t>—最大射程，cm；</w:t>
            </w:r>
          </w:p>
          <w:p w14:paraId="08FE432F">
            <w:pPr>
              <w:ind w:firstLine="1155"/>
              <w:rPr>
                <w:sz w:val="24"/>
                <w:szCs w:val="24"/>
              </w:rPr>
            </w:pPr>
            <w:r>
              <w:rPr>
                <w:i/>
                <w:sz w:val="24"/>
                <w:szCs w:val="24"/>
              </w:rPr>
              <w:t>ρ</w:t>
            </w:r>
            <w:r>
              <w:rPr>
                <w:sz w:val="24"/>
                <w:szCs w:val="24"/>
              </w:rPr>
              <w:t>—屏蔽材料密度，g/cm</w:t>
            </w:r>
            <w:r>
              <w:rPr>
                <w:sz w:val="24"/>
                <w:szCs w:val="24"/>
                <w:vertAlign w:val="superscript"/>
              </w:rPr>
              <w:t>3</w:t>
            </w:r>
            <w:r>
              <w:rPr>
                <w:sz w:val="24"/>
                <w:szCs w:val="24"/>
              </w:rPr>
              <w:t>。</w:t>
            </w:r>
          </w:p>
          <w:p w14:paraId="32707C05">
            <w:pPr>
              <w:ind w:firstLine="480"/>
              <w:rPr>
                <w:bCs/>
                <w:sz w:val="24"/>
                <w:szCs w:val="24"/>
              </w:rPr>
            </w:pPr>
            <w:r>
              <w:rPr>
                <w:bCs/>
                <w:sz w:val="24"/>
                <w:szCs w:val="24"/>
              </w:rPr>
              <w:t>β粒子在不同介质中的射程计算公式详见式11-1，计算结果见下表。</w:t>
            </w:r>
          </w:p>
          <w:p w14:paraId="2953C34C">
            <w:pPr>
              <w:widowControl/>
              <w:spacing w:before="163" w:line="240" w:lineRule="auto"/>
              <w:jc w:val="center"/>
              <w:rPr>
                <w:rFonts w:eastAsia="黑体"/>
                <w:bCs/>
                <w:sz w:val="21"/>
                <w:szCs w:val="18"/>
              </w:rPr>
            </w:pPr>
            <w:r>
              <w:rPr>
                <w:rFonts w:eastAsia="黑体"/>
                <w:bCs/>
                <w:sz w:val="21"/>
                <w:szCs w:val="18"/>
              </w:rPr>
              <w:t>表11-2  负一层</w:t>
            </w:r>
            <w:r>
              <w:rPr>
                <w:rFonts w:hint="eastAsia" w:eastAsia="黑体"/>
                <w:bCs/>
                <w:sz w:val="21"/>
                <w:szCs w:val="18"/>
                <w:lang w:val="en-US" w:eastAsia="zh-CN"/>
              </w:rPr>
              <w:t>核医学科</w:t>
            </w:r>
            <w:r>
              <w:rPr>
                <w:rFonts w:eastAsia="黑体"/>
                <w:bCs/>
                <w:sz w:val="21"/>
                <w:szCs w:val="18"/>
              </w:rPr>
              <w:t>各核素β射线在介质中理论最大射程</w:t>
            </w:r>
          </w:p>
          <w:tbl>
            <w:tblPr>
              <w:tblStyle w:val="57"/>
              <w:tblW w:w="863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25"/>
              <w:gridCol w:w="1049"/>
              <w:gridCol w:w="1052"/>
              <w:gridCol w:w="1064"/>
              <w:gridCol w:w="1052"/>
              <w:gridCol w:w="1028"/>
              <w:gridCol w:w="966"/>
            </w:tblGrid>
            <w:tr w14:paraId="11FAEB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5E9ADED5">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核素</w:t>
                  </w:r>
                </w:p>
              </w:tc>
              <w:tc>
                <w:tcPr>
                  <w:tcW w:w="607" w:type="pct"/>
                  <w:shd w:val="clear" w:color="auto" w:fill="auto"/>
                  <w:vAlign w:val="center"/>
                </w:tcPr>
                <w:p w14:paraId="0E808FCE">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vertAlign w:val="superscript"/>
                      <w:lang w:val="en-US" w:eastAsia="zh-CN" w:bidi="ar-SA"/>
                    </w:rPr>
                  </w:pPr>
                  <w:r>
                    <w:rPr>
                      <w:spacing w:val="-6"/>
                      <w:sz w:val="21"/>
                      <w:szCs w:val="21"/>
                      <w:vertAlign w:val="superscript"/>
                    </w:rPr>
                    <w:t>18</w:t>
                  </w:r>
                  <w:r>
                    <w:rPr>
                      <w:spacing w:val="-6"/>
                      <w:sz w:val="21"/>
                      <w:szCs w:val="21"/>
                    </w:rPr>
                    <w:t>F</w:t>
                  </w:r>
                </w:p>
              </w:tc>
              <w:tc>
                <w:tcPr>
                  <w:tcW w:w="609" w:type="pct"/>
                  <w:vAlign w:val="center"/>
                </w:tcPr>
                <w:p w14:paraId="1CE0335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eastAsia="宋体"/>
                      <w:spacing w:val="-6"/>
                      <w:sz w:val="21"/>
                      <w:szCs w:val="21"/>
                      <w:vertAlign w:val="superscript"/>
                      <w:lang w:val="en-US" w:eastAsia="zh-CN"/>
                    </w:rPr>
                  </w:pPr>
                  <w:r>
                    <w:rPr>
                      <w:rFonts w:hint="eastAsia"/>
                      <w:spacing w:val="-6"/>
                      <w:sz w:val="21"/>
                      <w:szCs w:val="21"/>
                      <w:vertAlign w:val="superscript"/>
                      <w:lang w:val="en-US" w:eastAsia="zh-CN"/>
                    </w:rPr>
                    <w:t>32</w:t>
                  </w:r>
                  <w:r>
                    <w:rPr>
                      <w:rFonts w:hint="eastAsia"/>
                      <w:spacing w:val="-6"/>
                      <w:sz w:val="21"/>
                      <w:szCs w:val="21"/>
                      <w:vertAlign w:val="baseline"/>
                      <w:lang w:val="en-US" w:eastAsia="zh-CN"/>
                    </w:rPr>
                    <w:t>P</w:t>
                  </w:r>
                </w:p>
              </w:tc>
              <w:tc>
                <w:tcPr>
                  <w:tcW w:w="616" w:type="pct"/>
                  <w:shd w:val="clear" w:color="auto" w:fill="auto"/>
                  <w:vAlign w:val="center"/>
                </w:tcPr>
                <w:p w14:paraId="0E0CDBF7">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vertAlign w:val="superscript"/>
                      <w:lang w:val="en-US" w:eastAsia="zh-CN" w:bidi="ar-SA"/>
                    </w:rPr>
                  </w:pPr>
                  <w:r>
                    <w:rPr>
                      <w:spacing w:val="-6"/>
                      <w:sz w:val="21"/>
                      <w:szCs w:val="21"/>
                      <w:vertAlign w:val="superscript"/>
                    </w:rPr>
                    <w:t>68</w:t>
                  </w:r>
                  <w:r>
                    <w:rPr>
                      <w:spacing w:val="-6"/>
                      <w:sz w:val="21"/>
                      <w:szCs w:val="21"/>
                    </w:rPr>
                    <w:t>Ga</w:t>
                  </w:r>
                </w:p>
              </w:tc>
              <w:tc>
                <w:tcPr>
                  <w:tcW w:w="609" w:type="pct"/>
                  <w:vAlign w:val="center"/>
                </w:tcPr>
                <w:p w14:paraId="317AD23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eastAsia="宋体"/>
                      <w:spacing w:val="-6"/>
                      <w:sz w:val="21"/>
                      <w:szCs w:val="21"/>
                      <w:vertAlign w:val="superscript"/>
                      <w:lang w:val="en-US" w:eastAsia="zh-CN"/>
                    </w:rPr>
                  </w:pPr>
                  <w:r>
                    <w:rPr>
                      <w:spacing w:val="-6"/>
                      <w:sz w:val="21"/>
                      <w:szCs w:val="21"/>
                      <w:vertAlign w:val="superscript"/>
                      <w:lang w:bidi="ar"/>
                    </w:rPr>
                    <w:t>89</w:t>
                  </w:r>
                  <w:r>
                    <w:rPr>
                      <w:rFonts w:hint="eastAsia"/>
                      <w:spacing w:val="-6"/>
                      <w:sz w:val="21"/>
                      <w:szCs w:val="21"/>
                      <w:lang w:val="en-US" w:eastAsia="zh-CN" w:bidi="ar"/>
                    </w:rPr>
                    <w:t>S</w:t>
                  </w:r>
                  <w:r>
                    <w:rPr>
                      <w:spacing w:val="-6"/>
                      <w:sz w:val="21"/>
                      <w:szCs w:val="21"/>
                      <w:lang w:bidi="ar"/>
                    </w:rPr>
                    <w:t>r</w:t>
                  </w:r>
                </w:p>
              </w:tc>
              <w:tc>
                <w:tcPr>
                  <w:tcW w:w="595" w:type="pct"/>
                  <w:vAlign w:val="center"/>
                </w:tcPr>
                <w:p w14:paraId="2A5A7672">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vertAlign w:val="superscript"/>
                    </w:rPr>
                  </w:pPr>
                  <w:r>
                    <w:rPr>
                      <w:rFonts w:hint="eastAsia"/>
                      <w:spacing w:val="-6"/>
                      <w:sz w:val="21"/>
                      <w:szCs w:val="21"/>
                      <w:vertAlign w:val="superscript"/>
                      <w:lang w:val="en-US" w:eastAsia="zh-CN"/>
                    </w:rPr>
                    <w:t>99m</w:t>
                  </w:r>
                  <w:r>
                    <w:rPr>
                      <w:rFonts w:hint="eastAsia"/>
                      <w:spacing w:val="-6"/>
                      <w:sz w:val="21"/>
                      <w:szCs w:val="21"/>
                      <w:vertAlign w:val="baseline"/>
                      <w:lang w:val="en-US" w:eastAsia="zh-CN"/>
                    </w:rPr>
                    <w:t>Tc</w:t>
                  </w:r>
                </w:p>
              </w:tc>
              <w:tc>
                <w:tcPr>
                  <w:tcW w:w="559" w:type="pct"/>
                  <w:vAlign w:val="center"/>
                </w:tcPr>
                <w:p w14:paraId="05A92ABD">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vertAlign w:val="superscript"/>
                    </w:rPr>
                  </w:pPr>
                  <w:r>
                    <w:rPr>
                      <w:rFonts w:hint="eastAsia"/>
                      <w:spacing w:val="-6"/>
                      <w:sz w:val="21"/>
                      <w:szCs w:val="21"/>
                      <w:vertAlign w:val="superscript"/>
                      <w:lang w:val="en-US" w:eastAsia="zh-CN"/>
                    </w:rPr>
                    <w:t>131</w:t>
                  </w:r>
                  <w:r>
                    <w:rPr>
                      <w:spacing w:val="-6"/>
                      <w:sz w:val="21"/>
                      <w:szCs w:val="21"/>
                      <w:lang w:bidi="ar"/>
                    </w:rPr>
                    <w:t>I</w:t>
                  </w:r>
                </w:p>
              </w:tc>
            </w:tr>
            <w:tr w14:paraId="086EBD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770393A9">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rFonts w:eastAsia="TimesNewRomanPSMT"/>
                      <w:b/>
                      <w:bCs w:val="0"/>
                      <w:spacing w:val="-6"/>
                      <w:sz w:val="21"/>
                      <w:szCs w:val="21"/>
                    </w:rPr>
                    <w:t>β</w:t>
                  </w:r>
                  <w:r>
                    <w:rPr>
                      <w:b/>
                      <w:bCs w:val="0"/>
                      <w:spacing w:val="-6"/>
                      <w:sz w:val="21"/>
                      <w:szCs w:val="21"/>
                    </w:rPr>
                    <w:t>射线能量（</w:t>
                  </w:r>
                  <w:r>
                    <w:rPr>
                      <w:rFonts w:eastAsia="TimesNewRomanPSMT"/>
                      <w:b/>
                      <w:bCs w:val="0"/>
                      <w:spacing w:val="-6"/>
                      <w:sz w:val="21"/>
                      <w:szCs w:val="21"/>
                    </w:rPr>
                    <w:t>MeV</w:t>
                  </w:r>
                  <w:r>
                    <w:rPr>
                      <w:b/>
                      <w:bCs w:val="0"/>
                      <w:spacing w:val="-6"/>
                      <w:sz w:val="21"/>
                      <w:szCs w:val="21"/>
                    </w:rPr>
                    <w:t>）</w:t>
                  </w:r>
                </w:p>
              </w:tc>
              <w:tc>
                <w:tcPr>
                  <w:tcW w:w="607" w:type="pct"/>
                  <w:shd w:val="clear" w:color="auto" w:fill="auto"/>
                  <w:vAlign w:val="center"/>
                </w:tcPr>
                <w:p w14:paraId="1AF061B7">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spacing w:val="-6"/>
                      <w:sz w:val="21"/>
                      <w:szCs w:val="21"/>
                    </w:rPr>
                    <w:t>0.63</w:t>
                  </w:r>
                </w:p>
              </w:tc>
              <w:tc>
                <w:tcPr>
                  <w:tcW w:w="609" w:type="pct"/>
                  <w:vAlign w:val="center"/>
                </w:tcPr>
                <w:p w14:paraId="6F657F5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eastAsia="宋体"/>
                      <w:bCs/>
                      <w:spacing w:val="-6"/>
                      <w:sz w:val="21"/>
                      <w:szCs w:val="21"/>
                      <w:lang w:val="en-US" w:eastAsia="zh-CN"/>
                    </w:rPr>
                  </w:pPr>
                  <w:r>
                    <w:rPr>
                      <w:rFonts w:hint="eastAsia"/>
                      <w:bCs/>
                      <w:spacing w:val="-6"/>
                      <w:sz w:val="21"/>
                      <w:szCs w:val="21"/>
                      <w:lang w:val="en-US" w:eastAsia="zh-CN"/>
                    </w:rPr>
                    <w:t>1.71</w:t>
                  </w:r>
                </w:p>
              </w:tc>
              <w:tc>
                <w:tcPr>
                  <w:tcW w:w="616" w:type="pct"/>
                  <w:shd w:val="clear" w:color="auto" w:fill="auto"/>
                  <w:vAlign w:val="center"/>
                </w:tcPr>
                <w:p w14:paraId="278007F4">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spacing w:val="-6"/>
                      <w:sz w:val="21"/>
                      <w:szCs w:val="21"/>
                    </w:rPr>
                    <w:t>1.90</w:t>
                  </w:r>
                </w:p>
              </w:tc>
              <w:tc>
                <w:tcPr>
                  <w:tcW w:w="609" w:type="pct"/>
                  <w:vAlign w:val="center"/>
                </w:tcPr>
                <w:p w14:paraId="10BE857B">
                  <w:pPr>
                    <w:keepNext w:val="0"/>
                    <w:keepLines w:val="0"/>
                    <w:pageBreakBefore w:val="0"/>
                    <w:kinsoku/>
                    <w:wordWrap/>
                    <w:overflowPunct/>
                    <w:topLinePunct w:val="0"/>
                    <w:autoSpaceDE/>
                    <w:autoSpaceDN/>
                    <w:bidi w:val="0"/>
                    <w:adjustRightInd/>
                    <w:snapToGrid/>
                    <w:spacing w:line="360" w:lineRule="exact"/>
                    <w:jc w:val="center"/>
                    <w:textAlignment w:val="auto"/>
                    <w:rPr>
                      <w:bCs/>
                      <w:spacing w:val="-6"/>
                      <w:sz w:val="21"/>
                      <w:szCs w:val="21"/>
                    </w:rPr>
                  </w:pPr>
                  <w:r>
                    <w:rPr>
                      <w:bCs/>
                      <w:sz w:val="21"/>
                      <w:szCs w:val="21"/>
                    </w:rPr>
                    <w:t>0.58</w:t>
                  </w:r>
                </w:p>
              </w:tc>
              <w:tc>
                <w:tcPr>
                  <w:tcW w:w="595" w:type="pct"/>
                  <w:vAlign w:val="center"/>
                </w:tcPr>
                <w:p w14:paraId="3D66540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宋体"/>
                      <w:bCs/>
                      <w:spacing w:val="-6"/>
                      <w:sz w:val="21"/>
                      <w:szCs w:val="21"/>
                      <w:lang w:val="en-US" w:eastAsia="zh-CN"/>
                    </w:rPr>
                  </w:pPr>
                  <w:r>
                    <w:rPr>
                      <w:rFonts w:hint="eastAsia"/>
                      <w:bCs/>
                      <w:spacing w:val="-6"/>
                      <w:sz w:val="21"/>
                      <w:szCs w:val="21"/>
                      <w:lang w:val="en-US" w:eastAsia="zh-CN"/>
                    </w:rPr>
                    <w:t>/</w:t>
                  </w:r>
                </w:p>
              </w:tc>
              <w:tc>
                <w:tcPr>
                  <w:tcW w:w="559" w:type="pct"/>
                  <w:vAlign w:val="center"/>
                </w:tcPr>
                <w:p w14:paraId="06F2993D">
                  <w:pPr>
                    <w:keepNext w:val="0"/>
                    <w:keepLines w:val="0"/>
                    <w:pageBreakBefore w:val="0"/>
                    <w:kinsoku/>
                    <w:wordWrap/>
                    <w:overflowPunct/>
                    <w:topLinePunct w:val="0"/>
                    <w:autoSpaceDE/>
                    <w:autoSpaceDN/>
                    <w:bidi w:val="0"/>
                    <w:adjustRightInd/>
                    <w:snapToGrid/>
                    <w:spacing w:line="360" w:lineRule="exact"/>
                    <w:jc w:val="center"/>
                    <w:textAlignment w:val="auto"/>
                    <w:rPr>
                      <w:bCs/>
                      <w:spacing w:val="-6"/>
                      <w:sz w:val="21"/>
                      <w:szCs w:val="21"/>
                    </w:rPr>
                  </w:pPr>
                  <w:r>
                    <w:rPr>
                      <w:spacing w:val="-6"/>
                      <w:sz w:val="21"/>
                      <w:szCs w:val="21"/>
                    </w:rPr>
                    <w:t>0.602</w:t>
                  </w:r>
                </w:p>
              </w:tc>
            </w:tr>
            <w:tr w14:paraId="107BCC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1FEAF9B3">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空气密度（</w:t>
                  </w:r>
                  <w:r>
                    <w:rPr>
                      <w:rFonts w:eastAsia="TimesNewRomanPSMT"/>
                      <w:b/>
                      <w:bCs w:val="0"/>
                      <w:spacing w:val="-6"/>
                      <w:sz w:val="21"/>
                      <w:szCs w:val="21"/>
                    </w:rPr>
                    <w:t>g/cm</w:t>
                  </w:r>
                  <w:r>
                    <w:rPr>
                      <w:b/>
                      <w:bCs w:val="0"/>
                      <w:spacing w:val="-6"/>
                      <w:sz w:val="21"/>
                      <w:szCs w:val="21"/>
                    </w:rPr>
                    <w:t>³）</w:t>
                  </w:r>
                </w:p>
              </w:tc>
              <w:tc>
                <w:tcPr>
                  <w:tcW w:w="3595" w:type="pct"/>
                  <w:gridSpan w:val="6"/>
                  <w:vAlign w:val="center"/>
                </w:tcPr>
                <w:p w14:paraId="56C2369E">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1.29×10</w:t>
                  </w:r>
                  <w:r>
                    <w:rPr>
                      <w:spacing w:val="-6"/>
                      <w:sz w:val="21"/>
                      <w:szCs w:val="21"/>
                      <w:vertAlign w:val="superscript"/>
                    </w:rPr>
                    <w:t>-3</w:t>
                  </w:r>
                </w:p>
              </w:tc>
            </w:tr>
            <w:tr w14:paraId="4BD4C0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075F2207">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空气中的射程（</w:t>
                  </w:r>
                  <w:r>
                    <w:rPr>
                      <w:rFonts w:eastAsia="TimesNewRomanPSMT"/>
                      <w:b/>
                      <w:bCs w:val="0"/>
                      <w:spacing w:val="-6"/>
                      <w:sz w:val="21"/>
                      <w:szCs w:val="21"/>
                    </w:rPr>
                    <w:t>cm</w:t>
                  </w:r>
                  <w:r>
                    <w:rPr>
                      <w:b/>
                      <w:bCs w:val="0"/>
                      <w:spacing w:val="-6"/>
                      <w:sz w:val="21"/>
                      <w:szCs w:val="21"/>
                    </w:rPr>
                    <w:t>）</w:t>
                  </w:r>
                </w:p>
              </w:tc>
              <w:tc>
                <w:tcPr>
                  <w:tcW w:w="607" w:type="pct"/>
                  <w:vAlign w:val="center"/>
                </w:tcPr>
                <w:p w14:paraId="297F7CB0">
                  <w:pPr>
                    <w:keepNext w:val="0"/>
                    <w:keepLines w:val="0"/>
                    <w:pageBreakBefore w:val="0"/>
                    <w:widowControl/>
                    <w:kinsoku/>
                    <w:wordWrap/>
                    <w:overflowPunct/>
                    <w:topLinePunct w:val="0"/>
                    <w:autoSpaceDE/>
                    <w:autoSpaceDN/>
                    <w:bidi w:val="0"/>
                    <w:adjustRightInd/>
                    <w:snapToGrid/>
                    <w:spacing w:line="360" w:lineRule="exact"/>
                    <w:jc w:val="center"/>
                    <w:textAlignment w:val="auto"/>
                    <w:rPr>
                      <w:bCs/>
                      <w:spacing w:val="-6"/>
                      <w:sz w:val="21"/>
                      <w:szCs w:val="21"/>
                    </w:rPr>
                  </w:pPr>
                  <w:r>
                    <w:rPr>
                      <w:rFonts w:hint="eastAsia"/>
                      <w:sz w:val="21"/>
                      <w:szCs w:val="21"/>
                      <w:lang w:val="en-US" w:eastAsia="zh-CN"/>
                    </w:rPr>
                    <w:t>**</w:t>
                  </w:r>
                </w:p>
              </w:tc>
              <w:tc>
                <w:tcPr>
                  <w:tcW w:w="609" w:type="pct"/>
                  <w:vAlign w:val="center"/>
                </w:tcPr>
                <w:p w14:paraId="587D8C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bidi="ar"/>
                    </w:rPr>
                  </w:pPr>
                  <w:r>
                    <w:rPr>
                      <w:rFonts w:hint="eastAsia"/>
                      <w:sz w:val="21"/>
                      <w:szCs w:val="21"/>
                      <w:lang w:val="en-US" w:eastAsia="zh-CN"/>
                    </w:rPr>
                    <w:t>**</w:t>
                  </w:r>
                </w:p>
              </w:tc>
              <w:tc>
                <w:tcPr>
                  <w:tcW w:w="616" w:type="pct"/>
                  <w:shd w:val="clear" w:color="auto" w:fill="auto"/>
                  <w:vAlign w:val="center"/>
                </w:tcPr>
                <w:p w14:paraId="2A2E3D1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lang w:val="en-US" w:eastAsia="zh-CN" w:bidi="ar"/>
                    </w:rPr>
                  </w:pPr>
                  <w:r>
                    <w:rPr>
                      <w:rFonts w:hint="eastAsia"/>
                      <w:sz w:val="21"/>
                      <w:szCs w:val="21"/>
                      <w:lang w:val="en-US" w:eastAsia="zh-CN"/>
                    </w:rPr>
                    <w:t>**</w:t>
                  </w:r>
                </w:p>
              </w:tc>
              <w:tc>
                <w:tcPr>
                  <w:tcW w:w="609" w:type="pct"/>
                  <w:vAlign w:val="center"/>
                </w:tcPr>
                <w:p w14:paraId="7A9D67C2">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c>
                <w:tcPr>
                  <w:tcW w:w="595" w:type="pct"/>
                  <w:vAlign w:val="center"/>
                </w:tcPr>
                <w:p w14:paraId="5C14F87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bidi="ar"/>
                    </w:rPr>
                  </w:pPr>
                  <w:r>
                    <w:rPr>
                      <w:rFonts w:hint="eastAsia"/>
                      <w:spacing w:val="-6"/>
                      <w:sz w:val="21"/>
                      <w:szCs w:val="21"/>
                      <w:lang w:val="en-US" w:eastAsia="zh-CN" w:bidi="ar"/>
                    </w:rPr>
                    <w:t>/</w:t>
                  </w:r>
                </w:p>
              </w:tc>
              <w:tc>
                <w:tcPr>
                  <w:tcW w:w="559" w:type="pct"/>
                  <w:vAlign w:val="center"/>
                </w:tcPr>
                <w:p w14:paraId="5A78F5DC">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r>
            <w:tr w14:paraId="0EB007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77C578AA">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铅密度（</w:t>
                  </w:r>
                  <w:r>
                    <w:rPr>
                      <w:rFonts w:eastAsia="TimesNewRomanPSMT"/>
                      <w:b/>
                      <w:bCs w:val="0"/>
                      <w:spacing w:val="-6"/>
                      <w:sz w:val="21"/>
                      <w:szCs w:val="21"/>
                    </w:rPr>
                    <w:t>g/cm</w:t>
                  </w:r>
                  <w:r>
                    <w:rPr>
                      <w:b/>
                      <w:bCs w:val="0"/>
                      <w:spacing w:val="-6"/>
                      <w:sz w:val="21"/>
                      <w:szCs w:val="21"/>
                    </w:rPr>
                    <w:t>³）</w:t>
                  </w:r>
                </w:p>
              </w:tc>
              <w:tc>
                <w:tcPr>
                  <w:tcW w:w="3595" w:type="pct"/>
                  <w:gridSpan w:val="6"/>
                  <w:vAlign w:val="center"/>
                </w:tcPr>
                <w:p w14:paraId="3410F069">
                  <w:pPr>
                    <w:keepNext w:val="0"/>
                    <w:keepLines w:val="0"/>
                    <w:pageBreakBefore w:val="0"/>
                    <w:kinsoku/>
                    <w:wordWrap/>
                    <w:overflowPunct/>
                    <w:topLinePunct w:val="0"/>
                    <w:autoSpaceDE/>
                    <w:autoSpaceDN/>
                    <w:bidi w:val="0"/>
                    <w:adjustRightInd/>
                    <w:snapToGrid/>
                    <w:spacing w:line="360" w:lineRule="exact"/>
                    <w:jc w:val="center"/>
                    <w:textAlignment w:val="auto"/>
                    <w:rPr>
                      <w:bCs/>
                      <w:spacing w:val="-6"/>
                      <w:sz w:val="21"/>
                      <w:szCs w:val="21"/>
                    </w:rPr>
                  </w:pPr>
                  <w:r>
                    <w:rPr>
                      <w:bCs/>
                      <w:spacing w:val="-6"/>
                      <w:sz w:val="21"/>
                      <w:szCs w:val="21"/>
                    </w:rPr>
                    <w:t>11.34</w:t>
                  </w:r>
                </w:p>
              </w:tc>
            </w:tr>
            <w:tr w14:paraId="5AAFF6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247ED571">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铅中的射程（</w:t>
                  </w:r>
                  <w:r>
                    <w:rPr>
                      <w:rFonts w:eastAsia="TimesNewRomanPSMT"/>
                      <w:b/>
                      <w:bCs w:val="0"/>
                      <w:spacing w:val="-6"/>
                      <w:sz w:val="21"/>
                      <w:szCs w:val="21"/>
                    </w:rPr>
                    <w:t>cm</w:t>
                  </w:r>
                  <w:r>
                    <w:rPr>
                      <w:b/>
                      <w:bCs w:val="0"/>
                      <w:spacing w:val="-6"/>
                      <w:sz w:val="21"/>
                      <w:szCs w:val="21"/>
                    </w:rPr>
                    <w:t>）</w:t>
                  </w:r>
                </w:p>
              </w:tc>
              <w:tc>
                <w:tcPr>
                  <w:tcW w:w="607" w:type="pct"/>
                  <w:vAlign w:val="center"/>
                </w:tcPr>
                <w:p w14:paraId="1AAEE16E">
                  <w:pPr>
                    <w:keepNext w:val="0"/>
                    <w:keepLines w:val="0"/>
                    <w:pageBreakBefore w:val="0"/>
                    <w:widowControl/>
                    <w:kinsoku/>
                    <w:wordWrap/>
                    <w:overflowPunct/>
                    <w:topLinePunct w:val="0"/>
                    <w:autoSpaceDE/>
                    <w:autoSpaceDN/>
                    <w:bidi w:val="0"/>
                    <w:adjustRightInd/>
                    <w:snapToGrid/>
                    <w:spacing w:line="360" w:lineRule="exact"/>
                    <w:jc w:val="center"/>
                    <w:textAlignment w:val="auto"/>
                    <w:rPr>
                      <w:bCs/>
                      <w:spacing w:val="-6"/>
                      <w:sz w:val="21"/>
                      <w:szCs w:val="21"/>
                    </w:rPr>
                  </w:pPr>
                  <w:r>
                    <w:rPr>
                      <w:rFonts w:hint="eastAsia"/>
                      <w:sz w:val="21"/>
                      <w:szCs w:val="21"/>
                      <w:lang w:val="en-US" w:eastAsia="zh-CN"/>
                    </w:rPr>
                    <w:t>**</w:t>
                  </w:r>
                </w:p>
              </w:tc>
              <w:tc>
                <w:tcPr>
                  <w:tcW w:w="609" w:type="pct"/>
                  <w:vAlign w:val="center"/>
                </w:tcPr>
                <w:p w14:paraId="31D9483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bidi="ar"/>
                    </w:rPr>
                  </w:pPr>
                  <w:r>
                    <w:rPr>
                      <w:rFonts w:hint="eastAsia"/>
                      <w:sz w:val="21"/>
                      <w:szCs w:val="21"/>
                      <w:lang w:val="en-US" w:eastAsia="zh-CN"/>
                    </w:rPr>
                    <w:t>**</w:t>
                  </w:r>
                </w:p>
              </w:tc>
              <w:tc>
                <w:tcPr>
                  <w:tcW w:w="616" w:type="pct"/>
                  <w:shd w:val="clear" w:color="auto" w:fill="auto"/>
                  <w:vAlign w:val="center"/>
                </w:tcPr>
                <w:p w14:paraId="61B3493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lang w:val="en-US" w:eastAsia="zh-CN" w:bidi="ar"/>
                    </w:rPr>
                  </w:pPr>
                  <w:r>
                    <w:rPr>
                      <w:rFonts w:hint="eastAsia"/>
                      <w:sz w:val="21"/>
                      <w:szCs w:val="21"/>
                      <w:lang w:val="en-US" w:eastAsia="zh-CN"/>
                    </w:rPr>
                    <w:t>**</w:t>
                  </w:r>
                </w:p>
              </w:tc>
              <w:tc>
                <w:tcPr>
                  <w:tcW w:w="609" w:type="pct"/>
                  <w:vAlign w:val="center"/>
                </w:tcPr>
                <w:p w14:paraId="1DC9DECE">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c>
                <w:tcPr>
                  <w:tcW w:w="595" w:type="pct"/>
                  <w:vAlign w:val="center"/>
                </w:tcPr>
                <w:p w14:paraId="4417D8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bidi="ar"/>
                    </w:rPr>
                  </w:pPr>
                  <w:r>
                    <w:rPr>
                      <w:rFonts w:hint="eastAsia"/>
                      <w:spacing w:val="-6"/>
                      <w:sz w:val="21"/>
                      <w:szCs w:val="21"/>
                      <w:lang w:val="en-US" w:eastAsia="zh-CN" w:bidi="ar"/>
                    </w:rPr>
                    <w:t>/</w:t>
                  </w:r>
                </w:p>
              </w:tc>
              <w:tc>
                <w:tcPr>
                  <w:tcW w:w="559" w:type="pct"/>
                  <w:vAlign w:val="center"/>
                </w:tcPr>
                <w:p w14:paraId="43B19782">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r>
            <w:tr w14:paraId="1D05D7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240EBDBF">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铅玻璃密度（g/cm</w:t>
                  </w:r>
                  <w:r>
                    <w:rPr>
                      <w:b/>
                      <w:bCs w:val="0"/>
                      <w:spacing w:val="-6"/>
                      <w:sz w:val="21"/>
                      <w:szCs w:val="21"/>
                      <w:vertAlign w:val="superscript"/>
                    </w:rPr>
                    <w:t>3</w:t>
                  </w:r>
                  <w:r>
                    <w:rPr>
                      <w:b/>
                      <w:bCs w:val="0"/>
                      <w:spacing w:val="-6"/>
                      <w:sz w:val="21"/>
                      <w:szCs w:val="21"/>
                    </w:rPr>
                    <w:t>）</w:t>
                  </w:r>
                </w:p>
              </w:tc>
              <w:tc>
                <w:tcPr>
                  <w:tcW w:w="3595" w:type="pct"/>
                  <w:gridSpan w:val="6"/>
                  <w:vAlign w:val="center"/>
                </w:tcPr>
                <w:p w14:paraId="05847218">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4.6</w:t>
                  </w:r>
                </w:p>
              </w:tc>
            </w:tr>
            <w:tr w14:paraId="243323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36FB4C83">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铅玻璃中射程（cm）</w:t>
                  </w:r>
                </w:p>
              </w:tc>
              <w:tc>
                <w:tcPr>
                  <w:tcW w:w="607" w:type="pct"/>
                  <w:vAlign w:val="center"/>
                </w:tcPr>
                <w:p w14:paraId="483E196C">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rPr>
                  </w:pPr>
                  <w:r>
                    <w:rPr>
                      <w:rFonts w:hint="eastAsia"/>
                      <w:sz w:val="21"/>
                      <w:szCs w:val="21"/>
                      <w:lang w:val="en-US" w:eastAsia="zh-CN"/>
                    </w:rPr>
                    <w:t>**</w:t>
                  </w:r>
                </w:p>
              </w:tc>
              <w:tc>
                <w:tcPr>
                  <w:tcW w:w="609" w:type="pct"/>
                  <w:vAlign w:val="center"/>
                </w:tcPr>
                <w:p w14:paraId="14AD0A3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bidi="ar"/>
                    </w:rPr>
                  </w:pPr>
                  <w:r>
                    <w:rPr>
                      <w:rFonts w:hint="eastAsia"/>
                      <w:sz w:val="21"/>
                      <w:szCs w:val="21"/>
                      <w:lang w:val="en-US" w:eastAsia="zh-CN"/>
                    </w:rPr>
                    <w:t>**</w:t>
                  </w:r>
                </w:p>
              </w:tc>
              <w:tc>
                <w:tcPr>
                  <w:tcW w:w="616" w:type="pct"/>
                  <w:shd w:val="clear" w:color="auto" w:fill="auto"/>
                  <w:vAlign w:val="center"/>
                </w:tcPr>
                <w:p w14:paraId="6AA7EA2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lang w:val="en-US" w:eastAsia="zh-CN" w:bidi="ar"/>
                    </w:rPr>
                  </w:pPr>
                  <w:r>
                    <w:rPr>
                      <w:rFonts w:hint="eastAsia"/>
                      <w:sz w:val="21"/>
                      <w:szCs w:val="21"/>
                      <w:lang w:val="en-US" w:eastAsia="zh-CN"/>
                    </w:rPr>
                    <w:t>**</w:t>
                  </w:r>
                </w:p>
              </w:tc>
              <w:tc>
                <w:tcPr>
                  <w:tcW w:w="609" w:type="pct"/>
                  <w:vAlign w:val="center"/>
                </w:tcPr>
                <w:p w14:paraId="61C81FED">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c>
                <w:tcPr>
                  <w:tcW w:w="595" w:type="pct"/>
                  <w:vAlign w:val="center"/>
                </w:tcPr>
                <w:p w14:paraId="486CF59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bidi="ar"/>
                    </w:rPr>
                  </w:pPr>
                  <w:r>
                    <w:rPr>
                      <w:rFonts w:hint="eastAsia"/>
                      <w:sz w:val="21"/>
                      <w:szCs w:val="21"/>
                      <w:lang w:val="en-US" w:eastAsia="zh-CN" w:bidi="ar"/>
                    </w:rPr>
                    <w:t>/</w:t>
                  </w:r>
                </w:p>
              </w:tc>
              <w:tc>
                <w:tcPr>
                  <w:tcW w:w="559" w:type="pct"/>
                  <w:vAlign w:val="center"/>
                </w:tcPr>
                <w:p w14:paraId="54682FCD">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r>
            <w:tr w14:paraId="5D14F6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659352AA">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混凝土密度(g/cm</w:t>
                  </w:r>
                  <w:r>
                    <w:rPr>
                      <w:b/>
                      <w:bCs w:val="0"/>
                      <w:spacing w:val="-6"/>
                      <w:sz w:val="21"/>
                      <w:szCs w:val="21"/>
                      <w:vertAlign w:val="superscript"/>
                    </w:rPr>
                    <w:t>3</w:t>
                  </w:r>
                  <w:r>
                    <w:rPr>
                      <w:b/>
                      <w:bCs w:val="0"/>
                      <w:spacing w:val="-6"/>
                      <w:sz w:val="21"/>
                      <w:szCs w:val="21"/>
                    </w:rPr>
                    <w:t>)</w:t>
                  </w:r>
                </w:p>
              </w:tc>
              <w:tc>
                <w:tcPr>
                  <w:tcW w:w="3595" w:type="pct"/>
                  <w:gridSpan w:val="6"/>
                  <w:vAlign w:val="center"/>
                </w:tcPr>
                <w:p w14:paraId="0FC3BEFB">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2.35</w:t>
                  </w:r>
                </w:p>
              </w:tc>
            </w:tr>
            <w:tr w14:paraId="7551F4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6D116545">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混凝土中的射程（cm）</w:t>
                  </w:r>
                </w:p>
              </w:tc>
              <w:tc>
                <w:tcPr>
                  <w:tcW w:w="607" w:type="pct"/>
                  <w:vAlign w:val="center"/>
                </w:tcPr>
                <w:p w14:paraId="28EFEF93">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rPr>
                  </w:pPr>
                  <w:r>
                    <w:rPr>
                      <w:rFonts w:hint="eastAsia"/>
                      <w:sz w:val="21"/>
                      <w:szCs w:val="21"/>
                      <w:lang w:val="en-US" w:eastAsia="zh-CN"/>
                    </w:rPr>
                    <w:t>**</w:t>
                  </w:r>
                </w:p>
              </w:tc>
              <w:tc>
                <w:tcPr>
                  <w:tcW w:w="609" w:type="pct"/>
                  <w:vAlign w:val="center"/>
                </w:tcPr>
                <w:p w14:paraId="3DF483E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bidi="ar"/>
                    </w:rPr>
                  </w:pPr>
                  <w:r>
                    <w:rPr>
                      <w:rFonts w:hint="eastAsia"/>
                      <w:sz w:val="21"/>
                      <w:szCs w:val="21"/>
                      <w:lang w:val="en-US" w:eastAsia="zh-CN"/>
                    </w:rPr>
                    <w:t>**</w:t>
                  </w:r>
                </w:p>
              </w:tc>
              <w:tc>
                <w:tcPr>
                  <w:tcW w:w="616" w:type="pct"/>
                  <w:shd w:val="clear" w:color="auto" w:fill="auto"/>
                  <w:vAlign w:val="center"/>
                </w:tcPr>
                <w:p w14:paraId="7C4D476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lang w:val="en-US" w:eastAsia="zh-CN" w:bidi="ar"/>
                    </w:rPr>
                  </w:pPr>
                  <w:r>
                    <w:rPr>
                      <w:rFonts w:hint="eastAsia"/>
                      <w:sz w:val="21"/>
                      <w:szCs w:val="21"/>
                      <w:lang w:val="en-US" w:eastAsia="zh-CN"/>
                    </w:rPr>
                    <w:t>**</w:t>
                  </w:r>
                </w:p>
              </w:tc>
              <w:tc>
                <w:tcPr>
                  <w:tcW w:w="609" w:type="pct"/>
                  <w:vAlign w:val="center"/>
                </w:tcPr>
                <w:p w14:paraId="3EEFBC62">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c>
                <w:tcPr>
                  <w:tcW w:w="595" w:type="pct"/>
                  <w:vAlign w:val="center"/>
                </w:tcPr>
                <w:p w14:paraId="3742F93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eastAsia="宋体"/>
                      <w:spacing w:val="-6"/>
                      <w:sz w:val="21"/>
                      <w:szCs w:val="21"/>
                      <w:lang w:val="en-US" w:eastAsia="zh-CN" w:bidi="ar"/>
                    </w:rPr>
                  </w:pPr>
                  <w:r>
                    <w:rPr>
                      <w:rFonts w:hint="eastAsia"/>
                      <w:spacing w:val="-6"/>
                      <w:sz w:val="21"/>
                      <w:szCs w:val="21"/>
                      <w:lang w:val="en-US" w:eastAsia="zh-CN" w:bidi="ar"/>
                    </w:rPr>
                    <w:t>/</w:t>
                  </w:r>
                </w:p>
              </w:tc>
              <w:tc>
                <w:tcPr>
                  <w:tcW w:w="559" w:type="pct"/>
                  <w:vAlign w:val="center"/>
                </w:tcPr>
                <w:p w14:paraId="3DBFE0FD">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r>
                    <w:rPr>
                      <w:sz w:val="21"/>
                      <w:szCs w:val="21"/>
                      <w:lang w:bidi="ar"/>
                    </w:rPr>
                    <w:t xml:space="preserve"> </w:t>
                  </w:r>
                </w:p>
              </w:tc>
            </w:tr>
            <w:tr w14:paraId="259455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12512726">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砖墙密度(g/cm</w:t>
                  </w:r>
                  <w:r>
                    <w:rPr>
                      <w:b/>
                      <w:bCs w:val="0"/>
                      <w:spacing w:val="-6"/>
                      <w:sz w:val="21"/>
                      <w:szCs w:val="21"/>
                      <w:vertAlign w:val="superscript"/>
                    </w:rPr>
                    <w:t>3</w:t>
                  </w:r>
                  <w:r>
                    <w:rPr>
                      <w:b/>
                      <w:bCs w:val="0"/>
                      <w:spacing w:val="-6"/>
                      <w:sz w:val="21"/>
                      <w:szCs w:val="21"/>
                    </w:rPr>
                    <w:t>)</w:t>
                  </w:r>
                </w:p>
              </w:tc>
              <w:tc>
                <w:tcPr>
                  <w:tcW w:w="3595" w:type="pct"/>
                  <w:gridSpan w:val="6"/>
                  <w:vAlign w:val="center"/>
                </w:tcPr>
                <w:p w14:paraId="5E9F7C31">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rPr>
                  </w:pPr>
                  <w:r>
                    <w:rPr>
                      <w:spacing w:val="-6"/>
                      <w:sz w:val="21"/>
                      <w:szCs w:val="21"/>
                    </w:rPr>
                    <w:t>1.65</w:t>
                  </w:r>
                </w:p>
              </w:tc>
            </w:tr>
            <w:tr w14:paraId="2ECE94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4" w:type="pct"/>
                  <w:vAlign w:val="center"/>
                </w:tcPr>
                <w:p w14:paraId="563F3712">
                  <w:pPr>
                    <w:keepNext w:val="0"/>
                    <w:keepLines w:val="0"/>
                    <w:pageBreakBefore w:val="0"/>
                    <w:kinsoku/>
                    <w:wordWrap/>
                    <w:overflowPunct/>
                    <w:topLinePunct w:val="0"/>
                    <w:autoSpaceDE/>
                    <w:autoSpaceDN/>
                    <w:bidi w:val="0"/>
                    <w:adjustRightInd/>
                    <w:snapToGrid/>
                    <w:spacing w:line="360" w:lineRule="exact"/>
                    <w:jc w:val="center"/>
                    <w:textAlignment w:val="auto"/>
                    <w:rPr>
                      <w:b/>
                      <w:bCs w:val="0"/>
                      <w:spacing w:val="-6"/>
                      <w:sz w:val="21"/>
                      <w:szCs w:val="21"/>
                    </w:rPr>
                  </w:pPr>
                  <w:r>
                    <w:rPr>
                      <w:b/>
                      <w:bCs w:val="0"/>
                      <w:spacing w:val="-6"/>
                      <w:sz w:val="21"/>
                      <w:szCs w:val="21"/>
                    </w:rPr>
                    <w:t>砖墙中的射程（cm）</w:t>
                  </w:r>
                </w:p>
              </w:tc>
              <w:tc>
                <w:tcPr>
                  <w:tcW w:w="607" w:type="pct"/>
                  <w:vAlign w:val="center"/>
                </w:tcPr>
                <w:p w14:paraId="34BA3C8D">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rPr>
                  </w:pPr>
                  <w:r>
                    <w:rPr>
                      <w:rFonts w:hint="eastAsia"/>
                      <w:sz w:val="21"/>
                      <w:szCs w:val="21"/>
                      <w:lang w:val="en-US" w:eastAsia="zh-CN"/>
                    </w:rPr>
                    <w:t>**</w:t>
                  </w:r>
                </w:p>
              </w:tc>
              <w:tc>
                <w:tcPr>
                  <w:tcW w:w="609" w:type="pct"/>
                  <w:vAlign w:val="center"/>
                </w:tcPr>
                <w:p w14:paraId="11F04D5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宋体"/>
                      <w:spacing w:val="-6"/>
                      <w:sz w:val="21"/>
                      <w:szCs w:val="21"/>
                      <w:lang w:val="en-US" w:eastAsia="zh-CN" w:bidi="ar"/>
                    </w:rPr>
                  </w:pPr>
                  <w:r>
                    <w:rPr>
                      <w:rFonts w:hint="eastAsia"/>
                      <w:sz w:val="21"/>
                      <w:szCs w:val="21"/>
                      <w:lang w:val="en-US" w:eastAsia="zh-CN"/>
                    </w:rPr>
                    <w:t>**</w:t>
                  </w:r>
                </w:p>
              </w:tc>
              <w:tc>
                <w:tcPr>
                  <w:tcW w:w="616" w:type="pct"/>
                  <w:shd w:val="clear" w:color="auto" w:fill="auto"/>
                  <w:vAlign w:val="center"/>
                </w:tcPr>
                <w:p w14:paraId="5EA7847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pacing w:val="-6"/>
                      <w:sz w:val="21"/>
                      <w:szCs w:val="21"/>
                      <w:lang w:val="en-US" w:eastAsia="zh-CN" w:bidi="ar"/>
                    </w:rPr>
                  </w:pPr>
                  <w:r>
                    <w:rPr>
                      <w:rFonts w:hint="eastAsia"/>
                      <w:sz w:val="21"/>
                      <w:szCs w:val="21"/>
                      <w:lang w:val="en-US" w:eastAsia="zh-CN"/>
                    </w:rPr>
                    <w:t>**</w:t>
                  </w:r>
                </w:p>
              </w:tc>
              <w:tc>
                <w:tcPr>
                  <w:tcW w:w="609" w:type="pct"/>
                  <w:vAlign w:val="center"/>
                </w:tcPr>
                <w:p w14:paraId="071D7061">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c>
                <w:tcPr>
                  <w:tcW w:w="595" w:type="pct"/>
                  <w:vAlign w:val="center"/>
                </w:tcPr>
                <w:p w14:paraId="014B07F0">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bidi="ar"/>
                    </w:rPr>
                    <w:t>/</w:t>
                  </w:r>
                </w:p>
              </w:tc>
              <w:tc>
                <w:tcPr>
                  <w:tcW w:w="559" w:type="pct"/>
                  <w:vAlign w:val="center"/>
                </w:tcPr>
                <w:p w14:paraId="5EF08914">
                  <w:pPr>
                    <w:keepNext w:val="0"/>
                    <w:keepLines w:val="0"/>
                    <w:pageBreakBefore w:val="0"/>
                    <w:widowControl/>
                    <w:kinsoku/>
                    <w:wordWrap/>
                    <w:overflowPunct/>
                    <w:topLinePunct w:val="0"/>
                    <w:autoSpaceDE/>
                    <w:autoSpaceDN/>
                    <w:bidi w:val="0"/>
                    <w:adjustRightInd/>
                    <w:snapToGrid/>
                    <w:spacing w:line="360" w:lineRule="exact"/>
                    <w:jc w:val="center"/>
                    <w:textAlignment w:val="auto"/>
                    <w:rPr>
                      <w:spacing w:val="-6"/>
                      <w:sz w:val="21"/>
                      <w:szCs w:val="21"/>
                      <w:lang w:bidi="ar"/>
                    </w:rPr>
                  </w:pPr>
                  <w:r>
                    <w:rPr>
                      <w:rFonts w:hint="eastAsia"/>
                      <w:sz w:val="21"/>
                      <w:szCs w:val="21"/>
                      <w:lang w:val="en-US" w:eastAsia="zh-CN"/>
                    </w:rPr>
                    <w:t>**</w:t>
                  </w:r>
                </w:p>
              </w:tc>
            </w:tr>
          </w:tbl>
          <w:p w14:paraId="396625D4">
            <w:pPr>
              <w:ind w:firstLine="480"/>
            </w:pPr>
            <w:r>
              <w:t>负一层</w:t>
            </w:r>
            <w:r>
              <w:rPr>
                <w:rFonts w:hint="eastAsia"/>
                <w:lang w:val="en-US" w:eastAsia="zh-CN"/>
              </w:rPr>
              <w:t>核医学科</w:t>
            </w:r>
            <w:r>
              <w:t>辐射工作场所设置有足够的空间，放射性核素在整个过程中均采取了有效的屏蔽措施屏蔽β射线，同时在整个使用过程中职业人员还穿戴有0.5mmPb的防护铅服，且公众与放射性核素之前还采取了距离隔离措施，因此β射线对职业人员和公众辐射影响是很小的</w:t>
            </w:r>
            <w:r>
              <w:rPr>
                <w:lang w:val="pt-BR"/>
              </w:rPr>
              <w:t>，本次评价可以忽略</w:t>
            </w:r>
            <w:r>
              <w:t>。</w:t>
            </w:r>
          </w:p>
          <w:p w14:paraId="35A61F16">
            <w:pPr>
              <w:ind w:firstLine="482"/>
              <w:rPr>
                <w:b/>
              </w:rPr>
            </w:pPr>
            <w:r>
              <w:rPr>
                <w:b/>
              </w:rPr>
              <w:t>2、轫致辐射（X射线）影响分析</w:t>
            </w:r>
          </w:p>
          <w:p w14:paraId="041C9920">
            <w:pPr>
              <w:ind w:firstLine="480"/>
              <w:rPr>
                <w:sz w:val="24"/>
                <w:szCs w:val="24"/>
              </w:rPr>
            </w:pPr>
            <w:r>
              <w:rPr>
                <w:sz w:val="24"/>
                <w:szCs w:val="24"/>
              </w:rPr>
              <w:t>由于β粒子在遇到重质材料（如铅、铁等原子序数大于56的材质）屏蔽时会产生轫致辐射，因此本次评价主要考虑操作过程中有铅屏蔽时的轫致辐射影响，根据《放射卫生学》（P189），轫致辐射在空气中的吸收剂量率计算公式如下：</w:t>
            </w:r>
          </w:p>
          <w:p w14:paraId="66422D81">
            <w:pPr>
              <w:ind w:firstLine="480"/>
              <w:jc w:val="right"/>
              <w:rPr>
                <w:rFonts w:hint="eastAsia" w:eastAsia="宋体"/>
                <w:sz w:val="24"/>
                <w:szCs w:val="24"/>
                <w:lang w:val="pt-BR" w:eastAsia="zh-CN"/>
              </w:rPr>
            </w:pPr>
            <w:r>
              <w:rPr>
                <w:bCs/>
                <w:i/>
                <w:sz w:val="24"/>
                <w:szCs w:val="24"/>
                <w:lang w:val="pt-BR"/>
              </w:rPr>
              <w:t>D</w:t>
            </w:r>
            <w:r>
              <w:rPr>
                <w:bCs/>
                <w:sz w:val="24"/>
                <w:szCs w:val="24"/>
                <w:lang w:val="pt-BR"/>
              </w:rPr>
              <w:t>=1.49</w:t>
            </w:r>
            <w:r>
              <w:rPr>
                <w:sz w:val="24"/>
                <w:szCs w:val="24"/>
                <w:lang w:val="pt-BR"/>
              </w:rPr>
              <w:t>×</w:t>
            </w:r>
            <w:r>
              <w:rPr>
                <w:i/>
                <w:sz w:val="24"/>
                <w:szCs w:val="24"/>
                <w:lang w:val="pt-BR"/>
              </w:rPr>
              <w:t>A</w:t>
            </w:r>
            <w:r>
              <w:rPr>
                <w:sz w:val="24"/>
                <w:szCs w:val="24"/>
                <w:lang w:val="pt-BR"/>
              </w:rPr>
              <w:t>·</w:t>
            </w:r>
            <w:r>
              <w:rPr>
                <w:i/>
                <w:sz w:val="24"/>
                <w:szCs w:val="24"/>
                <w:lang w:val="pt-BR"/>
              </w:rPr>
              <w:t>Z</w:t>
            </w:r>
            <w:r>
              <w:rPr>
                <w:sz w:val="24"/>
                <w:szCs w:val="24"/>
                <w:lang w:val="pt-BR"/>
              </w:rPr>
              <w:t>·(</w:t>
            </w:r>
            <w:r>
              <w:rPr>
                <w:i/>
                <w:sz w:val="24"/>
                <w:szCs w:val="24"/>
                <w:lang w:val="pt-BR"/>
              </w:rPr>
              <w:t>E</w:t>
            </w:r>
            <w:r>
              <w:rPr>
                <w:sz w:val="24"/>
                <w:szCs w:val="24"/>
                <w:lang w:val="pt-BR"/>
              </w:rPr>
              <w:t>/</w:t>
            </w:r>
            <w:r>
              <w:rPr>
                <w:i/>
                <w:sz w:val="24"/>
                <w:szCs w:val="24"/>
                <w:lang w:val="pt-BR"/>
              </w:rPr>
              <w:t>r</w:t>
            </w:r>
            <w:r>
              <w:rPr>
                <w:sz w:val="24"/>
                <w:szCs w:val="24"/>
                <w:lang w:val="pt-BR"/>
              </w:rPr>
              <w:t>)</w:t>
            </w:r>
            <w:r>
              <w:rPr>
                <w:sz w:val="24"/>
                <w:szCs w:val="24"/>
                <w:vertAlign w:val="superscript"/>
                <w:lang w:val="pt-BR"/>
              </w:rPr>
              <w:t xml:space="preserve">2 </w:t>
            </w:r>
            <w:r>
              <w:rPr>
                <w:sz w:val="24"/>
                <w:szCs w:val="24"/>
                <w:lang w:val="pt-BR"/>
              </w:rPr>
              <w:t>………</w:t>
            </w:r>
            <w:r>
              <w:rPr>
                <w:sz w:val="24"/>
                <w:szCs w:val="24"/>
              </w:rPr>
              <w:t>.</w:t>
            </w:r>
            <w:r>
              <w:rPr>
                <w:sz w:val="24"/>
                <w:szCs w:val="24"/>
                <w:lang w:val="pt-BR"/>
              </w:rPr>
              <w:t>…………………</w:t>
            </w:r>
            <w:r>
              <w:rPr>
                <w:sz w:val="24"/>
                <w:szCs w:val="24"/>
              </w:rPr>
              <w:t>式</w:t>
            </w:r>
            <w:r>
              <w:rPr>
                <w:sz w:val="24"/>
                <w:szCs w:val="24"/>
                <w:lang w:val="pt-BR"/>
              </w:rPr>
              <w:t>11-</w:t>
            </w:r>
            <w:r>
              <w:rPr>
                <w:rFonts w:hint="eastAsia"/>
                <w:sz w:val="24"/>
                <w:szCs w:val="24"/>
                <w:lang w:val="en-US" w:eastAsia="zh-CN"/>
              </w:rPr>
              <w:t>2</w:t>
            </w:r>
          </w:p>
          <w:p w14:paraId="2A9F119C">
            <w:pPr>
              <w:ind w:firstLine="480"/>
              <w:jc w:val="right"/>
              <w:rPr>
                <w:rFonts w:hint="eastAsia"/>
                <w:sz w:val="24"/>
                <w:szCs w:val="24"/>
                <w:lang w:val="en-US" w:eastAsia="zh-CN"/>
              </w:rPr>
            </w:pPr>
            <w:r>
              <w:rPr>
                <w:i/>
                <w:sz w:val="24"/>
                <w:szCs w:val="24"/>
                <w:lang w:val="pt-BR"/>
              </w:rPr>
              <w:t>H</w:t>
            </w:r>
            <w:r>
              <w:rPr>
                <w:sz w:val="24"/>
                <w:szCs w:val="24"/>
                <w:lang w:val="pt-BR"/>
              </w:rPr>
              <w:t xml:space="preserve"> =</w:t>
            </w:r>
            <w:r>
              <w:rPr>
                <w:i/>
                <w:sz w:val="24"/>
                <w:szCs w:val="24"/>
                <w:lang w:val="pt-BR"/>
              </w:rPr>
              <w:t>D</w:t>
            </w:r>
            <w:r>
              <w:rPr>
                <w:sz w:val="24"/>
                <w:szCs w:val="24"/>
                <w:lang w:val="pt-BR"/>
              </w:rPr>
              <w:t>*</w:t>
            </w:r>
            <w:r>
              <w:rPr>
                <w:bCs/>
                <w:i/>
                <w:sz w:val="24"/>
                <w:szCs w:val="24"/>
                <w:lang w:val="de-DE"/>
              </w:rPr>
              <w:t>η*W</w:t>
            </w:r>
            <w:r>
              <w:rPr>
                <w:sz w:val="24"/>
                <w:szCs w:val="24"/>
                <w:lang w:val="pt-BR"/>
              </w:rPr>
              <w:t>………………………………</w:t>
            </w:r>
            <w:r>
              <w:rPr>
                <w:sz w:val="24"/>
                <w:szCs w:val="24"/>
              </w:rPr>
              <w:t>式</w:t>
            </w:r>
            <w:r>
              <w:rPr>
                <w:sz w:val="24"/>
                <w:szCs w:val="24"/>
                <w:lang w:val="pt-BR"/>
              </w:rPr>
              <w:t>11-</w:t>
            </w:r>
            <w:r>
              <w:rPr>
                <w:rFonts w:hint="eastAsia"/>
                <w:sz w:val="24"/>
                <w:szCs w:val="24"/>
                <w:lang w:val="en-US" w:eastAsia="zh-CN"/>
              </w:rPr>
              <w:t>3</w:t>
            </w:r>
          </w:p>
          <w:p w14:paraId="5DD8378C">
            <w:pPr>
              <w:ind w:firstLine="480"/>
              <w:jc w:val="right"/>
              <w:rPr>
                <w:rFonts w:hint="eastAsia" w:eastAsia="宋体"/>
                <w:sz w:val="24"/>
                <w:szCs w:val="24"/>
                <w:lang w:val="de-DE" w:eastAsia="zh-CN"/>
              </w:rPr>
            </w:pPr>
            <w:r>
              <w:rPr>
                <w:position w:val="-10"/>
              </w:rPr>
              <w:drawing>
                <wp:inline distT="0" distB="0" distL="0" distR="0">
                  <wp:extent cx="702310" cy="358140"/>
                  <wp:effectExtent l="0" t="0" r="2540" b="317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40"/>
                          <a:stretch>
                            <a:fillRect/>
                          </a:stretch>
                        </pic:blipFill>
                        <pic:spPr>
                          <a:xfrm>
                            <a:off x="0" y="0"/>
                            <a:ext cx="702310" cy="358140"/>
                          </a:xfrm>
                          <a:prstGeom prst="rect">
                            <a:avLst/>
                          </a:prstGeom>
                          <a:noFill/>
                          <a:ln>
                            <a:noFill/>
                          </a:ln>
                        </pic:spPr>
                      </pic:pic>
                    </a:graphicData>
                  </a:graphic>
                </wp:inline>
              </w:drawing>
            </w:r>
            <w:r>
              <w:rPr>
                <w:vertAlign w:val="subscript"/>
                <w:lang w:val="de-DE"/>
              </w:rPr>
              <w:t>………………………... ...………...…………</w:t>
            </w:r>
            <w:r>
              <w:rPr>
                <w:lang w:val="de-DE"/>
              </w:rPr>
              <w:t>式11</w:t>
            </w:r>
            <w:r>
              <w:t>-</w:t>
            </w:r>
            <w:r>
              <w:rPr>
                <w:rFonts w:hint="eastAsia"/>
                <w:lang w:val="en-US" w:eastAsia="zh-CN"/>
              </w:rPr>
              <w:t>4</w:t>
            </w:r>
          </w:p>
          <w:p w14:paraId="717C602B">
            <w:pPr>
              <w:ind w:firstLine="525"/>
              <w:rPr>
                <w:sz w:val="24"/>
                <w:szCs w:val="24"/>
              </w:rPr>
            </w:pPr>
            <w:r>
              <w:rPr>
                <w:sz w:val="24"/>
                <w:szCs w:val="24"/>
              </w:rPr>
              <w:t>式中</w:t>
            </w:r>
            <w:r>
              <w:rPr>
                <w:sz w:val="24"/>
                <w:szCs w:val="24"/>
                <w:lang w:val="pt-BR"/>
              </w:rPr>
              <w:t>：</w:t>
            </w:r>
            <w:r>
              <w:rPr>
                <w:i/>
                <w:sz w:val="24"/>
                <w:szCs w:val="24"/>
                <w:lang w:val="pt-BR"/>
              </w:rPr>
              <w:t>D</w:t>
            </w:r>
            <w:r>
              <w:rPr>
                <w:sz w:val="24"/>
                <w:szCs w:val="24"/>
              </w:rPr>
              <w:t>—屏蔽层中β粒子产生的轫致辐射</w:t>
            </w:r>
            <w:r>
              <w:rPr>
                <w:sz w:val="24"/>
                <w:szCs w:val="24"/>
                <w:lang w:val="pt-BR"/>
              </w:rPr>
              <w:t>在</w:t>
            </w:r>
            <w:r>
              <w:rPr>
                <w:i/>
                <w:sz w:val="24"/>
                <w:szCs w:val="24"/>
                <w:lang w:val="pt-BR"/>
              </w:rPr>
              <w:t>r</w:t>
            </w:r>
            <w:r>
              <w:rPr>
                <w:sz w:val="24"/>
                <w:szCs w:val="24"/>
                <w:lang w:val="pt-BR"/>
              </w:rPr>
              <w:t>处空气中的吸收剂量率，μ</w:t>
            </w:r>
            <w:r>
              <w:rPr>
                <w:sz w:val="24"/>
                <w:szCs w:val="24"/>
              </w:rPr>
              <w:t>Gy/h；</w:t>
            </w:r>
          </w:p>
          <w:p w14:paraId="7018D987">
            <w:pPr>
              <w:ind w:firstLine="1155"/>
              <w:rPr>
                <w:sz w:val="24"/>
                <w:szCs w:val="24"/>
              </w:rPr>
            </w:pPr>
            <w:r>
              <w:rPr>
                <w:i/>
                <w:sz w:val="24"/>
                <w:szCs w:val="24"/>
              </w:rPr>
              <w:t>A</w:t>
            </w:r>
            <w:r>
              <w:rPr>
                <w:sz w:val="24"/>
                <w:szCs w:val="24"/>
              </w:rPr>
              <w:t>—放射源活度，Ci；</w:t>
            </w:r>
          </w:p>
          <w:p w14:paraId="293F299A">
            <w:pPr>
              <w:ind w:firstLine="1155"/>
              <w:rPr>
                <w:bCs/>
                <w:sz w:val="24"/>
                <w:szCs w:val="24"/>
                <w:lang w:val="de-DE"/>
              </w:rPr>
            </w:pPr>
            <w:r>
              <w:rPr>
                <w:bCs/>
                <w:i/>
                <w:iCs/>
                <w:sz w:val="24"/>
                <w:szCs w:val="24"/>
                <w:lang w:val="de-DE"/>
              </w:rPr>
              <w:t>r</w:t>
            </w:r>
            <w:r>
              <w:rPr>
                <w:bCs/>
                <w:sz w:val="24"/>
                <w:szCs w:val="24"/>
                <w:lang w:val="de-DE"/>
              </w:rPr>
              <w:t>—参考点与辐射源间的距离，m；</w:t>
            </w:r>
          </w:p>
          <w:p w14:paraId="6737C45D">
            <w:pPr>
              <w:ind w:firstLine="1128"/>
              <w:rPr>
                <w:rFonts w:hint="eastAsia" w:eastAsia="宋体"/>
                <w:spacing w:val="-11"/>
                <w:sz w:val="24"/>
                <w:szCs w:val="24"/>
                <w:lang w:eastAsia="zh-CN"/>
              </w:rPr>
            </w:pPr>
            <w:r>
              <w:rPr>
                <w:i/>
                <w:spacing w:val="-12"/>
                <w:sz w:val="24"/>
                <w:szCs w:val="24"/>
              </w:rPr>
              <w:t>Z</w:t>
            </w:r>
            <w:r>
              <w:rPr>
                <w:spacing w:val="-12"/>
                <w:sz w:val="24"/>
                <w:szCs w:val="24"/>
              </w:rPr>
              <w:t>—电子屏蔽材料的有效原子序数，根据《辐射防护导论》表4.4查得铅有效原子序数为82</w:t>
            </w:r>
            <w:r>
              <w:rPr>
                <w:rFonts w:hint="eastAsia"/>
                <w:spacing w:val="-12"/>
                <w:sz w:val="24"/>
                <w:szCs w:val="24"/>
                <w:lang w:eastAsia="zh-CN"/>
              </w:rPr>
              <w:t>；</w:t>
            </w:r>
          </w:p>
          <w:p w14:paraId="1C9A8E80">
            <w:pPr>
              <w:ind w:firstLine="1155"/>
              <w:rPr>
                <w:sz w:val="24"/>
                <w:szCs w:val="24"/>
              </w:rPr>
            </w:pPr>
            <w:r>
              <w:rPr>
                <w:i/>
                <w:sz w:val="24"/>
                <w:szCs w:val="24"/>
              </w:rPr>
              <w:t>E</w:t>
            </w:r>
            <w:r>
              <w:rPr>
                <w:sz w:val="24"/>
                <w:szCs w:val="24"/>
              </w:rPr>
              <w:t>—保守按β粒子最大能量带入计算，轫致辐射能量为入射β粒子能量的1/3；</w:t>
            </w:r>
          </w:p>
          <w:p w14:paraId="4C176654">
            <w:pPr>
              <w:ind w:firstLine="1155"/>
              <w:rPr>
                <w:rFonts w:hint="eastAsia" w:eastAsia="宋体"/>
                <w:bCs/>
                <w:sz w:val="24"/>
                <w:szCs w:val="24"/>
                <w:lang w:val="de-DE" w:eastAsia="zh-CN"/>
              </w:rPr>
            </w:pPr>
            <w:r>
              <w:rPr>
                <w:i/>
                <w:sz w:val="24"/>
                <w:szCs w:val="24"/>
                <w:lang w:val="de-DE"/>
              </w:rPr>
              <w:t>H</w:t>
            </w:r>
            <w:r>
              <w:rPr>
                <w:bCs/>
                <w:sz w:val="24"/>
                <w:szCs w:val="24"/>
                <w:lang w:val="de-DE"/>
              </w:rPr>
              <w:t>—</w:t>
            </w:r>
            <w:r>
              <w:rPr>
                <w:sz w:val="24"/>
                <w:szCs w:val="24"/>
              </w:rPr>
              <w:t>关注点剂量当量率</w:t>
            </w:r>
            <w:r>
              <w:rPr>
                <w:bCs/>
                <w:sz w:val="24"/>
                <w:szCs w:val="24"/>
                <w:lang w:val="de-DE"/>
              </w:rPr>
              <w:t>，μSv/h</w:t>
            </w:r>
            <w:r>
              <w:rPr>
                <w:rFonts w:hint="eastAsia"/>
                <w:bCs/>
                <w:sz w:val="24"/>
                <w:szCs w:val="24"/>
                <w:lang w:val="de-DE" w:eastAsia="zh-CN"/>
              </w:rPr>
              <w:t>；</w:t>
            </w:r>
          </w:p>
          <w:p w14:paraId="0EEF7BE6">
            <w:pPr>
              <w:ind w:firstLine="1155"/>
              <w:rPr>
                <w:bCs/>
                <w:sz w:val="24"/>
                <w:szCs w:val="24"/>
                <w:lang w:val="de-DE"/>
              </w:rPr>
            </w:pPr>
            <w:r>
              <w:rPr>
                <w:bCs/>
                <w:i/>
                <w:sz w:val="24"/>
                <w:szCs w:val="24"/>
                <w:lang w:val="de-DE"/>
              </w:rPr>
              <w:t>η</w:t>
            </w:r>
            <w:r>
              <w:rPr>
                <w:bCs/>
                <w:sz w:val="24"/>
                <w:szCs w:val="24"/>
                <w:lang w:val="de-DE"/>
              </w:rPr>
              <w:t>—</w:t>
            </w:r>
            <w:r>
              <w:rPr>
                <w:sz w:val="24"/>
                <w:szCs w:val="24"/>
              </w:rPr>
              <w:t>衰减系数，无量纲</w:t>
            </w:r>
            <w:r>
              <w:rPr>
                <w:bCs/>
                <w:sz w:val="24"/>
                <w:szCs w:val="24"/>
                <w:lang w:val="de-DE"/>
              </w:rPr>
              <w:t>；</w:t>
            </w:r>
          </w:p>
          <w:p w14:paraId="2395561A">
            <w:pPr>
              <w:ind w:firstLine="1155"/>
              <w:rPr>
                <w:sz w:val="24"/>
                <w:szCs w:val="24"/>
                <w:vertAlign w:val="superscript"/>
                <w:lang w:val="pt-BR"/>
              </w:rPr>
            </w:pPr>
            <w:r>
              <w:rPr>
                <w:i/>
                <w:sz w:val="24"/>
                <w:szCs w:val="24"/>
              </w:rPr>
              <w:t>d</w:t>
            </w:r>
            <w:r>
              <w:rPr>
                <w:sz w:val="24"/>
                <w:szCs w:val="24"/>
              </w:rPr>
              <w:t>—屏蔽层厚度，</w:t>
            </w:r>
            <w:r>
              <w:rPr>
                <w:rFonts w:hint="eastAsia"/>
                <w:sz w:val="24"/>
                <w:szCs w:val="24"/>
                <w:lang w:val="en-US" w:eastAsia="zh-CN"/>
              </w:rPr>
              <w:t>c</w:t>
            </w:r>
            <w:r>
              <w:rPr>
                <w:sz w:val="24"/>
                <w:szCs w:val="24"/>
              </w:rPr>
              <w:t>m；</w:t>
            </w:r>
          </w:p>
          <w:p w14:paraId="693117E6">
            <w:pPr>
              <w:ind w:firstLine="1155"/>
              <w:rPr>
                <w:bCs/>
                <w:i/>
                <w:sz w:val="24"/>
                <w:szCs w:val="24"/>
                <w:lang w:val="de-DE"/>
              </w:rPr>
            </w:pPr>
            <w:r>
              <w:rPr>
                <w:i/>
                <w:sz w:val="24"/>
                <w:szCs w:val="24"/>
              </w:rPr>
              <w:t>TVL</w:t>
            </w:r>
            <w:r>
              <w:rPr>
                <w:sz w:val="24"/>
                <w:szCs w:val="24"/>
              </w:rPr>
              <w:t>—γ射线铅的什值层厚度，</w:t>
            </w:r>
            <w:r>
              <w:rPr>
                <w:rFonts w:hint="eastAsia"/>
                <w:sz w:val="24"/>
                <w:szCs w:val="24"/>
                <w:lang w:val="en-US" w:eastAsia="zh-CN"/>
              </w:rPr>
              <w:t>c</w:t>
            </w:r>
            <w:r>
              <w:rPr>
                <w:sz w:val="24"/>
                <w:szCs w:val="24"/>
              </w:rPr>
              <w:t>m；</w:t>
            </w:r>
          </w:p>
          <w:p w14:paraId="65CD95EB">
            <w:pPr>
              <w:ind w:firstLine="1155"/>
              <w:rPr>
                <w:sz w:val="24"/>
                <w:szCs w:val="24"/>
              </w:rPr>
            </w:pPr>
            <w:r>
              <w:rPr>
                <w:i/>
                <w:iCs/>
                <w:sz w:val="24"/>
                <w:szCs w:val="24"/>
              </w:rPr>
              <w:t>W</w:t>
            </w:r>
            <w:r>
              <w:rPr>
                <w:sz w:val="24"/>
                <w:szCs w:val="24"/>
              </w:rPr>
              <w:t>—辐射权重因子，保守取1。</w:t>
            </w:r>
          </w:p>
          <w:p w14:paraId="26C87604">
            <w:pPr>
              <w:ind w:firstLine="480"/>
              <w:rPr>
                <w:sz w:val="24"/>
                <w:szCs w:val="24"/>
              </w:rPr>
            </w:pPr>
            <w:r>
              <w:rPr>
                <w:sz w:val="24"/>
                <w:szCs w:val="24"/>
              </w:rPr>
              <w:t>负一层</w:t>
            </w:r>
            <w:r>
              <w:rPr>
                <w:rFonts w:hint="eastAsia"/>
                <w:sz w:val="24"/>
                <w:szCs w:val="24"/>
                <w:lang w:val="en-US" w:eastAsia="zh-CN"/>
              </w:rPr>
              <w:t>核医学科分装操作时</w:t>
            </w:r>
            <w:r>
              <w:rPr>
                <w:sz w:val="24"/>
                <w:szCs w:val="24"/>
              </w:rPr>
              <w:t>核素所致轫致辐射空气吸收剂量率及屏蔽体外辐射剂量当量率计算结果见表11-</w:t>
            </w:r>
            <w:r>
              <w:rPr>
                <w:rFonts w:hint="eastAsia"/>
                <w:sz w:val="24"/>
                <w:szCs w:val="24"/>
                <w:lang w:val="en-US" w:eastAsia="zh-CN"/>
              </w:rPr>
              <w:t>3</w:t>
            </w:r>
            <w:r>
              <w:rPr>
                <w:sz w:val="24"/>
                <w:szCs w:val="24"/>
              </w:rPr>
              <w:t>。</w:t>
            </w:r>
          </w:p>
          <w:p w14:paraId="29D22330">
            <w:pPr>
              <w:widowControl/>
              <w:spacing w:before="163" w:line="240" w:lineRule="auto"/>
              <w:jc w:val="center"/>
              <w:rPr>
                <w:rFonts w:eastAsia="黑体"/>
                <w:bCs/>
                <w:sz w:val="21"/>
                <w:szCs w:val="18"/>
              </w:rPr>
            </w:pPr>
            <w:r>
              <w:rPr>
                <w:rFonts w:eastAsia="黑体"/>
                <w:bCs/>
                <w:sz w:val="21"/>
                <w:szCs w:val="18"/>
              </w:rPr>
              <w:t>表11-</w:t>
            </w:r>
            <w:r>
              <w:rPr>
                <w:rFonts w:hint="eastAsia" w:eastAsia="黑体"/>
                <w:bCs/>
                <w:sz w:val="21"/>
                <w:szCs w:val="18"/>
                <w:lang w:val="en-US" w:eastAsia="zh-CN"/>
              </w:rPr>
              <w:t>3</w:t>
            </w:r>
            <w:r>
              <w:rPr>
                <w:rFonts w:eastAsia="黑体"/>
                <w:bCs/>
                <w:sz w:val="21"/>
                <w:szCs w:val="18"/>
              </w:rPr>
              <w:t xml:space="preserve">  负一层</w:t>
            </w:r>
            <w:r>
              <w:rPr>
                <w:rFonts w:hint="eastAsia" w:eastAsia="黑体"/>
                <w:bCs/>
                <w:sz w:val="21"/>
                <w:szCs w:val="18"/>
                <w:lang w:val="en-US" w:eastAsia="zh-CN"/>
              </w:rPr>
              <w:t>核医学科分装时</w:t>
            </w:r>
            <w:r>
              <w:rPr>
                <w:rFonts w:eastAsia="黑体"/>
                <w:bCs/>
                <w:sz w:val="21"/>
                <w:szCs w:val="18"/>
              </w:rPr>
              <w:t>轫致辐射空气吸收剂量率及屏蔽体外剂量率计算表</w:t>
            </w:r>
          </w:p>
          <w:tbl>
            <w:tblPr>
              <w:tblStyle w:val="57"/>
              <w:tblW w:w="4965"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981"/>
              <w:gridCol w:w="1076"/>
              <w:gridCol w:w="1113"/>
              <w:gridCol w:w="1144"/>
              <w:gridCol w:w="1087"/>
              <w:gridCol w:w="1040"/>
              <w:gridCol w:w="1071"/>
            </w:tblGrid>
            <w:tr w14:paraId="4FA1BE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237" w:type="pct"/>
                  <w:gridSpan w:val="2"/>
                  <w:vAlign w:val="center"/>
                </w:tcPr>
                <w:p w14:paraId="676EB857">
                  <w:pPr>
                    <w:spacing w:line="360" w:lineRule="exact"/>
                    <w:jc w:val="center"/>
                    <w:rPr>
                      <w:b/>
                      <w:bCs w:val="0"/>
                      <w:spacing w:val="-11"/>
                      <w:sz w:val="21"/>
                      <w:szCs w:val="21"/>
                    </w:rPr>
                  </w:pPr>
                  <w:r>
                    <w:rPr>
                      <w:b/>
                      <w:bCs w:val="0"/>
                      <w:spacing w:val="-11"/>
                      <w:sz w:val="21"/>
                      <w:szCs w:val="21"/>
                    </w:rPr>
                    <w:t>核素</w:t>
                  </w:r>
                </w:p>
              </w:tc>
              <w:tc>
                <w:tcPr>
                  <w:tcW w:w="620" w:type="pct"/>
                  <w:shd w:val="clear" w:color="auto" w:fill="auto"/>
                  <w:vAlign w:val="center"/>
                </w:tcPr>
                <w:p w14:paraId="2CB8A85F">
                  <w:pPr>
                    <w:spacing w:line="360" w:lineRule="exact"/>
                    <w:jc w:val="center"/>
                    <w:rPr>
                      <w:rFonts w:ascii="Times New Roman" w:hAnsi="Times New Roman" w:eastAsia="宋体" w:cs="Times New Roman"/>
                      <w:bCs/>
                      <w:spacing w:val="-11"/>
                      <w:sz w:val="21"/>
                      <w:szCs w:val="21"/>
                      <w:vertAlign w:val="superscript"/>
                      <w:lang w:val="en-US" w:eastAsia="zh-CN" w:bidi="ar-SA"/>
                    </w:rPr>
                  </w:pPr>
                  <w:r>
                    <w:rPr>
                      <w:spacing w:val="-11"/>
                      <w:sz w:val="21"/>
                      <w:szCs w:val="21"/>
                      <w:vertAlign w:val="superscript"/>
                    </w:rPr>
                    <w:t>18</w:t>
                  </w:r>
                  <w:r>
                    <w:rPr>
                      <w:spacing w:val="-11"/>
                      <w:sz w:val="21"/>
                      <w:szCs w:val="21"/>
                    </w:rPr>
                    <w:t>F</w:t>
                  </w:r>
                </w:p>
              </w:tc>
              <w:tc>
                <w:tcPr>
                  <w:tcW w:w="641" w:type="pct"/>
                  <w:vAlign w:val="center"/>
                </w:tcPr>
                <w:p w14:paraId="6D4987E2">
                  <w:pPr>
                    <w:spacing w:line="360" w:lineRule="exact"/>
                    <w:jc w:val="center"/>
                    <w:rPr>
                      <w:rFonts w:hint="default" w:eastAsia="宋体"/>
                      <w:bCs/>
                      <w:spacing w:val="-11"/>
                      <w:sz w:val="21"/>
                      <w:szCs w:val="21"/>
                      <w:vertAlign w:val="superscript"/>
                      <w:lang w:val="en-US" w:eastAsia="zh-CN"/>
                    </w:rPr>
                  </w:pPr>
                  <w:r>
                    <w:rPr>
                      <w:rFonts w:hint="eastAsia"/>
                      <w:bCs/>
                      <w:spacing w:val="-11"/>
                      <w:sz w:val="21"/>
                      <w:szCs w:val="21"/>
                      <w:vertAlign w:val="superscript"/>
                      <w:lang w:val="en-US" w:eastAsia="zh-CN"/>
                    </w:rPr>
                    <w:t>32</w:t>
                  </w:r>
                  <w:r>
                    <w:rPr>
                      <w:rFonts w:hint="eastAsia"/>
                      <w:bCs/>
                      <w:spacing w:val="-11"/>
                      <w:sz w:val="21"/>
                      <w:szCs w:val="21"/>
                      <w:vertAlign w:val="baseline"/>
                      <w:lang w:val="en-US" w:eastAsia="zh-CN"/>
                    </w:rPr>
                    <w:t>P</w:t>
                  </w:r>
                </w:p>
              </w:tc>
              <w:tc>
                <w:tcPr>
                  <w:tcW w:w="659" w:type="pct"/>
                  <w:shd w:val="clear" w:color="auto" w:fill="auto"/>
                  <w:vAlign w:val="center"/>
                </w:tcPr>
                <w:p w14:paraId="232FFC96">
                  <w:pPr>
                    <w:spacing w:line="360" w:lineRule="exact"/>
                    <w:jc w:val="center"/>
                    <w:rPr>
                      <w:rFonts w:ascii="Times New Roman" w:hAnsi="Times New Roman" w:eastAsia="宋体" w:cs="Times New Roman"/>
                      <w:bCs/>
                      <w:spacing w:val="-11"/>
                      <w:sz w:val="21"/>
                      <w:szCs w:val="21"/>
                      <w:vertAlign w:val="superscript"/>
                      <w:lang w:val="en-US" w:eastAsia="zh-CN" w:bidi="ar-SA"/>
                    </w:rPr>
                  </w:pPr>
                  <w:r>
                    <w:rPr>
                      <w:spacing w:val="-11"/>
                      <w:sz w:val="21"/>
                      <w:szCs w:val="21"/>
                      <w:vertAlign w:val="superscript"/>
                    </w:rPr>
                    <w:t>68</w:t>
                  </w:r>
                  <w:r>
                    <w:rPr>
                      <w:spacing w:val="-11"/>
                      <w:sz w:val="21"/>
                      <w:szCs w:val="21"/>
                    </w:rPr>
                    <w:t>Ga</w:t>
                  </w:r>
                </w:p>
              </w:tc>
              <w:tc>
                <w:tcPr>
                  <w:tcW w:w="626" w:type="pct"/>
                  <w:shd w:val="clear" w:color="auto" w:fill="auto"/>
                  <w:vAlign w:val="center"/>
                </w:tcPr>
                <w:p w14:paraId="3015D2AD">
                  <w:pPr>
                    <w:spacing w:line="360" w:lineRule="exact"/>
                    <w:jc w:val="center"/>
                    <w:rPr>
                      <w:rFonts w:ascii="Times New Roman" w:hAnsi="Times New Roman" w:eastAsia="宋体" w:cs="Times New Roman"/>
                      <w:bCs/>
                      <w:spacing w:val="-11"/>
                      <w:sz w:val="21"/>
                      <w:szCs w:val="21"/>
                      <w:vertAlign w:val="superscript"/>
                      <w:lang w:val="en-US" w:eastAsia="zh-CN" w:bidi="ar-SA"/>
                    </w:rPr>
                  </w:pPr>
                  <w:r>
                    <w:rPr>
                      <w:spacing w:val="-11"/>
                      <w:sz w:val="21"/>
                      <w:szCs w:val="21"/>
                      <w:vertAlign w:val="superscript"/>
                      <w:lang w:bidi="ar"/>
                    </w:rPr>
                    <w:t>89</w:t>
                  </w:r>
                  <w:r>
                    <w:rPr>
                      <w:rFonts w:hint="eastAsia"/>
                      <w:spacing w:val="-11"/>
                      <w:sz w:val="21"/>
                      <w:szCs w:val="21"/>
                      <w:lang w:val="en-US" w:eastAsia="zh-CN" w:bidi="ar"/>
                    </w:rPr>
                    <w:t>S</w:t>
                  </w:r>
                  <w:r>
                    <w:rPr>
                      <w:spacing w:val="-11"/>
                      <w:sz w:val="21"/>
                      <w:szCs w:val="21"/>
                      <w:lang w:bidi="ar"/>
                    </w:rPr>
                    <w:t>r</w:t>
                  </w:r>
                </w:p>
              </w:tc>
              <w:tc>
                <w:tcPr>
                  <w:tcW w:w="599" w:type="pct"/>
                  <w:vAlign w:val="center"/>
                </w:tcPr>
                <w:p w14:paraId="39C3B1AD">
                  <w:pPr>
                    <w:spacing w:line="360" w:lineRule="exact"/>
                    <w:jc w:val="center"/>
                    <w:rPr>
                      <w:bCs/>
                      <w:spacing w:val="-11"/>
                      <w:sz w:val="21"/>
                      <w:szCs w:val="21"/>
                      <w:vertAlign w:val="superscript"/>
                    </w:rPr>
                  </w:pPr>
                  <w:r>
                    <w:rPr>
                      <w:rFonts w:hint="eastAsia"/>
                      <w:spacing w:val="-6"/>
                      <w:sz w:val="21"/>
                      <w:szCs w:val="21"/>
                      <w:vertAlign w:val="superscript"/>
                      <w:lang w:val="en-US" w:eastAsia="zh-CN"/>
                    </w:rPr>
                    <w:t>99m</w:t>
                  </w:r>
                  <w:r>
                    <w:rPr>
                      <w:rFonts w:hint="eastAsia"/>
                      <w:spacing w:val="-6"/>
                      <w:sz w:val="21"/>
                      <w:szCs w:val="21"/>
                      <w:vertAlign w:val="baseline"/>
                      <w:lang w:val="en-US" w:eastAsia="zh-CN"/>
                    </w:rPr>
                    <w:t>Tc</w:t>
                  </w:r>
                </w:p>
              </w:tc>
              <w:tc>
                <w:tcPr>
                  <w:tcW w:w="615" w:type="pct"/>
                  <w:vAlign w:val="center"/>
                </w:tcPr>
                <w:p w14:paraId="30A2D079">
                  <w:pPr>
                    <w:spacing w:line="360" w:lineRule="exact"/>
                    <w:jc w:val="center"/>
                    <w:rPr>
                      <w:bCs/>
                      <w:spacing w:val="-11"/>
                      <w:sz w:val="21"/>
                      <w:szCs w:val="21"/>
                      <w:vertAlign w:val="superscript"/>
                    </w:rPr>
                  </w:pPr>
                  <w:r>
                    <w:rPr>
                      <w:rFonts w:hint="eastAsia"/>
                      <w:spacing w:val="-11"/>
                      <w:sz w:val="21"/>
                      <w:szCs w:val="21"/>
                      <w:vertAlign w:val="superscript"/>
                      <w:lang w:val="en-US" w:eastAsia="zh-CN"/>
                    </w:rPr>
                    <w:t>131</w:t>
                  </w:r>
                  <w:r>
                    <w:rPr>
                      <w:spacing w:val="-11"/>
                      <w:sz w:val="21"/>
                      <w:szCs w:val="21"/>
                      <w:lang w:bidi="ar"/>
                    </w:rPr>
                    <w:t>I</w:t>
                  </w:r>
                </w:p>
              </w:tc>
            </w:tr>
            <w:tr w14:paraId="0C66A3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237" w:type="pct"/>
                  <w:gridSpan w:val="2"/>
                  <w:vAlign w:val="center"/>
                </w:tcPr>
                <w:p w14:paraId="5AA4FCAF">
                  <w:pPr>
                    <w:spacing w:line="360" w:lineRule="exact"/>
                    <w:jc w:val="center"/>
                    <w:rPr>
                      <w:b/>
                      <w:bCs w:val="0"/>
                      <w:spacing w:val="-11"/>
                      <w:sz w:val="21"/>
                      <w:szCs w:val="21"/>
                    </w:rPr>
                  </w:pPr>
                  <w:r>
                    <w:rPr>
                      <w:b/>
                      <w:bCs w:val="0"/>
                      <w:spacing w:val="-11"/>
                      <w:sz w:val="21"/>
                      <w:szCs w:val="21"/>
                    </w:rPr>
                    <w:t>β粒子能量（MeV）</w:t>
                  </w:r>
                </w:p>
              </w:tc>
              <w:tc>
                <w:tcPr>
                  <w:tcW w:w="620" w:type="pct"/>
                  <w:shd w:val="clear" w:color="auto" w:fill="auto"/>
                  <w:vAlign w:val="center"/>
                </w:tcPr>
                <w:p w14:paraId="6170D28E">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spacing w:val="-6"/>
                      <w:sz w:val="21"/>
                      <w:szCs w:val="21"/>
                    </w:rPr>
                    <w:t>0.63</w:t>
                  </w:r>
                </w:p>
              </w:tc>
              <w:tc>
                <w:tcPr>
                  <w:tcW w:w="641" w:type="pct"/>
                  <w:shd w:val="clear" w:color="auto" w:fill="auto"/>
                  <w:vAlign w:val="center"/>
                </w:tcPr>
                <w:p w14:paraId="3766761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1.71</w:t>
                  </w:r>
                </w:p>
              </w:tc>
              <w:tc>
                <w:tcPr>
                  <w:tcW w:w="659" w:type="pct"/>
                  <w:shd w:val="clear" w:color="auto" w:fill="auto"/>
                  <w:vAlign w:val="center"/>
                </w:tcPr>
                <w:p w14:paraId="17B2E9F2">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spacing w:val="-6"/>
                      <w:sz w:val="21"/>
                      <w:szCs w:val="21"/>
                    </w:rPr>
                    <w:t>1.90</w:t>
                  </w:r>
                </w:p>
              </w:tc>
              <w:tc>
                <w:tcPr>
                  <w:tcW w:w="626" w:type="pct"/>
                  <w:shd w:val="clear" w:color="auto" w:fill="auto"/>
                  <w:vAlign w:val="center"/>
                </w:tcPr>
                <w:p w14:paraId="2F0950ED">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bCs/>
                      <w:sz w:val="21"/>
                      <w:szCs w:val="21"/>
                    </w:rPr>
                    <w:t>0.58</w:t>
                  </w:r>
                </w:p>
              </w:tc>
              <w:tc>
                <w:tcPr>
                  <w:tcW w:w="599" w:type="pct"/>
                  <w:shd w:val="clear" w:color="auto" w:fill="auto"/>
                  <w:vAlign w:val="center"/>
                </w:tcPr>
                <w:p w14:paraId="52E65E6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w:t>
                  </w:r>
                </w:p>
              </w:tc>
              <w:tc>
                <w:tcPr>
                  <w:tcW w:w="615" w:type="pct"/>
                  <w:shd w:val="clear" w:color="auto" w:fill="auto"/>
                  <w:vAlign w:val="center"/>
                </w:tcPr>
                <w:p w14:paraId="2FB3D6E7">
                  <w:pPr>
                    <w:keepNext w:val="0"/>
                    <w:keepLines w:val="0"/>
                    <w:pageBreakBefore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spacing w:val="-6"/>
                      <w:sz w:val="21"/>
                      <w:szCs w:val="21"/>
                    </w:rPr>
                    <w:t>0.602</w:t>
                  </w:r>
                </w:p>
              </w:tc>
            </w:tr>
            <w:tr w14:paraId="0863E3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237" w:type="pct"/>
                  <w:gridSpan w:val="2"/>
                  <w:vAlign w:val="center"/>
                </w:tcPr>
                <w:p w14:paraId="0FA8540A">
                  <w:pPr>
                    <w:spacing w:line="360" w:lineRule="exact"/>
                    <w:jc w:val="center"/>
                    <w:rPr>
                      <w:b/>
                      <w:bCs w:val="0"/>
                      <w:spacing w:val="-11"/>
                      <w:sz w:val="21"/>
                      <w:szCs w:val="21"/>
                    </w:rPr>
                  </w:pPr>
                  <w:r>
                    <w:rPr>
                      <w:b/>
                      <w:bCs w:val="0"/>
                      <w:spacing w:val="-11"/>
                      <w:sz w:val="21"/>
                      <w:szCs w:val="21"/>
                    </w:rPr>
                    <w:t>轫致辐射能量（MV）</w:t>
                  </w:r>
                </w:p>
              </w:tc>
              <w:tc>
                <w:tcPr>
                  <w:tcW w:w="620" w:type="pct"/>
                  <w:shd w:val="clear" w:color="auto" w:fill="auto"/>
                  <w:vAlign w:val="center"/>
                </w:tcPr>
                <w:p w14:paraId="2502004A">
                  <w:pPr>
                    <w:widowControl/>
                    <w:spacing w:line="360" w:lineRule="exact"/>
                    <w:jc w:val="center"/>
                    <w:rPr>
                      <w:rFonts w:ascii="Times New Roman" w:hAnsi="Times New Roman" w:eastAsia="宋体" w:cs="Times New Roman"/>
                      <w:spacing w:val="-11"/>
                      <w:sz w:val="21"/>
                      <w:szCs w:val="21"/>
                      <w:lang w:val="en-US" w:eastAsia="zh-CN" w:bidi="ar"/>
                    </w:rPr>
                  </w:pPr>
                  <w:r>
                    <w:rPr>
                      <w:spacing w:val="-11"/>
                      <w:sz w:val="21"/>
                      <w:szCs w:val="21"/>
                      <w:lang w:bidi="ar"/>
                    </w:rPr>
                    <w:t xml:space="preserve">0.21 </w:t>
                  </w:r>
                </w:p>
              </w:tc>
              <w:tc>
                <w:tcPr>
                  <w:tcW w:w="641" w:type="pct"/>
                  <w:vAlign w:val="center"/>
                </w:tcPr>
                <w:p w14:paraId="6CF9DB8A">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0.57</w:t>
                  </w:r>
                </w:p>
              </w:tc>
              <w:tc>
                <w:tcPr>
                  <w:tcW w:w="659" w:type="pct"/>
                  <w:shd w:val="clear" w:color="auto" w:fill="auto"/>
                  <w:vAlign w:val="center"/>
                </w:tcPr>
                <w:p w14:paraId="48A002C6">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lang w:val="en-US" w:eastAsia="zh-CN"/>
                    </w:rPr>
                  </w:pPr>
                  <w:r>
                    <w:rPr>
                      <w:rFonts w:hint="eastAsia"/>
                      <w:spacing w:val="-6"/>
                      <w:sz w:val="21"/>
                      <w:szCs w:val="21"/>
                      <w:lang w:val="en-US" w:eastAsia="zh-CN"/>
                    </w:rPr>
                    <w:t>0.63</w:t>
                  </w:r>
                </w:p>
              </w:tc>
              <w:tc>
                <w:tcPr>
                  <w:tcW w:w="626" w:type="pct"/>
                  <w:shd w:val="clear" w:color="auto" w:fill="auto"/>
                  <w:vAlign w:val="center"/>
                </w:tcPr>
                <w:p w14:paraId="2C26E778">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lang w:val="en-US" w:eastAsia="zh-CN"/>
                    </w:rPr>
                  </w:pPr>
                  <w:r>
                    <w:rPr>
                      <w:rFonts w:hint="eastAsia"/>
                      <w:spacing w:val="-6"/>
                      <w:sz w:val="21"/>
                      <w:szCs w:val="21"/>
                      <w:lang w:val="en-US" w:eastAsia="zh-CN"/>
                    </w:rPr>
                    <w:t>0.19</w:t>
                  </w:r>
                </w:p>
              </w:tc>
              <w:tc>
                <w:tcPr>
                  <w:tcW w:w="599" w:type="pct"/>
                  <w:vAlign w:val="center"/>
                </w:tcPr>
                <w:p w14:paraId="30759578">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w:t>
                  </w:r>
                </w:p>
              </w:tc>
              <w:tc>
                <w:tcPr>
                  <w:tcW w:w="615" w:type="pct"/>
                  <w:vAlign w:val="center"/>
                </w:tcPr>
                <w:p w14:paraId="42F49215">
                  <w:pPr>
                    <w:keepNext w:val="0"/>
                    <w:keepLines w:val="0"/>
                    <w:pageBreakBefore w:val="0"/>
                    <w:kinsoku/>
                    <w:wordWrap/>
                    <w:overflowPunct/>
                    <w:topLinePunct w:val="0"/>
                    <w:autoSpaceDE/>
                    <w:autoSpaceDN/>
                    <w:bidi w:val="0"/>
                    <w:adjustRightInd/>
                    <w:snapToGrid/>
                    <w:spacing w:line="360" w:lineRule="exact"/>
                    <w:jc w:val="center"/>
                    <w:textAlignment w:val="auto"/>
                    <w:rPr>
                      <w:spacing w:val="-6"/>
                      <w:sz w:val="21"/>
                      <w:szCs w:val="21"/>
                    </w:rPr>
                  </w:pPr>
                  <w:r>
                    <w:rPr>
                      <w:rFonts w:hint="eastAsia"/>
                      <w:spacing w:val="-6"/>
                      <w:sz w:val="21"/>
                      <w:szCs w:val="21"/>
                      <w:lang w:val="en-US" w:eastAsia="zh-CN"/>
                    </w:rPr>
                    <w:t>0.20</w:t>
                  </w:r>
                </w:p>
              </w:tc>
            </w:tr>
            <w:tr w14:paraId="5AD173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72" w:type="pct"/>
                  <w:vMerge w:val="restart"/>
                  <w:vAlign w:val="center"/>
                </w:tcPr>
                <w:p w14:paraId="6E639CEE">
                  <w:pPr>
                    <w:spacing w:line="360" w:lineRule="exact"/>
                    <w:jc w:val="center"/>
                    <w:rPr>
                      <w:b/>
                      <w:bCs w:val="0"/>
                      <w:spacing w:val="-11"/>
                      <w:sz w:val="21"/>
                      <w:szCs w:val="21"/>
                    </w:rPr>
                  </w:pPr>
                  <w:r>
                    <w:rPr>
                      <w:b/>
                      <w:bCs w:val="0"/>
                      <w:spacing w:val="-11"/>
                      <w:sz w:val="21"/>
                      <w:szCs w:val="21"/>
                    </w:rPr>
                    <w:t>操作活度</w:t>
                  </w:r>
                </w:p>
              </w:tc>
              <w:tc>
                <w:tcPr>
                  <w:tcW w:w="565" w:type="pct"/>
                  <w:vAlign w:val="center"/>
                </w:tcPr>
                <w:p w14:paraId="539A5D4A">
                  <w:pPr>
                    <w:spacing w:line="360" w:lineRule="exact"/>
                    <w:jc w:val="center"/>
                    <w:rPr>
                      <w:b/>
                      <w:bCs w:val="0"/>
                      <w:spacing w:val="-11"/>
                      <w:sz w:val="21"/>
                      <w:szCs w:val="21"/>
                    </w:rPr>
                  </w:pPr>
                  <w:r>
                    <w:rPr>
                      <w:b/>
                      <w:bCs w:val="0"/>
                      <w:spacing w:val="-11"/>
                      <w:sz w:val="21"/>
                      <w:szCs w:val="21"/>
                    </w:rPr>
                    <w:t>（Bq）</w:t>
                  </w:r>
                </w:p>
              </w:tc>
              <w:tc>
                <w:tcPr>
                  <w:tcW w:w="620" w:type="pct"/>
                  <w:shd w:val="clear" w:color="auto" w:fill="auto"/>
                  <w:vAlign w:val="center"/>
                </w:tcPr>
                <w:p w14:paraId="4AE727AB">
                  <w:pPr>
                    <w:widowControl/>
                    <w:spacing w:line="360" w:lineRule="exact"/>
                    <w:jc w:val="center"/>
                    <w:rPr>
                      <w:rFonts w:hint="default" w:ascii="Times New Roman" w:hAnsi="Times New Roman" w:eastAsia="宋体" w:cs="Times New Roman"/>
                      <w:spacing w:val="-11"/>
                      <w:sz w:val="21"/>
                      <w:szCs w:val="21"/>
                      <w:lang w:val="en-US" w:eastAsia="zh-CN" w:bidi="ar"/>
                    </w:rPr>
                  </w:pPr>
                  <w:r>
                    <w:rPr>
                      <w:rFonts w:hint="eastAsia" w:cs="Times New Roman"/>
                      <w:spacing w:val="-11"/>
                      <w:sz w:val="21"/>
                      <w:szCs w:val="21"/>
                      <w:lang w:val="en-US" w:eastAsia="zh-CN" w:bidi="ar"/>
                    </w:rPr>
                    <w:t>1.11E+09</w:t>
                  </w:r>
                </w:p>
              </w:tc>
              <w:tc>
                <w:tcPr>
                  <w:tcW w:w="641" w:type="pct"/>
                  <w:vAlign w:val="center"/>
                </w:tcPr>
                <w:p w14:paraId="5FB06D85">
                  <w:pPr>
                    <w:widowControl/>
                    <w:spacing w:line="360" w:lineRule="exact"/>
                    <w:jc w:val="center"/>
                    <w:rPr>
                      <w:bCs/>
                      <w:spacing w:val="-11"/>
                      <w:sz w:val="21"/>
                      <w:szCs w:val="21"/>
                    </w:rPr>
                  </w:pPr>
                  <w:r>
                    <w:rPr>
                      <w:rFonts w:hint="default" w:ascii="Times New Roman" w:hAnsi="Times New Roman" w:eastAsia="宋体" w:cs="Times New Roman"/>
                      <w:i w:val="0"/>
                      <w:iCs w:val="0"/>
                      <w:color w:val="000000"/>
                      <w:kern w:val="0"/>
                      <w:sz w:val="21"/>
                      <w:szCs w:val="21"/>
                      <w:u w:val="none"/>
                      <w:lang w:val="en-US" w:eastAsia="zh-CN" w:bidi="ar"/>
                    </w:rPr>
                    <w:t>1.11E+07</w:t>
                  </w:r>
                </w:p>
              </w:tc>
              <w:tc>
                <w:tcPr>
                  <w:tcW w:w="659" w:type="pct"/>
                  <w:shd w:val="clear" w:color="auto" w:fill="auto"/>
                  <w:vAlign w:val="center"/>
                </w:tcPr>
                <w:p w14:paraId="6754CC74">
                  <w:pPr>
                    <w:widowControl/>
                    <w:spacing w:line="360" w:lineRule="exact"/>
                    <w:jc w:val="center"/>
                    <w:rPr>
                      <w:rFonts w:ascii="Times New Roman" w:hAnsi="Times New Roman" w:eastAsia="宋体" w:cs="Times New Roman"/>
                      <w:spacing w:val="-11"/>
                      <w:sz w:val="21"/>
                      <w:szCs w:val="21"/>
                      <w:lang w:val="en-US" w:eastAsia="zh-CN" w:bidi="ar"/>
                    </w:rPr>
                  </w:pPr>
                  <w:r>
                    <w:rPr>
                      <w:rFonts w:hint="eastAsia" w:ascii="Times New Roman" w:hAnsi="Times New Roman" w:cs="Times New Roman"/>
                      <w:color w:val="auto"/>
                      <w:spacing w:val="-3"/>
                      <w:sz w:val="21"/>
                      <w:szCs w:val="21"/>
                      <w:lang w:val="en-US" w:eastAsia="zh-CN"/>
                    </w:rPr>
                    <w:t>5.55E+08</w:t>
                  </w:r>
                </w:p>
              </w:tc>
              <w:tc>
                <w:tcPr>
                  <w:tcW w:w="626" w:type="pct"/>
                  <w:shd w:val="clear" w:color="auto" w:fill="auto"/>
                  <w:vAlign w:val="center"/>
                </w:tcPr>
                <w:p w14:paraId="7EB33D06">
                  <w:pPr>
                    <w:widowControl/>
                    <w:spacing w:line="360" w:lineRule="exact"/>
                    <w:jc w:val="center"/>
                    <w:rPr>
                      <w:rFonts w:ascii="Times New Roman" w:hAnsi="Times New Roman" w:eastAsia="宋体" w:cs="Times New Roman"/>
                      <w:spacing w:val="-11"/>
                      <w:sz w:val="21"/>
                      <w:szCs w:val="21"/>
                      <w:lang w:val="en-US" w:eastAsia="zh-CN" w:bidi="ar"/>
                    </w:rPr>
                  </w:pPr>
                  <w:r>
                    <w:rPr>
                      <w:rFonts w:hint="eastAsia" w:ascii="Times New Roman" w:hAnsi="Times New Roman" w:cs="Times New Roman"/>
                      <w:color w:val="auto"/>
                      <w:spacing w:val="-3"/>
                      <w:sz w:val="21"/>
                      <w:szCs w:val="21"/>
                      <w:lang w:val="en-US" w:eastAsia="zh-CN"/>
                    </w:rPr>
                    <w:t>4.44E+08</w:t>
                  </w:r>
                </w:p>
              </w:tc>
              <w:tc>
                <w:tcPr>
                  <w:tcW w:w="599" w:type="pct"/>
                  <w:vAlign w:val="center"/>
                </w:tcPr>
                <w:p w14:paraId="27E9E8F7">
                  <w:pPr>
                    <w:widowControl/>
                    <w:spacing w:line="360" w:lineRule="exact"/>
                    <w:jc w:val="center"/>
                    <w:rPr>
                      <w:rFonts w:hint="eastAsia" w:eastAsia="宋体"/>
                      <w:spacing w:val="-11"/>
                      <w:sz w:val="21"/>
                      <w:szCs w:val="21"/>
                      <w:lang w:val="en-US" w:eastAsia="zh-CN" w:bidi="ar"/>
                    </w:rPr>
                  </w:pPr>
                  <w:r>
                    <w:rPr>
                      <w:rFonts w:hint="eastAsia" w:ascii="Times New Roman" w:hAnsi="Times New Roman" w:cs="Times New Roman"/>
                      <w:color w:val="auto"/>
                      <w:spacing w:val="-3"/>
                      <w:sz w:val="21"/>
                      <w:szCs w:val="21"/>
                      <w:lang w:val="en-US" w:eastAsia="zh-CN"/>
                    </w:rPr>
                    <w:t>2.22E+09</w:t>
                  </w:r>
                </w:p>
              </w:tc>
              <w:tc>
                <w:tcPr>
                  <w:tcW w:w="615" w:type="pct"/>
                  <w:vAlign w:val="center"/>
                </w:tcPr>
                <w:p w14:paraId="359B66C6">
                  <w:pPr>
                    <w:widowControl/>
                    <w:spacing w:line="360" w:lineRule="exact"/>
                    <w:jc w:val="center"/>
                    <w:rPr>
                      <w:spacing w:val="-11"/>
                      <w:sz w:val="21"/>
                      <w:szCs w:val="21"/>
                      <w:lang w:bidi="ar"/>
                    </w:rPr>
                  </w:pPr>
                  <w:r>
                    <w:rPr>
                      <w:rFonts w:hint="eastAsia" w:ascii="Times New Roman" w:hAnsi="Times New Roman" w:cs="Times New Roman"/>
                      <w:color w:val="auto"/>
                      <w:spacing w:val="-3"/>
                      <w:sz w:val="21"/>
                      <w:szCs w:val="21"/>
                      <w:lang w:val="en-US" w:eastAsia="zh-CN"/>
                    </w:rPr>
                    <w:t>2.22E+09</w:t>
                  </w:r>
                </w:p>
              </w:tc>
            </w:tr>
            <w:tr w14:paraId="2A7943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72" w:type="pct"/>
                  <w:vMerge w:val="continue"/>
                  <w:vAlign w:val="center"/>
                </w:tcPr>
                <w:p w14:paraId="52E0A020">
                  <w:pPr>
                    <w:widowControl/>
                    <w:spacing w:line="360" w:lineRule="exact"/>
                    <w:jc w:val="center"/>
                    <w:rPr>
                      <w:b/>
                      <w:bCs w:val="0"/>
                      <w:spacing w:val="-11"/>
                      <w:sz w:val="21"/>
                      <w:szCs w:val="21"/>
                    </w:rPr>
                  </w:pPr>
                </w:p>
              </w:tc>
              <w:tc>
                <w:tcPr>
                  <w:tcW w:w="565" w:type="pct"/>
                  <w:vAlign w:val="center"/>
                </w:tcPr>
                <w:p w14:paraId="1F2D226A">
                  <w:pPr>
                    <w:spacing w:line="360" w:lineRule="exact"/>
                    <w:jc w:val="center"/>
                    <w:rPr>
                      <w:b/>
                      <w:bCs w:val="0"/>
                      <w:spacing w:val="-11"/>
                      <w:sz w:val="21"/>
                      <w:szCs w:val="21"/>
                    </w:rPr>
                  </w:pPr>
                  <w:r>
                    <w:rPr>
                      <w:b/>
                      <w:bCs w:val="0"/>
                      <w:spacing w:val="-11"/>
                      <w:sz w:val="21"/>
                      <w:szCs w:val="21"/>
                    </w:rPr>
                    <w:t>（Ci）</w:t>
                  </w:r>
                </w:p>
              </w:tc>
              <w:tc>
                <w:tcPr>
                  <w:tcW w:w="620" w:type="pct"/>
                  <w:shd w:val="clear" w:color="auto" w:fill="auto"/>
                  <w:vAlign w:val="center"/>
                </w:tcPr>
                <w:p w14:paraId="7325CD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Cs/>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3.00E-02</w:t>
                  </w:r>
                </w:p>
              </w:tc>
              <w:tc>
                <w:tcPr>
                  <w:tcW w:w="641" w:type="pct"/>
                  <w:vAlign w:val="center"/>
                </w:tcPr>
                <w:p w14:paraId="568FDA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eastAsia="宋体"/>
                      <w:bCs/>
                      <w:spacing w:val="-11"/>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3.00E-04</w:t>
                  </w:r>
                </w:p>
              </w:tc>
              <w:tc>
                <w:tcPr>
                  <w:tcW w:w="659" w:type="pct"/>
                  <w:shd w:val="clear" w:color="auto" w:fill="auto"/>
                  <w:vAlign w:val="center"/>
                </w:tcPr>
                <w:p w14:paraId="1FFE1F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Times New Roman" w:hAnsi="Times New Roman" w:eastAsia="宋体" w:cs="Times New Roman"/>
                      <w:bCs/>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1.50E-02</w:t>
                  </w:r>
                </w:p>
              </w:tc>
              <w:tc>
                <w:tcPr>
                  <w:tcW w:w="626" w:type="pct"/>
                  <w:shd w:val="clear" w:color="auto" w:fill="auto"/>
                  <w:vAlign w:val="center"/>
                </w:tcPr>
                <w:p w14:paraId="21F0DD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Times New Roman" w:hAnsi="Times New Roman" w:eastAsia="宋体" w:cs="Times New Roman"/>
                      <w:bCs/>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1.20E-02</w:t>
                  </w:r>
                </w:p>
              </w:tc>
              <w:tc>
                <w:tcPr>
                  <w:tcW w:w="599" w:type="pct"/>
                  <w:vAlign w:val="center"/>
                </w:tcPr>
                <w:p w14:paraId="433C1D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eastAsia="宋体"/>
                      <w:bCs/>
                      <w:spacing w:val="-11"/>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6.00E-02</w:t>
                  </w:r>
                </w:p>
              </w:tc>
              <w:tc>
                <w:tcPr>
                  <w:tcW w:w="615" w:type="pct"/>
                  <w:vAlign w:val="center"/>
                </w:tcPr>
                <w:p w14:paraId="69D9B2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eastAsia="宋体"/>
                      <w:bCs/>
                      <w:spacing w:val="-11"/>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6.00E-02</w:t>
                  </w:r>
                </w:p>
              </w:tc>
            </w:tr>
            <w:tr w14:paraId="0517AC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237" w:type="pct"/>
                  <w:gridSpan w:val="2"/>
                  <w:vAlign w:val="center"/>
                </w:tcPr>
                <w:p w14:paraId="0A5BF157">
                  <w:pPr>
                    <w:spacing w:line="360" w:lineRule="exact"/>
                    <w:jc w:val="center"/>
                    <w:rPr>
                      <w:rFonts w:hint="default" w:eastAsia="宋体"/>
                      <w:b/>
                      <w:bCs w:val="0"/>
                      <w:spacing w:val="-11"/>
                      <w:sz w:val="21"/>
                      <w:szCs w:val="21"/>
                      <w:lang w:val="en-US" w:eastAsia="zh-CN"/>
                    </w:rPr>
                  </w:pPr>
                  <w:r>
                    <w:rPr>
                      <w:rFonts w:hint="eastAsia"/>
                      <w:b/>
                      <w:bCs w:val="0"/>
                      <w:spacing w:val="-11"/>
                      <w:sz w:val="21"/>
                      <w:szCs w:val="21"/>
                      <w:lang w:val="en-US" w:eastAsia="zh-CN"/>
                    </w:rPr>
                    <w:t>操作位与源距离（m）</w:t>
                  </w:r>
                </w:p>
              </w:tc>
              <w:tc>
                <w:tcPr>
                  <w:tcW w:w="3762" w:type="pct"/>
                  <w:gridSpan w:val="6"/>
                  <w:shd w:val="clear" w:color="auto" w:fill="auto"/>
                  <w:vAlign w:val="center"/>
                </w:tcPr>
                <w:p w14:paraId="19E3D5AA">
                  <w:pPr>
                    <w:widowControl/>
                    <w:spacing w:line="360" w:lineRule="exact"/>
                    <w:jc w:val="center"/>
                    <w:rPr>
                      <w:rFonts w:hint="default" w:eastAsia="宋体"/>
                      <w:bCs/>
                      <w:spacing w:val="-11"/>
                      <w:sz w:val="21"/>
                      <w:szCs w:val="21"/>
                      <w:lang w:val="en-US" w:eastAsia="zh-CN"/>
                    </w:rPr>
                  </w:pPr>
                  <w:r>
                    <w:rPr>
                      <w:rFonts w:hint="eastAsia"/>
                      <w:bCs/>
                      <w:spacing w:val="-11"/>
                      <w:sz w:val="21"/>
                      <w:szCs w:val="21"/>
                      <w:lang w:val="en-US" w:eastAsia="zh-CN"/>
                    </w:rPr>
                    <w:t>0.5</w:t>
                  </w:r>
                </w:p>
              </w:tc>
            </w:tr>
            <w:tr w14:paraId="4C06B2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237" w:type="pct"/>
                  <w:gridSpan w:val="2"/>
                  <w:vAlign w:val="center"/>
                </w:tcPr>
                <w:p w14:paraId="40A79DC7">
                  <w:pPr>
                    <w:spacing w:line="360" w:lineRule="exact"/>
                    <w:jc w:val="center"/>
                    <w:rPr>
                      <w:b/>
                      <w:bCs w:val="0"/>
                      <w:spacing w:val="-11"/>
                      <w:sz w:val="21"/>
                      <w:szCs w:val="21"/>
                    </w:rPr>
                  </w:pPr>
                  <w:r>
                    <w:rPr>
                      <w:b/>
                      <w:bCs w:val="0"/>
                      <w:spacing w:val="-11"/>
                      <w:sz w:val="21"/>
                      <w:szCs w:val="21"/>
                    </w:rPr>
                    <w:t>屏蔽前空气吸收剂量率（</w:t>
                  </w:r>
                  <w:r>
                    <w:rPr>
                      <w:rFonts w:hint="default" w:ascii="Times New Roman" w:hAnsi="Times New Roman" w:cs="Times New Roman"/>
                      <w:b/>
                      <w:bCs w:val="0"/>
                      <w:spacing w:val="-11"/>
                      <w:sz w:val="21"/>
                      <w:szCs w:val="21"/>
                      <w:lang w:val="en-US" w:eastAsia="zh-CN"/>
                    </w:rPr>
                    <w:t>μ</w:t>
                  </w:r>
                  <w:r>
                    <w:rPr>
                      <w:b/>
                      <w:bCs w:val="0"/>
                      <w:spacing w:val="-11"/>
                      <w:sz w:val="21"/>
                      <w:szCs w:val="21"/>
                    </w:rPr>
                    <w:t>Gy/h）</w:t>
                  </w:r>
                </w:p>
              </w:tc>
              <w:tc>
                <w:tcPr>
                  <w:tcW w:w="620" w:type="pct"/>
                  <w:shd w:val="clear" w:color="auto" w:fill="auto"/>
                  <w:vAlign w:val="center"/>
                </w:tcPr>
                <w:p w14:paraId="7F498F1A">
                  <w:pPr>
                    <w:widowControl/>
                    <w:spacing w:line="360" w:lineRule="exact"/>
                    <w:jc w:val="center"/>
                    <w:rPr>
                      <w:rFonts w:hint="default" w:ascii="Times New Roman" w:hAnsi="Times New Roman" w:eastAsia="宋体" w:cs="Times New Roman"/>
                      <w:spacing w:val="-11"/>
                      <w:sz w:val="21"/>
                      <w:szCs w:val="21"/>
                      <w:lang w:val="en-US" w:eastAsia="zh-CN" w:bidi="ar"/>
                    </w:rPr>
                  </w:pPr>
                  <w:r>
                    <w:rPr>
                      <w:rFonts w:hint="eastAsia" w:ascii="Times New Roman" w:hAnsi="Times New Roman" w:eastAsia="宋体" w:cs="Times New Roman"/>
                      <w:spacing w:val="-11"/>
                      <w:sz w:val="21"/>
                      <w:szCs w:val="21"/>
                      <w:lang w:val="en-US" w:eastAsia="zh-CN" w:bidi="ar"/>
                    </w:rPr>
                    <w:t>0.65</w:t>
                  </w:r>
                </w:p>
              </w:tc>
              <w:tc>
                <w:tcPr>
                  <w:tcW w:w="641" w:type="pct"/>
                  <w:vAlign w:val="center"/>
                </w:tcPr>
                <w:p w14:paraId="4FBE2033">
                  <w:pPr>
                    <w:widowControl/>
                    <w:spacing w:line="360" w:lineRule="exact"/>
                    <w:jc w:val="center"/>
                    <w:rPr>
                      <w:rFonts w:hint="eastAsia" w:ascii="Times New Roman" w:hAnsi="Times New Roman" w:eastAsia="宋体" w:cs="Times New Roman"/>
                      <w:spacing w:val="-11"/>
                      <w:sz w:val="21"/>
                      <w:szCs w:val="21"/>
                      <w:lang w:val="en-US" w:eastAsia="zh-CN" w:bidi="ar"/>
                    </w:rPr>
                  </w:pPr>
                  <w:r>
                    <w:rPr>
                      <w:rFonts w:hint="eastAsia" w:ascii="Times New Roman" w:hAnsi="Times New Roman" w:eastAsia="宋体" w:cs="Times New Roman"/>
                      <w:spacing w:val="-11"/>
                      <w:sz w:val="21"/>
                      <w:szCs w:val="21"/>
                      <w:lang w:val="en-US" w:eastAsia="zh-CN" w:bidi="ar"/>
                    </w:rPr>
                    <w:t>0.05</w:t>
                  </w:r>
                </w:p>
              </w:tc>
              <w:tc>
                <w:tcPr>
                  <w:tcW w:w="659" w:type="pct"/>
                  <w:shd w:val="clear" w:color="auto" w:fill="auto"/>
                  <w:vAlign w:val="center"/>
                </w:tcPr>
                <w:p w14:paraId="54370E2E">
                  <w:pPr>
                    <w:widowControl/>
                    <w:spacing w:line="360" w:lineRule="exact"/>
                    <w:jc w:val="center"/>
                    <w:rPr>
                      <w:rFonts w:hint="eastAsia" w:ascii="Times New Roman" w:hAnsi="Times New Roman" w:eastAsia="宋体" w:cs="Times New Roman"/>
                      <w:spacing w:val="-11"/>
                      <w:sz w:val="21"/>
                      <w:szCs w:val="21"/>
                      <w:lang w:val="en-US" w:eastAsia="zh-CN" w:bidi="ar"/>
                    </w:rPr>
                  </w:pPr>
                  <w:r>
                    <w:rPr>
                      <w:rFonts w:hint="eastAsia" w:ascii="Times New Roman" w:hAnsi="Times New Roman" w:eastAsia="宋体" w:cs="Times New Roman"/>
                      <w:spacing w:val="-11"/>
                      <w:sz w:val="21"/>
                      <w:szCs w:val="21"/>
                      <w:lang w:val="en-US" w:eastAsia="zh-CN" w:bidi="ar"/>
                    </w:rPr>
                    <w:t>2.91</w:t>
                  </w:r>
                </w:p>
              </w:tc>
              <w:tc>
                <w:tcPr>
                  <w:tcW w:w="626" w:type="pct"/>
                  <w:shd w:val="clear" w:color="auto" w:fill="auto"/>
                  <w:vAlign w:val="center"/>
                </w:tcPr>
                <w:p w14:paraId="4D205E21">
                  <w:pPr>
                    <w:widowControl/>
                    <w:spacing w:line="360" w:lineRule="exact"/>
                    <w:jc w:val="center"/>
                    <w:rPr>
                      <w:rFonts w:hint="eastAsia" w:ascii="Times New Roman" w:hAnsi="Times New Roman" w:eastAsia="宋体" w:cs="Times New Roman"/>
                      <w:spacing w:val="-11"/>
                      <w:sz w:val="21"/>
                      <w:szCs w:val="21"/>
                      <w:lang w:val="en-US" w:eastAsia="zh-CN" w:bidi="ar"/>
                    </w:rPr>
                  </w:pPr>
                  <w:r>
                    <w:rPr>
                      <w:rFonts w:hint="eastAsia" w:ascii="Times New Roman" w:hAnsi="Times New Roman" w:eastAsia="宋体" w:cs="Times New Roman"/>
                      <w:spacing w:val="-11"/>
                      <w:sz w:val="21"/>
                      <w:szCs w:val="21"/>
                      <w:lang w:val="en-US" w:eastAsia="zh-CN" w:bidi="ar"/>
                    </w:rPr>
                    <w:t>0.22</w:t>
                  </w:r>
                </w:p>
              </w:tc>
              <w:tc>
                <w:tcPr>
                  <w:tcW w:w="599" w:type="pct"/>
                  <w:vAlign w:val="center"/>
                </w:tcPr>
                <w:p w14:paraId="0FAF6BDA">
                  <w:pPr>
                    <w:widowControl/>
                    <w:spacing w:line="360" w:lineRule="exact"/>
                    <w:jc w:val="center"/>
                    <w:rPr>
                      <w:rFonts w:hint="eastAsia" w:ascii="Times New Roman" w:hAnsi="Times New Roman" w:eastAsia="宋体" w:cs="Times New Roman"/>
                      <w:spacing w:val="-11"/>
                      <w:sz w:val="21"/>
                      <w:szCs w:val="21"/>
                      <w:lang w:val="en-US" w:eastAsia="zh-CN" w:bidi="ar"/>
                    </w:rPr>
                  </w:pPr>
                  <w:r>
                    <w:rPr>
                      <w:rFonts w:hint="eastAsia" w:ascii="Times New Roman" w:hAnsi="Times New Roman" w:eastAsia="宋体" w:cs="Times New Roman"/>
                      <w:spacing w:val="-11"/>
                      <w:sz w:val="21"/>
                      <w:szCs w:val="21"/>
                      <w:lang w:val="en-US" w:eastAsia="zh-CN" w:bidi="ar"/>
                    </w:rPr>
                    <w:t>/</w:t>
                  </w:r>
                </w:p>
              </w:tc>
              <w:tc>
                <w:tcPr>
                  <w:tcW w:w="615" w:type="pct"/>
                  <w:vAlign w:val="center"/>
                </w:tcPr>
                <w:p w14:paraId="2A018AA7">
                  <w:pPr>
                    <w:widowControl/>
                    <w:spacing w:line="360" w:lineRule="exact"/>
                    <w:jc w:val="center"/>
                    <w:rPr>
                      <w:rFonts w:hint="eastAsia" w:ascii="Times New Roman" w:hAnsi="Times New Roman" w:eastAsia="宋体" w:cs="Times New Roman"/>
                      <w:spacing w:val="-11"/>
                      <w:sz w:val="21"/>
                      <w:szCs w:val="21"/>
                      <w:lang w:val="en-US" w:eastAsia="zh-CN" w:bidi="ar"/>
                    </w:rPr>
                  </w:pPr>
                  <w:r>
                    <w:rPr>
                      <w:rFonts w:hint="eastAsia" w:ascii="Times New Roman" w:hAnsi="Times New Roman" w:eastAsia="宋体" w:cs="Times New Roman"/>
                      <w:spacing w:val="-11"/>
                      <w:sz w:val="21"/>
                      <w:szCs w:val="21"/>
                      <w:lang w:val="en-US" w:eastAsia="zh-CN" w:bidi="ar"/>
                    </w:rPr>
                    <w:t>1.17</w:t>
                  </w:r>
                </w:p>
              </w:tc>
            </w:tr>
            <w:tr w14:paraId="323F63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237" w:type="pct"/>
                  <w:gridSpan w:val="2"/>
                  <w:vAlign w:val="center"/>
                </w:tcPr>
                <w:p w14:paraId="0767F366">
                  <w:pPr>
                    <w:spacing w:line="360" w:lineRule="exact"/>
                    <w:jc w:val="center"/>
                    <w:rPr>
                      <w:b/>
                      <w:bCs w:val="0"/>
                      <w:spacing w:val="-11"/>
                      <w:sz w:val="21"/>
                      <w:szCs w:val="21"/>
                    </w:rPr>
                  </w:pPr>
                  <w:r>
                    <w:rPr>
                      <w:b/>
                      <w:bCs w:val="0"/>
                      <w:spacing w:val="-11"/>
                      <w:sz w:val="21"/>
                      <w:szCs w:val="21"/>
                    </w:rPr>
                    <w:t>屏蔽层铅当量厚度（cm）</w:t>
                  </w:r>
                </w:p>
              </w:tc>
              <w:tc>
                <w:tcPr>
                  <w:tcW w:w="620" w:type="pct"/>
                  <w:shd w:val="clear" w:color="auto" w:fill="auto"/>
                  <w:vAlign w:val="center"/>
                </w:tcPr>
                <w:p w14:paraId="559150BD">
                  <w:pPr>
                    <w:widowControl/>
                    <w:spacing w:line="360" w:lineRule="exact"/>
                    <w:jc w:val="center"/>
                    <w:rPr>
                      <w:rFonts w:hint="eastAsia" w:ascii="Times New Roman" w:hAnsi="Times New Roman" w:eastAsia="宋体" w:cs="Times New Roman"/>
                      <w:bCs/>
                      <w:spacing w:val="-11"/>
                      <w:sz w:val="21"/>
                      <w:szCs w:val="21"/>
                      <w:lang w:val="en-US" w:eastAsia="zh-CN" w:bidi="ar-SA"/>
                    </w:rPr>
                  </w:pPr>
                  <w:r>
                    <w:rPr>
                      <w:rFonts w:hint="eastAsia"/>
                      <w:spacing w:val="-11"/>
                      <w:sz w:val="21"/>
                      <w:szCs w:val="21"/>
                      <w:lang w:val="en-US" w:eastAsia="zh-CN" w:bidi="ar"/>
                    </w:rPr>
                    <w:t>5</w:t>
                  </w:r>
                </w:p>
              </w:tc>
              <w:tc>
                <w:tcPr>
                  <w:tcW w:w="641" w:type="pct"/>
                  <w:vAlign w:val="center"/>
                </w:tcPr>
                <w:p w14:paraId="76665339">
                  <w:pPr>
                    <w:widowControl/>
                    <w:spacing w:line="360" w:lineRule="exact"/>
                    <w:jc w:val="center"/>
                    <w:rPr>
                      <w:rFonts w:hint="default" w:eastAsia="宋体"/>
                      <w:bCs/>
                      <w:spacing w:val="-11"/>
                      <w:sz w:val="21"/>
                      <w:szCs w:val="21"/>
                      <w:lang w:val="en-US" w:eastAsia="zh-CN"/>
                    </w:rPr>
                  </w:pPr>
                  <w:r>
                    <w:rPr>
                      <w:rFonts w:hint="eastAsia"/>
                      <w:bCs/>
                      <w:spacing w:val="-11"/>
                      <w:sz w:val="21"/>
                      <w:szCs w:val="21"/>
                      <w:lang w:val="en-US" w:eastAsia="zh-CN"/>
                    </w:rPr>
                    <w:t>0.05</w:t>
                  </w:r>
                </w:p>
              </w:tc>
              <w:tc>
                <w:tcPr>
                  <w:tcW w:w="659" w:type="pct"/>
                  <w:shd w:val="clear" w:color="auto" w:fill="auto"/>
                  <w:vAlign w:val="center"/>
                </w:tcPr>
                <w:p w14:paraId="213EDD21">
                  <w:pPr>
                    <w:widowControl/>
                    <w:spacing w:line="360" w:lineRule="exact"/>
                    <w:jc w:val="center"/>
                    <w:rPr>
                      <w:rFonts w:hint="eastAsia" w:ascii="Times New Roman" w:hAnsi="Times New Roman" w:eastAsia="宋体" w:cs="Times New Roman"/>
                      <w:bCs/>
                      <w:spacing w:val="-11"/>
                      <w:sz w:val="21"/>
                      <w:szCs w:val="21"/>
                      <w:lang w:val="en-US" w:eastAsia="zh-CN" w:bidi="ar-SA"/>
                    </w:rPr>
                  </w:pPr>
                  <w:r>
                    <w:rPr>
                      <w:rFonts w:hint="eastAsia"/>
                      <w:spacing w:val="-11"/>
                      <w:sz w:val="21"/>
                      <w:szCs w:val="21"/>
                      <w:lang w:val="en-US" w:eastAsia="zh-CN" w:bidi="ar"/>
                    </w:rPr>
                    <w:t>5</w:t>
                  </w:r>
                </w:p>
              </w:tc>
              <w:tc>
                <w:tcPr>
                  <w:tcW w:w="626" w:type="pct"/>
                  <w:shd w:val="clear" w:color="auto" w:fill="auto"/>
                  <w:vAlign w:val="center"/>
                </w:tcPr>
                <w:p w14:paraId="286A8B65">
                  <w:pPr>
                    <w:widowControl/>
                    <w:spacing w:line="360" w:lineRule="exact"/>
                    <w:jc w:val="center"/>
                    <w:rPr>
                      <w:rFonts w:hint="default" w:ascii="Times New Roman" w:hAnsi="Times New Roman" w:eastAsia="宋体" w:cs="Times New Roman"/>
                      <w:bCs/>
                      <w:spacing w:val="-11"/>
                      <w:sz w:val="21"/>
                      <w:szCs w:val="21"/>
                      <w:lang w:val="en-US" w:eastAsia="zh-CN" w:bidi="ar-SA"/>
                    </w:rPr>
                  </w:pPr>
                  <w:r>
                    <w:rPr>
                      <w:rFonts w:hint="eastAsia" w:cs="Times New Roman"/>
                      <w:bCs/>
                      <w:spacing w:val="-11"/>
                      <w:sz w:val="21"/>
                      <w:szCs w:val="21"/>
                      <w:lang w:val="en-US" w:eastAsia="zh-CN" w:bidi="ar-SA"/>
                    </w:rPr>
                    <w:t>1</w:t>
                  </w:r>
                </w:p>
              </w:tc>
              <w:tc>
                <w:tcPr>
                  <w:tcW w:w="599" w:type="pct"/>
                  <w:vAlign w:val="center"/>
                </w:tcPr>
                <w:p w14:paraId="324DBD60">
                  <w:pPr>
                    <w:widowControl/>
                    <w:spacing w:line="360" w:lineRule="exact"/>
                    <w:jc w:val="center"/>
                    <w:rPr>
                      <w:rFonts w:hint="eastAsia" w:eastAsia="宋体"/>
                      <w:bCs/>
                      <w:spacing w:val="-11"/>
                      <w:sz w:val="21"/>
                      <w:szCs w:val="21"/>
                      <w:lang w:val="en-US" w:eastAsia="zh-CN"/>
                    </w:rPr>
                  </w:pPr>
                  <w:r>
                    <w:rPr>
                      <w:rFonts w:hint="eastAsia"/>
                      <w:bCs/>
                      <w:spacing w:val="-11"/>
                      <w:sz w:val="21"/>
                      <w:szCs w:val="21"/>
                      <w:lang w:val="en-US" w:eastAsia="zh-CN"/>
                    </w:rPr>
                    <w:t>/</w:t>
                  </w:r>
                </w:p>
              </w:tc>
              <w:tc>
                <w:tcPr>
                  <w:tcW w:w="615" w:type="pct"/>
                  <w:vAlign w:val="center"/>
                </w:tcPr>
                <w:p w14:paraId="3E26D31A">
                  <w:pPr>
                    <w:widowControl/>
                    <w:spacing w:line="360" w:lineRule="exact"/>
                    <w:jc w:val="center"/>
                    <w:rPr>
                      <w:rFonts w:hint="eastAsia" w:eastAsia="宋体"/>
                      <w:bCs/>
                      <w:spacing w:val="-11"/>
                      <w:sz w:val="21"/>
                      <w:szCs w:val="21"/>
                      <w:lang w:val="en-US" w:eastAsia="zh-CN"/>
                    </w:rPr>
                  </w:pPr>
                  <w:r>
                    <w:rPr>
                      <w:rFonts w:hint="eastAsia"/>
                      <w:bCs/>
                      <w:spacing w:val="-11"/>
                      <w:sz w:val="21"/>
                      <w:szCs w:val="21"/>
                      <w:lang w:val="en-US" w:eastAsia="zh-CN"/>
                    </w:rPr>
                    <w:t>4</w:t>
                  </w:r>
                </w:p>
              </w:tc>
            </w:tr>
            <w:tr w14:paraId="5497D8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237" w:type="pct"/>
                  <w:gridSpan w:val="2"/>
                  <w:vAlign w:val="center"/>
                </w:tcPr>
                <w:p w14:paraId="1CAD12A8">
                  <w:pPr>
                    <w:spacing w:line="360" w:lineRule="exact"/>
                    <w:jc w:val="center"/>
                    <w:rPr>
                      <w:b/>
                      <w:bCs w:val="0"/>
                      <w:spacing w:val="-11"/>
                      <w:sz w:val="21"/>
                      <w:szCs w:val="21"/>
                    </w:rPr>
                  </w:pPr>
                  <w:r>
                    <w:rPr>
                      <w:b/>
                      <w:bCs w:val="0"/>
                      <w:spacing w:val="-11"/>
                      <w:sz w:val="21"/>
                      <w:szCs w:val="21"/>
                    </w:rPr>
                    <w:t>铅什值层厚度*（cm）</w:t>
                  </w:r>
                </w:p>
              </w:tc>
              <w:tc>
                <w:tcPr>
                  <w:tcW w:w="620" w:type="pct"/>
                  <w:shd w:val="clear" w:color="auto" w:fill="auto"/>
                  <w:vAlign w:val="center"/>
                </w:tcPr>
                <w:p w14:paraId="6D0B257F">
                  <w:pPr>
                    <w:widowControl/>
                    <w:spacing w:line="360" w:lineRule="exact"/>
                    <w:jc w:val="center"/>
                    <w:rPr>
                      <w:rFonts w:ascii="Times New Roman" w:hAnsi="Times New Roman" w:eastAsia="宋体" w:cs="Times New Roman"/>
                      <w:bCs/>
                      <w:spacing w:val="-11"/>
                      <w:sz w:val="21"/>
                      <w:szCs w:val="21"/>
                      <w:lang w:val="en-US" w:eastAsia="zh-CN" w:bidi="ar-SA"/>
                    </w:rPr>
                  </w:pPr>
                  <w:r>
                    <w:rPr>
                      <w:rFonts w:hint="eastAsia"/>
                      <w:sz w:val="21"/>
                      <w:szCs w:val="21"/>
                      <w:lang w:val="en-US" w:eastAsia="zh-CN"/>
                    </w:rPr>
                    <w:t>**</w:t>
                  </w:r>
                </w:p>
              </w:tc>
              <w:tc>
                <w:tcPr>
                  <w:tcW w:w="641" w:type="pct"/>
                  <w:vAlign w:val="center"/>
                </w:tcPr>
                <w:p w14:paraId="439007D7">
                  <w:pPr>
                    <w:widowControl/>
                    <w:spacing w:line="360" w:lineRule="exact"/>
                    <w:jc w:val="center"/>
                    <w:rPr>
                      <w:rFonts w:hint="default" w:eastAsia="宋体"/>
                      <w:bCs/>
                      <w:spacing w:val="-11"/>
                      <w:sz w:val="21"/>
                      <w:szCs w:val="21"/>
                      <w:lang w:val="en-US" w:eastAsia="zh-CN"/>
                    </w:rPr>
                  </w:pPr>
                  <w:r>
                    <w:rPr>
                      <w:rFonts w:hint="eastAsia"/>
                      <w:sz w:val="21"/>
                      <w:szCs w:val="21"/>
                      <w:lang w:val="en-US" w:eastAsia="zh-CN"/>
                    </w:rPr>
                    <w:t>**</w:t>
                  </w:r>
                </w:p>
              </w:tc>
              <w:tc>
                <w:tcPr>
                  <w:tcW w:w="659" w:type="pct"/>
                  <w:shd w:val="clear" w:color="auto" w:fill="auto"/>
                  <w:vAlign w:val="center"/>
                </w:tcPr>
                <w:p w14:paraId="1591A704">
                  <w:pPr>
                    <w:widowControl/>
                    <w:spacing w:line="360" w:lineRule="exact"/>
                    <w:jc w:val="center"/>
                    <w:rPr>
                      <w:rFonts w:ascii="Times New Roman" w:hAnsi="Times New Roman" w:eastAsia="宋体" w:cs="Times New Roman"/>
                      <w:bCs/>
                      <w:spacing w:val="-11"/>
                      <w:sz w:val="21"/>
                      <w:szCs w:val="21"/>
                      <w:lang w:val="en-US" w:eastAsia="zh-CN" w:bidi="ar-SA"/>
                    </w:rPr>
                  </w:pPr>
                  <w:r>
                    <w:rPr>
                      <w:rFonts w:hint="eastAsia"/>
                      <w:sz w:val="21"/>
                      <w:szCs w:val="21"/>
                      <w:lang w:val="en-US" w:eastAsia="zh-CN"/>
                    </w:rPr>
                    <w:t>**</w:t>
                  </w:r>
                </w:p>
              </w:tc>
              <w:tc>
                <w:tcPr>
                  <w:tcW w:w="626" w:type="pct"/>
                  <w:shd w:val="clear" w:color="auto" w:fill="auto"/>
                  <w:vAlign w:val="center"/>
                </w:tcPr>
                <w:p w14:paraId="22CF1140">
                  <w:pPr>
                    <w:widowControl/>
                    <w:spacing w:line="360" w:lineRule="exact"/>
                    <w:jc w:val="center"/>
                    <w:rPr>
                      <w:rFonts w:hint="default" w:ascii="Times New Roman" w:hAnsi="Times New Roman" w:eastAsia="宋体" w:cs="Times New Roman"/>
                      <w:bCs/>
                      <w:spacing w:val="-11"/>
                      <w:sz w:val="21"/>
                      <w:szCs w:val="21"/>
                      <w:lang w:val="en-US" w:eastAsia="zh-CN" w:bidi="ar-SA"/>
                    </w:rPr>
                  </w:pPr>
                  <w:r>
                    <w:rPr>
                      <w:rFonts w:hint="eastAsia"/>
                      <w:sz w:val="21"/>
                      <w:szCs w:val="21"/>
                      <w:lang w:val="en-US" w:eastAsia="zh-CN"/>
                    </w:rPr>
                    <w:t>**</w:t>
                  </w:r>
                </w:p>
              </w:tc>
              <w:tc>
                <w:tcPr>
                  <w:tcW w:w="599" w:type="pct"/>
                  <w:vAlign w:val="center"/>
                </w:tcPr>
                <w:p w14:paraId="4B910AA8">
                  <w:pPr>
                    <w:widowControl/>
                    <w:spacing w:line="360" w:lineRule="exact"/>
                    <w:jc w:val="center"/>
                    <w:rPr>
                      <w:rFonts w:hint="eastAsia" w:eastAsia="宋体"/>
                      <w:bCs/>
                      <w:spacing w:val="-11"/>
                      <w:sz w:val="21"/>
                      <w:szCs w:val="21"/>
                      <w:lang w:val="en-US" w:eastAsia="zh-CN"/>
                    </w:rPr>
                  </w:pPr>
                  <w:r>
                    <w:rPr>
                      <w:rFonts w:hint="eastAsia"/>
                      <w:sz w:val="21"/>
                      <w:szCs w:val="21"/>
                      <w:lang w:val="en-US" w:eastAsia="zh-CN"/>
                    </w:rPr>
                    <w:t>**</w:t>
                  </w:r>
                </w:p>
              </w:tc>
              <w:tc>
                <w:tcPr>
                  <w:tcW w:w="615" w:type="pct"/>
                  <w:vAlign w:val="center"/>
                </w:tcPr>
                <w:p w14:paraId="284BD8F0">
                  <w:pPr>
                    <w:widowControl/>
                    <w:spacing w:line="360" w:lineRule="exact"/>
                    <w:jc w:val="center"/>
                    <w:rPr>
                      <w:rFonts w:hint="default" w:eastAsia="宋体"/>
                      <w:bCs/>
                      <w:spacing w:val="-11"/>
                      <w:sz w:val="21"/>
                      <w:szCs w:val="21"/>
                      <w:lang w:val="en-US" w:eastAsia="zh-CN"/>
                    </w:rPr>
                  </w:pPr>
                  <w:r>
                    <w:rPr>
                      <w:rFonts w:hint="eastAsia"/>
                      <w:sz w:val="21"/>
                      <w:szCs w:val="21"/>
                      <w:lang w:val="en-US" w:eastAsia="zh-CN"/>
                    </w:rPr>
                    <w:t>**</w:t>
                  </w:r>
                </w:p>
              </w:tc>
            </w:tr>
            <w:tr w14:paraId="7DCA80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237" w:type="pct"/>
                  <w:gridSpan w:val="2"/>
                  <w:vAlign w:val="center"/>
                </w:tcPr>
                <w:p w14:paraId="362A8DE6">
                  <w:pPr>
                    <w:spacing w:line="360" w:lineRule="exact"/>
                    <w:jc w:val="center"/>
                    <w:rPr>
                      <w:b/>
                      <w:bCs w:val="0"/>
                      <w:spacing w:val="-11"/>
                      <w:sz w:val="21"/>
                      <w:szCs w:val="21"/>
                    </w:rPr>
                  </w:pPr>
                  <w:r>
                    <w:rPr>
                      <w:b/>
                      <w:bCs w:val="0"/>
                      <w:spacing w:val="-11"/>
                      <w:sz w:val="21"/>
                      <w:szCs w:val="21"/>
                    </w:rPr>
                    <w:t>屏蔽体外操作位剂量当量率（μSv/h）</w:t>
                  </w:r>
                </w:p>
              </w:tc>
              <w:tc>
                <w:tcPr>
                  <w:tcW w:w="620" w:type="pct"/>
                  <w:shd w:val="clear" w:color="auto" w:fill="auto"/>
                  <w:vAlign w:val="center"/>
                </w:tcPr>
                <w:p w14:paraId="035D4C84">
                  <w:pPr>
                    <w:keepNext w:val="0"/>
                    <w:keepLines w:val="0"/>
                    <w:pageBreakBefore w:val="0"/>
                    <w:widowControl/>
                    <w:suppressLineNumbers w:val="0"/>
                    <w:kinsoku/>
                    <w:wordWrap/>
                    <w:overflowPunct/>
                    <w:topLinePunct w:val="0"/>
                    <w:autoSpaceDE/>
                    <w:autoSpaceDN/>
                    <w:bidi w:val="0"/>
                    <w:adjustRightInd/>
                    <w:snapToGrid/>
                    <w:spacing w:line="360" w:lineRule="atLeast"/>
                    <w:jc w:val="center"/>
                    <w:textAlignment w:val="center"/>
                    <w:rPr>
                      <w:rFonts w:ascii="Times New Roman" w:hAnsi="Times New Roman" w:eastAsia="宋体" w:cs="Times New Roman"/>
                      <w:spacing w:val="-11"/>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w:t>
                  </w:r>
                  <w:r>
                    <w:rPr>
                      <w:rFonts w:hint="eastAsia"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E-18</w:t>
                  </w:r>
                </w:p>
              </w:tc>
              <w:tc>
                <w:tcPr>
                  <w:tcW w:w="641" w:type="pct"/>
                  <w:vAlign w:val="center"/>
                </w:tcPr>
                <w:p w14:paraId="35F5778B">
                  <w:pPr>
                    <w:keepNext w:val="0"/>
                    <w:keepLines w:val="0"/>
                    <w:pageBreakBefore w:val="0"/>
                    <w:widowControl/>
                    <w:suppressLineNumbers w:val="0"/>
                    <w:kinsoku/>
                    <w:wordWrap/>
                    <w:overflowPunct/>
                    <w:topLinePunct w:val="0"/>
                    <w:autoSpaceDE/>
                    <w:autoSpaceDN/>
                    <w:bidi w:val="0"/>
                    <w:adjustRightInd/>
                    <w:snapToGrid/>
                    <w:spacing w:line="360" w:lineRule="atLeast"/>
                    <w:jc w:val="center"/>
                    <w:textAlignment w:val="center"/>
                    <w:rPr>
                      <w:rFonts w:hint="default" w:eastAsia="宋体"/>
                      <w:spacing w:val="-11"/>
                      <w:sz w:val="21"/>
                      <w:szCs w:val="21"/>
                      <w:lang w:val="en-US" w:eastAsia="zh-CN"/>
                    </w:rPr>
                  </w:pPr>
                  <w:r>
                    <w:rPr>
                      <w:rFonts w:hint="eastAsia"/>
                      <w:spacing w:val="-11"/>
                      <w:sz w:val="21"/>
                      <w:szCs w:val="21"/>
                      <w:lang w:val="en-US" w:eastAsia="zh-CN"/>
                    </w:rPr>
                    <w:t>4.56E-02</w:t>
                  </w:r>
                </w:p>
              </w:tc>
              <w:tc>
                <w:tcPr>
                  <w:tcW w:w="659" w:type="pct"/>
                  <w:shd w:val="clear" w:color="auto" w:fill="auto"/>
                  <w:vAlign w:val="center"/>
                </w:tcPr>
                <w:p w14:paraId="1E3C70A1">
                  <w:pPr>
                    <w:keepNext w:val="0"/>
                    <w:keepLines w:val="0"/>
                    <w:pageBreakBefore w:val="0"/>
                    <w:widowControl/>
                    <w:suppressLineNumbers w:val="0"/>
                    <w:kinsoku/>
                    <w:wordWrap/>
                    <w:overflowPunct/>
                    <w:topLinePunct w:val="0"/>
                    <w:autoSpaceDE/>
                    <w:autoSpaceDN/>
                    <w:bidi w:val="0"/>
                    <w:adjustRightInd/>
                    <w:snapToGrid/>
                    <w:spacing w:line="360" w:lineRule="atLeast"/>
                    <w:jc w:val="center"/>
                    <w:textAlignment w:val="center"/>
                    <w:rPr>
                      <w:rFonts w:hint="default" w:ascii="Times New Roman" w:hAnsi="Times New Roman" w:eastAsia="宋体" w:cs="Times New Roman"/>
                      <w:spacing w:val="-11"/>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w:t>
                  </w:r>
                  <w:r>
                    <w:rPr>
                      <w:rFonts w:hint="eastAsia" w:ascii="Times New Roman" w:hAnsi="Times New Roman" w:eastAsia="宋体" w:cs="Times New Roman"/>
                      <w:i w:val="0"/>
                      <w:iCs w:val="0"/>
                      <w:color w:val="000000"/>
                      <w:kern w:val="0"/>
                      <w:sz w:val="21"/>
                      <w:szCs w:val="21"/>
                      <w:u w:val="none"/>
                      <w:lang w:val="en-US" w:eastAsia="zh-CN" w:bidi="ar"/>
                    </w:rPr>
                    <w:t>7E-07</w:t>
                  </w:r>
                </w:p>
              </w:tc>
              <w:tc>
                <w:tcPr>
                  <w:tcW w:w="626" w:type="pct"/>
                  <w:shd w:val="clear" w:color="auto" w:fill="auto"/>
                  <w:vAlign w:val="center"/>
                </w:tcPr>
                <w:p w14:paraId="2D96C1FC">
                  <w:pPr>
                    <w:keepNext w:val="0"/>
                    <w:keepLines w:val="0"/>
                    <w:pageBreakBefore w:val="0"/>
                    <w:widowControl/>
                    <w:suppressLineNumbers w:val="0"/>
                    <w:kinsoku/>
                    <w:wordWrap/>
                    <w:overflowPunct/>
                    <w:topLinePunct w:val="0"/>
                    <w:autoSpaceDE/>
                    <w:autoSpaceDN/>
                    <w:bidi w:val="0"/>
                    <w:adjustRightInd/>
                    <w:snapToGrid/>
                    <w:spacing w:line="360" w:lineRule="atLeast"/>
                    <w:jc w:val="center"/>
                    <w:textAlignment w:val="center"/>
                    <w:rPr>
                      <w:rFonts w:ascii="Times New Roman" w:hAnsi="Times New Roman" w:eastAsia="宋体" w:cs="Times New Roman"/>
                      <w:spacing w:val="-11"/>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4.4</w:t>
                  </w:r>
                  <w:r>
                    <w:rPr>
                      <w:rFonts w:hint="eastAsia" w:ascii="Times New Roman" w:hAnsi="Times New Roman" w:eastAsia="宋体" w:cs="Times New Roman"/>
                      <w:i w:val="0"/>
                      <w:iCs w:val="0"/>
                      <w:color w:val="000000"/>
                      <w:kern w:val="0"/>
                      <w:sz w:val="21"/>
                      <w:szCs w:val="21"/>
                      <w:u w:val="none"/>
                      <w:lang w:val="en-US" w:eastAsia="zh-CN" w:bidi="ar"/>
                    </w:rPr>
                    <w:t>7</w:t>
                  </w:r>
                  <w:r>
                    <w:rPr>
                      <w:rFonts w:hint="default" w:ascii="Times New Roman" w:hAnsi="Times New Roman" w:eastAsia="宋体" w:cs="Times New Roman"/>
                      <w:i w:val="0"/>
                      <w:iCs w:val="0"/>
                      <w:color w:val="000000"/>
                      <w:kern w:val="0"/>
                      <w:sz w:val="21"/>
                      <w:szCs w:val="21"/>
                      <w:u w:val="none"/>
                      <w:lang w:val="en-US" w:eastAsia="zh-CN" w:bidi="ar"/>
                    </w:rPr>
                    <w:t>E-09</w:t>
                  </w:r>
                </w:p>
              </w:tc>
              <w:tc>
                <w:tcPr>
                  <w:tcW w:w="599" w:type="pct"/>
                  <w:vAlign w:val="center"/>
                </w:tcPr>
                <w:p w14:paraId="3157F061">
                  <w:pPr>
                    <w:keepNext w:val="0"/>
                    <w:keepLines w:val="0"/>
                    <w:pageBreakBefore w:val="0"/>
                    <w:widowControl/>
                    <w:suppressLineNumbers w:val="0"/>
                    <w:kinsoku/>
                    <w:wordWrap/>
                    <w:overflowPunct/>
                    <w:topLinePunct w:val="0"/>
                    <w:autoSpaceDE/>
                    <w:autoSpaceDN/>
                    <w:bidi w:val="0"/>
                    <w:adjustRightInd/>
                    <w:snapToGrid/>
                    <w:spacing w:line="360" w:lineRule="atLeast"/>
                    <w:jc w:val="center"/>
                    <w:textAlignment w:val="center"/>
                    <w:rPr>
                      <w:rFonts w:hint="eastAsia" w:eastAsia="宋体"/>
                      <w:spacing w:val="-11"/>
                      <w:sz w:val="21"/>
                      <w:szCs w:val="21"/>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615" w:type="pct"/>
                  <w:vAlign w:val="center"/>
                </w:tcPr>
                <w:p w14:paraId="23C652C0">
                  <w:pPr>
                    <w:keepNext w:val="0"/>
                    <w:keepLines w:val="0"/>
                    <w:pageBreakBefore w:val="0"/>
                    <w:widowControl/>
                    <w:suppressLineNumbers w:val="0"/>
                    <w:kinsoku/>
                    <w:wordWrap/>
                    <w:overflowPunct/>
                    <w:topLinePunct w:val="0"/>
                    <w:autoSpaceDE/>
                    <w:autoSpaceDN/>
                    <w:bidi w:val="0"/>
                    <w:adjustRightInd/>
                    <w:snapToGrid/>
                    <w:spacing w:line="360" w:lineRule="atLeast"/>
                    <w:jc w:val="center"/>
                    <w:textAlignment w:val="center"/>
                    <w:rPr>
                      <w:spacing w:val="-11"/>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3.1</w:t>
                  </w:r>
                  <w:r>
                    <w:rPr>
                      <w:rFonts w:hint="eastAsia" w:ascii="Times New Roman" w:hAnsi="Times New Roman" w:eastAsia="宋体" w:cs="Times New Roman"/>
                      <w:i w:val="0"/>
                      <w:iCs w:val="0"/>
                      <w:color w:val="000000"/>
                      <w:kern w:val="0"/>
                      <w:sz w:val="21"/>
                      <w:szCs w:val="21"/>
                      <w:u w:val="none"/>
                      <w:lang w:val="en-US" w:eastAsia="zh-CN" w:bidi="ar"/>
                    </w:rPr>
                    <w:t>4</w:t>
                  </w:r>
                  <w:r>
                    <w:rPr>
                      <w:rFonts w:hint="default" w:ascii="Times New Roman" w:hAnsi="Times New Roman" w:eastAsia="宋体" w:cs="Times New Roman"/>
                      <w:i w:val="0"/>
                      <w:iCs w:val="0"/>
                      <w:color w:val="000000"/>
                      <w:kern w:val="0"/>
                      <w:sz w:val="21"/>
                      <w:szCs w:val="21"/>
                      <w:u w:val="none"/>
                      <w:lang w:val="en-US" w:eastAsia="zh-CN" w:bidi="ar"/>
                    </w:rPr>
                    <w:t>E-29</w:t>
                  </w:r>
                </w:p>
              </w:tc>
            </w:tr>
          </w:tbl>
          <w:p w14:paraId="7F54768E">
            <w:pPr>
              <w:spacing w:line="240" w:lineRule="auto"/>
              <w:rPr>
                <w:rFonts w:eastAsia="黑体"/>
                <w:sz w:val="21"/>
                <w:szCs w:val="21"/>
                <w:lang w:val="pt-BR"/>
              </w:rPr>
            </w:pPr>
            <w:r>
              <w:rPr>
                <w:sz w:val="21"/>
                <w:szCs w:val="21"/>
              </w:rPr>
              <w:t>*</w:t>
            </w:r>
            <w:r>
              <w:rPr>
                <w:rFonts w:eastAsia="黑体"/>
                <w:sz w:val="21"/>
                <w:szCs w:val="21"/>
                <w:lang w:val="pt-BR"/>
              </w:rPr>
              <w:t>注：对照</w:t>
            </w:r>
            <w:r>
              <w:rPr>
                <w:rFonts w:eastAsia="黑体"/>
                <w:sz w:val="21"/>
                <w:szCs w:val="21"/>
              </w:rPr>
              <w:t>《辐射防护导论》表3.5，</w:t>
            </w:r>
            <w:r>
              <w:rPr>
                <w:rFonts w:eastAsia="黑体"/>
                <w:sz w:val="21"/>
                <w:szCs w:val="21"/>
                <w:lang w:val="pt-BR"/>
              </w:rPr>
              <w:t>保守按较高能量查得什值层厚度，或采用内插法计算得到。</w:t>
            </w:r>
          </w:p>
          <w:p w14:paraId="0781596F">
            <w:pPr>
              <w:ind w:firstLine="480"/>
            </w:pPr>
            <w:r>
              <w:rPr>
                <w:lang w:val="pt-BR"/>
              </w:rPr>
              <w:t>经计算，</w:t>
            </w:r>
            <w:r>
              <w:t>在操作位距离辐射源</w:t>
            </w:r>
            <w:r>
              <w:rPr>
                <w:lang w:val="pt-BR"/>
              </w:rPr>
              <w:t>0.5m处轫致辐射剂量当量率</w:t>
            </w:r>
            <w:r>
              <w:t>最大值</w:t>
            </w:r>
            <w:r>
              <w:rPr>
                <w:lang w:val="pt-BR"/>
              </w:rPr>
              <w:t>为</w:t>
            </w:r>
            <w:r>
              <w:rPr>
                <w:rFonts w:hint="eastAsia"/>
                <w:lang w:val="en-US" w:eastAsia="zh-CN"/>
              </w:rPr>
              <w:t>8.77</w:t>
            </w:r>
            <w:r>
              <w:rPr>
                <w:lang w:val="pt-BR"/>
              </w:rPr>
              <w:t>×10</w:t>
            </w:r>
            <w:r>
              <w:rPr>
                <w:vertAlign w:val="superscript"/>
                <w:lang w:val="pt-BR"/>
              </w:rPr>
              <w:t>-</w:t>
            </w:r>
            <w:r>
              <w:rPr>
                <w:rFonts w:hint="eastAsia"/>
                <w:vertAlign w:val="superscript"/>
                <w:lang w:val="en-US" w:eastAsia="zh-CN"/>
              </w:rPr>
              <w:t>7</w:t>
            </w:r>
            <w:r>
              <w:rPr>
                <w:lang w:val="pt-BR"/>
              </w:rPr>
              <w:t>μSv/h，因此轫致辐射</w:t>
            </w:r>
            <w:r>
              <w:t>对</w:t>
            </w:r>
            <w:r>
              <w:rPr>
                <w:lang w:val="pt-BR"/>
              </w:rPr>
              <w:t>周围辐射剂量率贡献值很小，本次评价可以忽略。</w:t>
            </w:r>
          </w:p>
          <w:p w14:paraId="4F59EDD0">
            <w:pPr>
              <w:ind w:firstLine="482"/>
              <w:rPr>
                <w:b/>
              </w:rPr>
            </w:pPr>
            <w:r>
              <w:rPr>
                <w:b/>
              </w:rPr>
              <w:t>3、γ辐射环境影响分析</w:t>
            </w:r>
          </w:p>
          <w:p w14:paraId="1846F087">
            <w:pPr>
              <w:ind w:firstLine="482"/>
              <w:rPr>
                <w:b/>
              </w:rPr>
            </w:pPr>
            <w:r>
              <w:rPr>
                <w:b/>
              </w:rPr>
              <w:t>（1）预测模式</w:t>
            </w:r>
          </w:p>
          <w:p w14:paraId="710E005B">
            <w:pPr>
              <w:ind w:firstLine="480"/>
              <w:rPr>
                <w:bCs/>
                <w:sz w:val="24"/>
                <w:szCs w:val="24"/>
              </w:rPr>
            </w:pPr>
            <w:r>
              <w:rPr>
                <w:bCs/>
                <w:sz w:val="24"/>
                <w:szCs w:val="24"/>
              </w:rPr>
              <w:t>根据《核医学放射防护要求》（GBZ120-2020）计算公式如下：</w:t>
            </w:r>
          </w:p>
          <w:p w14:paraId="7BAE786D">
            <w:pPr>
              <w:ind w:firstLine="480"/>
              <w:jc w:val="right"/>
              <w:rPr>
                <w:rFonts w:hint="eastAsia" w:eastAsia="宋体"/>
                <w:sz w:val="24"/>
                <w:szCs w:val="24"/>
                <w:lang w:eastAsia="zh-CN"/>
              </w:rPr>
            </w:pPr>
            <w:r>
              <w:rPr>
                <w:i/>
                <w:sz w:val="24"/>
                <w:szCs w:val="24"/>
              </w:rPr>
              <w:t>H</w:t>
            </w:r>
            <w:r>
              <w:rPr>
                <w:sz w:val="24"/>
                <w:szCs w:val="24"/>
              </w:rPr>
              <w:t>=</w:t>
            </w:r>
            <w:r>
              <w:rPr>
                <w:i/>
                <w:sz w:val="24"/>
                <w:szCs w:val="24"/>
              </w:rPr>
              <w:t>A</w:t>
            </w:r>
            <w:r>
              <w:rPr>
                <w:sz w:val="24"/>
                <w:szCs w:val="24"/>
              </w:rPr>
              <w:t>*</w:t>
            </w:r>
            <w:r>
              <w:rPr>
                <w:i/>
                <w:sz w:val="24"/>
                <w:szCs w:val="24"/>
              </w:rPr>
              <w:t>Г</w:t>
            </w:r>
            <w:r>
              <w:rPr>
                <w:sz w:val="24"/>
                <w:szCs w:val="24"/>
              </w:rPr>
              <w:t>*</w:t>
            </w:r>
            <w:r>
              <w:rPr>
                <w:i/>
                <w:sz w:val="24"/>
                <w:szCs w:val="24"/>
              </w:rPr>
              <w:t>η</w:t>
            </w:r>
            <w:r>
              <w:rPr>
                <w:sz w:val="24"/>
                <w:szCs w:val="24"/>
              </w:rPr>
              <w:t>/</w:t>
            </w:r>
            <w:r>
              <w:rPr>
                <w:i/>
                <w:sz w:val="24"/>
                <w:szCs w:val="24"/>
              </w:rPr>
              <w:t>R</w:t>
            </w:r>
            <w:r>
              <w:rPr>
                <w:sz w:val="24"/>
                <w:szCs w:val="24"/>
                <w:vertAlign w:val="superscript"/>
              </w:rPr>
              <w:t>2</w:t>
            </w:r>
            <w:r>
              <w:rPr>
                <w:sz w:val="24"/>
                <w:szCs w:val="24"/>
                <w:vertAlign w:val="subscript"/>
              </w:rPr>
              <w:t>………………………………... ... ...………</w:t>
            </w:r>
            <w:r>
              <w:rPr>
                <w:sz w:val="24"/>
                <w:szCs w:val="24"/>
                <w:lang w:val="de-DE"/>
              </w:rPr>
              <w:t>式11</w:t>
            </w:r>
            <w:r>
              <w:rPr>
                <w:sz w:val="24"/>
                <w:szCs w:val="24"/>
              </w:rPr>
              <w:t>-</w:t>
            </w:r>
            <w:r>
              <w:rPr>
                <w:rFonts w:hint="eastAsia"/>
                <w:sz w:val="24"/>
                <w:szCs w:val="24"/>
                <w:lang w:val="en-US" w:eastAsia="zh-CN"/>
              </w:rPr>
              <w:t>5</w:t>
            </w:r>
          </w:p>
          <w:p w14:paraId="062ED88D">
            <w:pPr>
              <w:jc w:val="right"/>
              <w:rPr>
                <w:rFonts w:hint="eastAsia" w:eastAsia="宋体"/>
                <w:sz w:val="24"/>
                <w:szCs w:val="24"/>
                <w:lang w:eastAsia="zh-CN"/>
              </w:rPr>
            </w:pPr>
            <w:r>
              <w:rPr>
                <w:position w:val="-10"/>
                <w:sz w:val="24"/>
                <w:szCs w:val="24"/>
              </w:rPr>
              <w:drawing>
                <wp:inline distT="0" distB="0" distL="0" distR="0">
                  <wp:extent cx="702310" cy="358140"/>
                  <wp:effectExtent l="0" t="0" r="2540" b="3175"/>
                  <wp:docPr id="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
                          <pic:cNvPicPr>
                            <a:picLocks noChangeAspect="1"/>
                          </pic:cNvPicPr>
                        </pic:nvPicPr>
                        <pic:blipFill>
                          <a:blip r:embed="rId40"/>
                          <a:stretch>
                            <a:fillRect/>
                          </a:stretch>
                        </pic:blipFill>
                        <pic:spPr>
                          <a:xfrm>
                            <a:off x="0" y="0"/>
                            <a:ext cx="702310" cy="358140"/>
                          </a:xfrm>
                          <a:prstGeom prst="rect">
                            <a:avLst/>
                          </a:prstGeom>
                          <a:noFill/>
                          <a:ln>
                            <a:noFill/>
                          </a:ln>
                        </pic:spPr>
                      </pic:pic>
                    </a:graphicData>
                  </a:graphic>
                </wp:inline>
              </w:drawing>
            </w:r>
            <w:r>
              <w:rPr>
                <w:sz w:val="24"/>
                <w:szCs w:val="24"/>
                <w:vertAlign w:val="subscript"/>
                <w:lang w:val="de-DE"/>
              </w:rPr>
              <w:t xml:space="preserve">………………………... ...………...………… </w:t>
            </w:r>
            <w:r>
              <w:rPr>
                <w:sz w:val="24"/>
                <w:szCs w:val="24"/>
                <w:lang w:val="de-DE"/>
              </w:rPr>
              <w:t>式11</w:t>
            </w:r>
            <w:r>
              <w:rPr>
                <w:sz w:val="24"/>
                <w:szCs w:val="24"/>
              </w:rPr>
              <w:t>-</w:t>
            </w:r>
            <w:r>
              <w:rPr>
                <w:rFonts w:hint="eastAsia"/>
                <w:sz w:val="24"/>
                <w:szCs w:val="24"/>
                <w:lang w:val="en-US" w:eastAsia="zh-CN"/>
              </w:rPr>
              <w:t>6</w:t>
            </w:r>
          </w:p>
          <w:p w14:paraId="6255F678">
            <w:pPr>
              <w:ind w:firstLine="525"/>
              <w:rPr>
                <w:sz w:val="24"/>
                <w:szCs w:val="24"/>
                <w:lang w:val="de-DE"/>
              </w:rPr>
            </w:pPr>
            <w:r>
              <w:rPr>
                <w:sz w:val="24"/>
                <w:szCs w:val="24"/>
              </w:rPr>
              <w:t>式中</w:t>
            </w:r>
            <w:r>
              <w:rPr>
                <w:sz w:val="24"/>
                <w:szCs w:val="24"/>
                <w:lang w:val="de-DE"/>
              </w:rPr>
              <w:t>：</w:t>
            </w:r>
            <w:r>
              <w:rPr>
                <w:bCs/>
                <w:i/>
                <w:sz w:val="24"/>
                <w:szCs w:val="24"/>
                <w:lang w:val="de-DE"/>
              </w:rPr>
              <w:t>A</w:t>
            </w:r>
            <w:r>
              <w:rPr>
                <w:bCs/>
                <w:sz w:val="24"/>
                <w:szCs w:val="24"/>
                <w:lang w:val="de-DE"/>
              </w:rPr>
              <w:t>—</w:t>
            </w:r>
            <w:r>
              <w:rPr>
                <w:rFonts w:hint="eastAsia"/>
                <w:bCs/>
                <w:sz w:val="24"/>
                <w:szCs w:val="24"/>
                <w:lang w:val="en-US" w:eastAsia="zh-CN"/>
              </w:rPr>
              <w:t>药物</w:t>
            </w:r>
            <w:r>
              <w:rPr>
                <w:bCs/>
                <w:sz w:val="24"/>
                <w:szCs w:val="24"/>
              </w:rPr>
              <w:t>活度</w:t>
            </w:r>
            <w:r>
              <w:rPr>
                <w:bCs/>
                <w:sz w:val="24"/>
                <w:szCs w:val="24"/>
                <w:lang w:val="de-DE"/>
              </w:rPr>
              <w:t>，MBq</w:t>
            </w:r>
            <w:r>
              <w:rPr>
                <w:sz w:val="24"/>
                <w:szCs w:val="24"/>
                <w:lang w:val="de-DE"/>
              </w:rPr>
              <w:t>；</w:t>
            </w:r>
          </w:p>
          <w:p w14:paraId="4B5D335F">
            <w:pPr>
              <w:ind w:firstLine="1155"/>
              <w:rPr>
                <w:bCs/>
                <w:sz w:val="24"/>
                <w:szCs w:val="24"/>
                <w:lang w:val="de-DE"/>
              </w:rPr>
            </w:pPr>
            <w:r>
              <w:rPr>
                <w:i/>
                <w:sz w:val="24"/>
                <w:szCs w:val="24"/>
              </w:rPr>
              <w:t>Г</w:t>
            </w:r>
            <w:r>
              <w:rPr>
                <w:bCs/>
                <w:sz w:val="24"/>
                <w:szCs w:val="24"/>
                <w:lang w:val="de-DE"/>
              </w:rPr>
              <w:t>—周围剂量当量率常数，</w:t>
            </w:r>
            <w:r>
              <w:rPr>
                <w:bCs/>
                <w:sz w:val="24"/>
                <w:szCs w:val="24"/>
              </w:rPr>
              <w:t>μSv·m</w:t>
            </w:r>
            <w:r>
              <w:rPr>
                <w:bCs/>
                <w:sz w:val="24"/>
                <w:szCs w:val="24"/>
                <w:vertAlign w:val="superscript"/>
              </w:rPr>
              <w:t>2</w:t>
            </w:r>
            <w:r>
              <w:rPr>
                <w:bCs/>
                <w:sz w:val="24"/>
                <w:szCs w:val="24"/>
              </w:rPr>
              <w:t>/MBq·h</w:t>
            </w:r>
            <w:r>
              <w:rPr>
                <w:bCs/>
                <w:sz w:val="24"/>
                <w:szCs w:val="24"/>
                <w:lang w:val="de-DE"/>
              </w:rPr>
              <w:t>；</w:t>
            </w:r>
          </w:p>
          <w:p w14:paraId="64E9D906">
            <w:pPr>
              <w:ind w:firstLine="1155"/>
              <w:rPr>
                <w:bCs/>
                <w:sz w:val="24"/>
                <w:szCs w:val="24"/>
                <w:lang w:val="de-DE"/>
              </w:rPr>
            </w:pPr>
            <w:r>
              <w:rPr>
                <w:bCs/>
                <w:i/>
                <w:sz w:val="24"/>
                <w:szCs w:val="24"/>
                <w:lang w:val="de-DE"/>
              </w:rPr>
              <w:t>R</w:t>
            </w:r>
            <w:r>
              <w:rPr>
                <w:bCs/>
                <w:sz w:val="24"/>
                <w:szCs w:val="24"/>
                <w:lang w:val="de-DE"/>
              </w:rPr>
              <w:t>—参考点与辐射源间的距离，m；</w:t>
            </w:r>
          </w:p>
          <w:p w14:paraId="64DB6328">
            <w:pPr>
              <w:ind w:firstLine="1155"/>
              <w:rPr>
                <w:bCs/>
                <w:sz w:val="24"/>
                <w:szCs w:val="24"/>
                <w:lang w:val="de-DE"/>
              </w:rPr>
            </w:pPr>
            <w:r>
              <w:rPr>
                <w:bCs/>
                <w:i/>
                <w:sz w:val="24"/>
                <w:szCs w:val="24"/>
                <w:lang w:val="de-DE"/>
              </w:rPr>
              <w:t>η</w:t>
            </w:r>
            <w:r>
              <w:rPr>
                <w:bCs/>
                <w:sz w:val="24"/>
                <w:szCs w:val="24"/>
                <w:lang w:val="de-DE"/>
              </w:rPr>
              <w:t>—衰减系数；</w:t>
            </w:r>
          </w:p>
          <w:p w14:paraId="7F5BC528">
            <w:pPr>
              <w:ind w:firstLine="1155"/>
              <w:rPr>
                <w:sz w:val="24"/>
                <w:szCs w:val="24"/>
                <w:vertAlign w:val="superscript"/>
                <w:lang w:val="pt-BR"/>
              </w:rPr>
            </w:pPr>
            <w:r>
              <w:rPr>
                <w:i/>
                <w:sz w:val="24"/>
                <w:szCs w:val="24"/>
              </w:rPr>
              <w:t>d</w:t>
            </w:r>
            <w:r>
              <w:rPr>
                <w:sz w:val="24"/>
                <w:szCs w:val="24"/>
              </w:rPr>
              <w:t>—屏蔽层厚度，mm；</w:t>
            </w:r>
          </w:p>
          <w:p w14:paraId="33D18E37">
            <w:pPr>
              <w:ind w:firstLine="1155"/>
              <w:rPr>
                <w:bCs/>
                <w:i/>
                <w:sz w:val="24"/>
                <w:szCs w:val="24"/>
                <w:lang w:val="de-DE"/>
              </w:rPr>
            </w:pPr>
            <w:r>
              <w:rPr>
                <w:i/>
                <w:sz w:val="24"/>
                <w:szCs w:val="24"/>
              </w:rPr>
              <w:t>TVL</w:t>
            </w:r>
            <w:r>
              <w:rPr>
                <w:sz w:val="24"/>
                <w:szCs w:val="24"/>
              </w:rPr>
              <w:t>—γ射线铅的什值层厚度，取16.6mm；</w:t>
            </w:r>
          </w:p>
          <w:p w14:paraId="74F33F9D">
            <w:pPr>
              <w:ind w:firstLine="1155"/>
              <w:rPr>
                <w:bCs/>
                <w:sz w:val="24"/>
                <w:szCs w:val="24"/>
                <w:lang w:val="de-DE"/>
              </w:rPr>
            </w:pPr>
            <w:r>
              <w:rPr>
                <w:i/>
                <w:sz w:val="24"/>
                <w:szCs w:val="24"/>
                <w:lang w:val="de-DE"/>
              </w:rPr>
              <w:t>H</w:t>
            </w:r>
            <w:r>
              <w:rPr>
                <w:bCs/>
                <w:sz w:val="24"/>
                <w:szCs w:val="24"/>
                <w:lang w:val="de-DE"/>
              </w:rPr>
              <w:t>—</w:t>
            </w:r>
            <w:r>
              <w:rPr>
                <w:sz w:val="24"/>
                <w:szCs w:val="24"/>
              </w:rPr>
              <w:t>关注点剂量当量率</w:t>
            </w:r>
            <w:r>
              <w:rPr>
                <w:bCs/>
                <w:sz w:val="24"/>
                <w:szCs w:val="24"/>
                <w:lang w:val="de-DE"/>
              </w:rPr>
              <w:t>，μSv/h。</w:t>
            </w:r>
          </w:p>
          <w:p w14:paraId="4C6AE327">
            <w:pPr>
              <w:ind w:firstLine="482"/>
              <w:rPr>
                <w:b/>
              </w:rPr>
            </w:pPr>
            <w:r>
              <w:rPr>
                <w:b/>
              </w:rPr>
              <w:t>（2）预测参数</w:t>
            </w:r>
          </w:p>
          <w:p w14:paraId="00C5C1DC">
            <w:pPr>
              <w:widowControl/>
              <w:ind w:firstLine="480"/>
            </w:pPr>
            <w:r>
              <w:t>负一层</w:t>
            </w:r>
            <w:r>
              <w:rPr>
                <w:rFonts w:hint="eastAsia"/>
                <w:lang w:val="en-US" w:eastAsia="zh-CN"/>
              </w:rPr>
              <w:t>核医学科</w:t>
            </w:r>
            <w:r>
              <w:t>涉及使用非密封放射性物质</w:t>
            </w:r>
            <w:r>
              <w:rPr>
                <w:rFonts w:hint="eastAsia"/>
                <w:lang w:val="en-US" w:eastAsia="zh-CN"/>
              </w:rPr>
              <w:t>根据</w:t>
            </w:r>
            <w:r>
              <w:rPr>
                <w:bCs/>
              </w:rPr>
              <w:t>其使用量、使用频次和年操作时间，同时综合考虑核素</w:t>
            </w:r>
            <w:r>
              <w:t>γ射线能量、照射量常数等因素，本次以</w:t>
            </w:r>
            <w:r>
              <w:rPr>
                <w:rFonts w:hint="eastAsia"/>
                <w:bCs/>
                <w:lang w:val="en-US" w:eastAsia="zh-CN"/>
              </w:rPr>
              <w:t>表11-1的用药情况进行</w:t>
            </w:r>
            <w:r>
              <w:t>屏蔽计算。主要预测参数见下表。</w:t>
            </w:r>
          </w:p>
          <w:p w14:paraId="34F64585">
            <w:pPr>
              <w:widowControl/>
              <w:spacing w:before="163" w:line="240" w:lineRule="auto"/>
              <w:jc w:val="center"/>
              <w:rPr>
                <w:rFonts w:eastAsia="黑体"/>
                <w:bCs/>
                <w:sz w:val="21"/>
                <w:szCs w:val="18"/>
              </w:rPr>
            </w:pPr>
            <w:r>
              <w:rPr>
                <w:rFonts w:eastAsia="黑体"/>
                <w:bCs/>
                <w:sz w:val="21"/>
                <w:szCs w:val="18"/>
              </w:rPr>
              <w:t>表11-</w:t>
            </w:r>
            <w:r>
              <w:rPr>
                <w:rFonts w:hint="eastAsia" w:eastAsia="黑体"/>
                <w:bCs/>
                <w:sz w:val="21"/>
                <w:szCs w:val="18"/>
                <w:lang w:val="en-US" w:eastAsia="zh-CN"/>
              </w:rPr>
              <w:t>4</w:t>
            </w:r>
            <w:r>
              <w:rPr>
                <w:rFonts w:eastAsia="黑体"/>
                <w:bCs/>
                <w:sz w:val="21"/>
                <w:szCs w:val="18"/>
              </w:rPr>
              <w:t xml:space="preserve">  负一层</w:t>
            </w:r>
            <w:r>
              <w:rPr>
                <w:rFonts w:hint="eastAsia" w:eastAsia="黑体"/>
                <w:bCs/>
                <w:sz w:val="21"/>
                <w:szCs w:val="18"/>
                <w:lang w:val="en-US" w:eastAsia="zh-CN"/>
              </w:rPr>
              <w:t>核医学科</w:t>
            </w:r>
            <w:r>
              <w:rPr>
                <w:rFonts w:eastAsia="黑体"/>
                <w:bCs/>
                <w:sz w:val="21"/>
                <w:szCs w:val="18"/>
              </w:rPr>
              <w:t>预测参数表</w:t>
            </w:r>
          </w:p>
          <w:tbl>
            <w:tblPr>
              <w:tblStyle w:val="57"/>
              <w:tblW w:w="879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515"/>
              <w:gridCol w:w="2370"/>
              <w:gridCol w:w="1005"/>
              <w:gridCol w:w="1065"/>
              <w:gridCol w:w="1065"/>
              <w:gridCol w:w="1029"/>
            </w:tblGrid>
            <w:tr w14:paraId="5D83F9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425" w:type="pct"/>
                  <w:vAlign w:val="center"/>
                </w:tcPr>
                <w:p w14:paraId="192239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核素</w:t>
                  </w:r>
                </w:p>
              </w:tc>
              <w:tc>
                <w:tcPr>
                  <w:tcW w:w="861" w:type="pct"/>
                  <w:vAlign w:val="center"/>
                </w:tcPr>
                <w:p w14:paraId="6D3076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spacing w:val="-6"/>
                      <w:sz w:val="21"/>
                      <w:szCs w:val="21"/>
                    </w:rPr>
                  </w:pPr>
                  <w:r>
                    <w:rPr>
                      <w:rFonts w:hint="default" w:ascii="Times New Roman" w:hAnsi="Times New Roman" w:cs="Times New Roman"/>
                      <w:b w:val="0"/>
                      <w:bCs/>
                      <w:spacing w:val="-6"/>
                      <w:sz w:val="21"/>
                      <w:szCs w:val="21"/>
                    </w:rPr>
                    <w:t>周围剂量当量率常数（裸源）</w:t>
                  </w:r>
                  <w:r>
                    <w:rPr>
                      <w:rFonts w:hint="eastAsia" w:cs="Times New Roman"/>
                      <w:b w:val="0"/>
                      <w:bCs/>
                      <w:spacing w:val="-6"/>
                      <w:sz w:val="21"/>
                      <w:szCs w:val="21"/>
                      <w:lang w:eastAsia="zh-CN"/>
                    </w:rPr>
                    <w:t>，</w:t>
                  </w:r>
                  <w:r>
                    <w:rPr>
                      <w:rFonts w:hint="default" w:ascii="Times New Roman" w:hAnsi="Times New Roman" w:cs="Times New Roman"/>
                      <w:b w:val="0"/>
                      <w:bCs/>
                      <w:spacing w:val="-6"/>
                      <w:sz w:val="21"/>
                      <w:szCs w:val="21"/>
                    </w:rPr>
                    <w:t>μSv·m</w:t>
                  </w:r>
                  <w:r>
                    <w:rPr>
                      <w:rFonts w:hint="default" w:ascii="Times New Roman" w:hAnsi="Times New Roman" w:cs="Times New Roman"/>
                      <w:b w:val="0"/>
                      <w:bCs/>
                      <w:spacing w:val="-6"/>
                      <w:sz w:val="21"/>
                      <w:szCs w:val="21"/>
                      <w:vertAlign w:val="superscript"/>
                    </w:rPr>
                    <w:t>2</w:t>
                  </w:r>
                  <w:r>
                    <w:rPr>
                      <w:rFonts w:hint="default" w:ascii="Times New Roman" w:hAnsi="Times New Roman" w:cs="Times New Roman"/>
                      <w:b w:val="0"/>
                      <w:bCs/>
                      <w:spacing w:val="-6"/>
                      <w:sz w:val="21"/>
                      <w:szCs w:val="21"/>
                    </w:rPr>
                    <w:t>/MBq·h</w:t>
                  </w:r>
                </w:p>
              </w:tc>
              <w:tc>
                <w:tcPr>
                  <w:tcW w:w="1347" w:type="pct"/>
                  <w:vAlign w:val="center"/>
                </w:tcPr>
                <w:p w14:paraId="06DE85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spacing w:val="-6"/>
                      <w:sz w:val="21"/>
                      <w:szCs w:val="21"/>
                    </w:rPr>
                  </w:pPr>
                  <w:r>
                    <w:rPr>
                      <w:rFonts w:hint="default" w:ascii="Times New Roman" w:hAnsi="Times New Roman" w:cs="Times New Roman"/>
                      <w:b w:val="0"/>
                      <w:bCs/>
                      <w:spacing w:val="-6"/>
                      <w:sz w:val="21"/>
                      <w:szCs w:val="21"/>
                    </w:rPr>
                    <w:t>患者或受检者体内单位放射性活度所致体外1m处的周围剂量当量率常数</w:t>
                  </w:r>
                  <w:r>
                    <w:rPr>
                      <w:rFonts w:hint="eastAsia" w:cs="Times New Roman"/>
                      <w:b w:val="0"/>
                      <w:bCs/>
                      <w:spacing w:val="-6"/>
                      <w:sz w:val="21"/>
                      <w:szCs w:val="21"/>
                      <w:lang w:eastAsia="zh-CN"/>
                    </w:rPr>
                    <w:t>，</w:t>
                  </w:r>
                  <w:r>
                    <w:rPr>
                      <w:rFonts w:hint="default" w:ascii="Times New Roman" w:hAnsi="Times New Roman" w:cs="Times New Roman"/>
                      <w:b w:val="0"/>
                      <w:bCs/>
                      <w:spacing w:val="-6"/>
                      <w:sz w:val="21"/>
                      <w:szCs w:val="21"/>
                    </w:rPr>
                    <w:t>μSv·m</w:t>
                  </w:r>
                  <w:r>
                    <w:rPr>
                      <w:rFonts w:hint="default" w:ascii="Times New Roman" w:hAnsi="Times New Roman" w:cs="Times New Roman"/>
                      <w:b w:val="0"/>
                      <w:bCs/>
                      <w:spacing w:val="-6"/>
                      <w:sz w:val="21"/>
                      <w:szCs w:val="21"/>
                      <w:vertAlign w:val="superscript"/>
                    </w:rPr>
                    <w:t>2</w:t>
                  </w:r>
                  <w:r>
                    <w:rPr>
                      <w:rFonts w:hint="default" w:ascii="Times New Roman" w:hAnsi="Times New Roman" w:cs="Times New Roman"/>
                      <w:b w:val="0"/>
                      <w:bCs/>
                      <w:spacing w:val="-6"/>
                      <w:sz w:val="21"/>
                      <w:szCs w:val="21"/>
                    </w:rPr>
                    <w:t>/MBq·h</w:t>
                  </w:r>
                </w:p>
              </w:tc>
              <w:tc>
                <w:tcPr>
                  <w:tcW w:w="571" w:type="pct"/>
                  <w:vAlign w:val="center"/>
                </w:tcPr>
                <w:p w14:paraId="1F7145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spacing w:val="-6"/>
                      <w:sz w:val="21"/>
                      <w:szCs w:val="21"/>
                    </w:rPr>
                  </w:pPr>
                  <w:r>
                    <w:rPr>
                      <w:rFonts w:hint="default" w:ascii="Times New Roman" w:hAnsi="Times New Roman" w:cs="Times New Roman"/>
                      <w:b w:val="0"/>
                      <w:bCs/>
                      <w:spacing w:val="-6"/>
                      <w:sz w:val="21"/>
                      <w:szCs w:val="21"/>
                    </w:rPr>
                    <w:t>铅什值层厚度</w:t>
                  </w:r>
                  <w:r>
                    <w:rPr>
                      <w:rFonts w:hint="eastAsia" w:cs="Times New Roman"/>
                      <w:b w:val="0"/>
                      <w:bCs/>
                      <w:spacing w:val="-6"/>
                      <w:sz w:val="21"/>
                      <w:szCs w:val="21"/>
                      <w:lang w:eastAsia="zh-CN"/>
                    </w:rPr>
                    <w:t>，</w:t>
                  </w:r>
                  <w:r>
                    <w:rPr>
                      <w:rFonts w:hint="default" w:ascii="Times New Roman" w:hAnsi="Times New Roman" w:cs="Times New Roman"/>
                      <w:b w:val="0"/>
                      <w:bCs/>
                      <w:spacing w:val="-6"/>
                      <w:sz w:val="21"/>
                      <w:szCs w:val="21"/>
                    </w:rPr>
                    <w:t>mm</w:t>
                  </w:r>
                </w:p>
              </w:tc>
              <w:tc>
                <w:tcPr>
                  <w:tcW w:w="605" w:type="pct"/>
                  <w:vAlign w:val="center"/>
                </w:tcPr>
                <w:p w14:paraId="19414B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spacing w:val="-6"/>
                      <w:sz w:val="21"/>
                      <w:szCs w:val="21"/>
                    </w:rPr>
                  </w:pPr>
                  <w:r>
                    <w:rPr>
                      <w:rFonts w:hint="default" w:ascii="Times New Roman" w:hAnsi="Times New Roman" w:cs="Times New Roman"/>
                      <w:b w:val="0"/>
                      <w:bCs/>
                      <w:spacing w:val="-6"/>
                      <w:sz w:val="21"/>
                      <w:szCs w:val="21"/>
                    </w:rPr>
                    <w:t>混凝土什值层厚度</w:t>
                  </w:r>
                  <w:r>
                    <w:rPr>
                      <w:rFonts w:hint="eastAsia" w:cs="Times New Roman"/>
                      <w:b w:val="0"/>
                      <w:bCs/>
                      <w:spacing w:val="-6"/>
                      <w:sz w:val="21"/>
                      <w:szCs w:val="21"/>
                      <w:lang w:eastAsia="zh-CN"/>
                    </w:rPr>
                    <w:t>，</w:t>
                  </w:r>
                  <w:r>
                    <w:rPr>
                      <w:rFonts w:hint="default" w:ascii="Times New Roman" w:hAnsi="Times New Roman" w:cs="Times New Roman"/>
                      <w:b w:val="0"/>
                      <w:bCs/>
                      <w:spacing w:val="-6"/>
                      <w:sz w:val="21"/>
                      <w:szCs w:val="21"/>
                    </w:rPr>
                    <w:t>mm</w:t>
                  </w:r>
                </w:p>
              </w:tc>
              <w:tc>
                <w:tcPr>
                  <w:tcW w:w="605" w:type="pct"/>
                  <w:vAlign w:val="center"/>
                </w:tcPr>
                <w:p w14:paraId="492833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spacing w:val="-6"/>
                      <w:sz w:val="21"/>
                      <w:szCs w:val="21"/>
                    </w:rPr>
                  </w:pPr>
                  <w:r>
                    <w:rPr>
                      <w:rFonts w:hint="default" w:ascii="Times New Roman" w:hAnsi="Times New Roman" w:cs="Times New Roman"/>
                      <w:b w:val="0"/>
                      <w:bCs/>
                      <w:spacing w:val="-6"/>
                      <w:sz w:val="21"/>
                      <w:szCs w:val="21"/>
                    </w:rPr>
                    <w:t>实心砖什值层厚度</w:t>
                  </w:r>
                  <w:r>
                    <w:rPr>
                      <w:rFonts w:hint="eastAsia" w:cs="Times New Roman"/>
                      <w:b w:val="0"/>
                      <w:bCs/>
                      <w:spacing w:val="-6"/>
                      <w:sz w:val="21"/>
                      <w:szCs w:val="21"/>
                      <w:lang w:eastAsia="zh-CN"/>
                    </w:rPr>
                    <w:t>，</w:t>
                  </w:r>
                  <w:r>
                    <w:rPr>
                      <w:rFonts w:hint="default" w:ascii="Times New Roman" w:hAnsi="Times New Roman" w:cs="Times New Roman"/>
                      <w:b w:val="0"/>
                      <w:bCs/>
                      <w:spacing w:val="-6"/>
                      <w:sz w:val="21"/>
                      <w:szCs w:val="21"/>
                    </w:rPr>
                    <w:t>mm</w:t>
                  </w:r>
                </w:p>
              </w:tc>
              <w:tc>
                <w:tcPr>
                  <w:tcW w:w="584" w:type="pct"/>
                  <w:vAlign w:val="center"/>
                </w:tcPr>
                <w:p w14:paraId="615025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val="0"/>
                      <w:bCs/>
                      <w:spacing w:val="-6"/>
                      <w:sz w:val="21"/>
                      <w:szCs w:val="21"/>
                    </w:rPr>
                  </w:pPr>
                  <w:r>
                    <w:rPr>
                      <w:rFonts w:hint="eastAsia" w:cs="Times New Roman"/>
                      <w:b w:val="0"/>
                      <w:bCs/>
                      <w:spacing w:val="-6"/>
                      <w:sz w:val="21"/>
                      <w:szCs w:val="21"/>
                      <w:lang w:val="en-US" w:eastAsia="zh-CN"/>
                    </w:rPr>
                    <w:t>硫酸钡什值层厚度</w:t>
                  </w:r>
                  <w:r>
                    <w:rPr>
                      <w:rFonts w:hint="eastAsia" w:cs="Times New Roman"/>
                      <w:b w:val="0"/>
                      <w:bCs/>
                      <w:spacing w:val="-6"/>
                      <w:sz w:val="21"/>
                      <w:szCs w:val="21"/>
                      <w:vertAlign w:val="superscript"/>
                      <w:lang w:val="en-US" w:eastAsia="zh-CN"/>
                    </w:rPr>
                    <w:t>②</w:t>
                  </w:r>
                  <w:r>
                    <w:rPr>
                      <w:rFonts w:hint="eastAsia" w:cs="Times New Roman"/>
                      <w:b w:val="0"/>
                      <w:bCs/>
                      <w:spacing w:val="-6"/>
                      <w:sz w:val="21"/>
                      <w:szCs w:val="21"/>
                      <w:lang w:val="en-US" w:eastAsia="zh-CN"/>
                    </w:rPr>
                    <w:t>，mm</w:t>
                  </w:r>
                </w:p>
              </w:tc>
            </w:tr>
            <w:tr w14:paraId="1D229B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25" w:type="pct"/>
                  <w:vAlign w:val="center"/>
                </w:tcPr>
                <w:p w14:paraId="109B10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vertAlign w:val="superscript"/>
                    </w:rPr>
                    <w:t>18</w:t>
                  </w:r>
                  <w:r>
                    <w:rPr>
                      <w:rFonts w:hint="default" w:ascii="Times New Roman" w:hAnsi="Times New Roman" w:cs="Times New Roman"/>
                      <w:bCs/>
                      <w:sz w:val="21"/>
                      <w:szCs w:val="21"/>
                    </w:rPr>
                    <w:t>F</w:t>
                  </w:r>
                </w:p>
              </w:tc>
              <w:tc>
                <w:tcPr>
                  <w:tcW w:w="861" w:type="pct"/>
                  <w:vAlign w:val="center"/>
                </w:tcPr>
                <w:p w14:paraId="076E15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0.143</w:t>
                  </w:r>
                </w:p>
              </w:tc>
              <w:tc>
                <w:tcPr>
                  <w:tcW w:w="1347" w:type="pct"/>
                  <w:vAlign w:val="center"/>
                </w:tcPr>
                <w:p w14:paraId="772301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0.092</w:t>
                  </w:r>
                </w:p>
              </w:tc>
              <w:tc>
                <w:tcPr>
                  <w:tcW w:w="571" w:type="pct"/>
                  <w:vAlign w:val="center"/>
                </w:tcPr>
                <w:p w14:paraId="417F11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16.6</w:t>
                  </w:r>
                </w:p>
              </w:tc>
              <w:tc>
                <w:tcPr>
                  <w:tcW w:w="605" w:type="pct"/>
                  <w:vAlign w:val="center"/>
                </w:tcPr>
                <w:p w14:paraId="2B8932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176</w:t>
                  </w:r>
                </w:p>
              </w:tc>
              <w:tc>
                <w:tcPr>
                  <w:tcW w:w="605" w:type="pct"/>
                </w:tcPr>
                <w:p w14:paraId="54669D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263</w:t>
                  </w:r>
                </w:p>
              </w:tc>
              <w:tc>
                <w:tcPr>
                  <w:tcW w:w="584" w:type="pct"/>
                </w:tcPr>
                <w:p w14:paraId="118244E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cs="Times New Roman"/>
                      <w:bCs/>
                      <w:sz w:val="21"/>
                      <w:szCs w:val="21"/>
                      <w:lang w:val="en-US" w:eastAsia="zh-CN"/>
                    </w:rPr>
                    <w:t>100</w:t>
                  </w:r>
                </w:p>
              </w:tc>
            </w:tr>
            <w:tr w14:paraId="68DCFD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425" w:type="pct"/>
                  <w:vAlign w:val="center"/>
                </w:tcPr>
                <w:p w14:paraId="589F68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vertAlign w:val="superscript"/>
                      <w:lang w:val="en-US" w:eastAsia="zh-CN"/>
                    </w:rPr>
                  </w:pPr>
                  <w:r>
                    <w:rPr>
                      <w:rFonts w:hint="eastAsia" w:ascii="Times New Roman" w:hAnsi="Times New Roman" w:cs="Times New Roman"/>
                      <w:bCs/>
                      <w:sz w:val="21"/>
                      <w:szCs w:val="21"/>
                      <w:vertAlign w:val="superscript"/>
                      <w:lang w:val="en-US" w:eastAsia="zh-CN"/>
                    </w:rPr>
                    <w:t>99m</w:t>
                  </w:r>
                  <w:r>
                    <w:rPr>
                      <w:rFonts w:hint="eastAsia" w:ascii="Times New Roman" w:hAnsi="Times New Roman" w:cs="Times New Roman"/>
                      <w:bCs/>
                      <w:sz w:val="21"/>
                      <w:szCs w:val="21"/>
                      <w:vertAlign w:val="baseline"/>
                      <w:lang w:val="en-US" w:eastAsia="zh-CN"/>
                    </w:rPr>
                    <w:t>Tc</w:t>
                  </w:r>
                </w:p>
              </w:tc>
              <w:tc>
                <w:tcPr>
                  <w:tcW w:w="861" w:type="pct"/>
                  <w:vAlign w:val="center"/>
                </w:tcPr>
                <w:p w14:paraId="3F48D0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0.0303</w:t>
                  </w:r>
                </w:p>
              </w:tc>
              <w:tc>
                <w:tcPr>
                  <w:tcW w:w="1347" w:type="pct"/>
                  <w:vAlign w:val="center"/>
                </w:tcPr>
                <w:p w14:paraId="793B3A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0.</w:t>
                  </w:r>
                  <w:r>
                    <w:rPr>
                      <w:rFonts w:hint="eastAsia" w:cs="Times New Roman"/>
                      <w:bCs/>
                      <w:sz w:val="21"/>
                      <w:szCs w:val="21"/>
                      <w:lang w:val="en-US" w:eastAsia="zh-CN"/>
                    </w:rPr>
                    <w:t>0</w:t>
                  </w:r>
                  <w:r>
                    <w:rPr>
                      <w:rFonts w:hint="eastAsia" w:ascii="Times New Roman" w:hAnsi="Times New Roman" w:cs="Times New Roman"/>
                      <w:bCs/>
                      <w:sz w:val="21"/>
                      <w:szCs w:val="21"/>
                      <w:lang w:val="en-US" w:eastAsia="zh-CN"/>
                    </w:rPr>
                    <w:t>207</w:t>
                  </w:r>
                </w:p>
              </w:tc>
              <w:tc>
                <w:tcPr>
                  <w:tcW w:w="571" w:type="pct"/>
                  <w:vAlign w:val="center"/>
                </w:tcPr>
                <w:p w14:paraId="452321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1</w:t>
                  </w:r>
                </w:p>
              </w:tc>
              <w:tc>
                <w:tcPr>
                  <w:tcW w:w="605" w:type="pct"/>
                  <w:vAlign w:val="center"/>
                </w:tcPr>
                <w:p w14:paraId="79A190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110</w:t>
                  </w:r>
                </w:p>
              </w:tc>
              <w:tc>
                <w:tcPr>
                  <w:tcW w:w="605" w:type="pct"/>
                </w:tcPr>
                <w:p w14:paraId="7F5C27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160</w:t>
                  </w:r>
                </w:p>
              </w:tc>
              <w:tc>
                <w:tcPr>
                  <w:tcW w:w="584" w:type="pct"/>
                </w:tcPr>
                <w:p w14:paraId="13295D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lang w:val="en-US" w:eastAsia="zh-CN"/>
                    </w:rPr>
                  </w:pPr>
                  <w:r>
                    <w:rPr>
                      <w:rFonts w:hint="eastAsia" w:cs="Times New Roman"/>
                      <w:bCs/>
                      <w:sz w:val="21"/>
                      <w:szCs w:val="21"/>
                      <w:lang w:val="en-US" w:eastAsia="zh-CN"/>
                    </w:rPr>
                    <w:t>40</w:t>
                  </w:r>
                </w:p>
              </w:tc>
            </w:tr>
            <w:tr w14:paraId="292F4E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25" w:type="pct"/>
                  <w:vAlign w:val="center"/>
                </w:tcPr>
                <w:p w14:paraId="39F3D0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vertAlign w:val="superscript"/>
                      <w:lang w:val="en-US" w:eastAsia="zh-CN"/>
                    </w:rPr>
                  </w:pPr>
                  <w:r>
                    <w:rPr>
                      <w:rFonts w:hint="eastAsia" w:ascii="Times New Roman" w:hAnsi="Times New Roman" w:cs="Times New Roman"/>
                      <w:bCs/>
                      <w:sz w:val="21"/>
                      <w:szCs w:val="21"/>
                      <w:vertAlign w:val="superscript"/>
                      <w:lang w:val="en-US" w:eastAsia="zh-CN"/>
                    </w:rPr>
                    <w:t>131</w:t>
                  </w:r>
                  <w:r>
                    <w:rPr>
                      <w:rFonts w:hint="eastAsia" w:ascii="Times New Roman" w:hAnsi="Times New Roman" w:cs="Times New Roman"/>
                      <w:bCs/>
                      <w:sz w:val="21"/>
                      <w:szCs w:val="21"/>
                      <w:vertAlign w:val="baseline"/>
                      <w:lang w:val="en-US" w:eastAsia="zh-CN"/>
                    </w:rPr>
                    <w:t>I</w:t>
                  </w:r>
                </w:p>
              </w:tc>
              <w:tc>
                <w:tcPr>
                  <w:tcW w:w="861" w:type="pct"/>
                  <w:vAlign w:val="center"/>
                </w:tcPr>
                <w:p w14:paraId="20F817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0.0595</w:t>
                  </w:r>
                </w:p>
              </w:tc>
              <w:tc>
                <w:tcPr>
                  <w:tcW w:w="1347" w:type="pct"/>
                  <w:vAlign w:val="center"/>
                </w:tcPr>
                <w:p w14:paraId="17B275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0</w:t>
                  </w:r>
                  <w:r>
                    <w:rPr>
                      <w:rFonts w:hint="eastAsia" w:cs="Times New Roman"/>
                      <w:bCs/>
                      <w:sz w:val="21"/>
                      <w:szCs w:val="21"/>
                      <w:lang w:val="en-US" w:eastAsia="zh-CN"/>
                    </w:rPr>
                    <w:t>.</w:t>
                  </w:r>
                  <w:r>
                    <w:rPr>
                      <w:rFonts w:hint="eastAsia" w:ascii="Times New Roman" w:hAnsi="Times New Roman" w:cs="Times New Roman"/>
                      <w:bCs/>
                      <w:sz w:val="21"/>
                      <w:szCs w:val="21"/>
                      <w:lang w:val="en-US" w:eastAsia="zh-CN"/>
                    </w:rPr>
                    <w:t>0583</w:t>
                  </w:r>
                </w:p>
              </w:tc>
              <w:tc>
                <w:tcPr>
                  <w:tcW w:w="571" w:type="pct"/>
                  <w:vAlign w:val="center"/>
                </w:tcPr>
                <w:p w14:paraId="779E6D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11</w:t>
                  </w:r>
                </w:p>
              </w:tc>
              <w:tc>
                <w:tcPr>
                  <w:tcW w:w="605" w:type="pct"/>
                  <w:vAlign w:val="center"/>
                </w:tcPr>
                <w:p w14:paraId="245F84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170</w:t>
                  </w:r>
                </w:p>
              </w:tc>
              <w:tc>
                <w:tcPr>
                  <w:tcW w:w="605" w:type="pct"/>
                </w:tcPr>
                <w:p w14:paraId="39F8E4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cs="Times New Roman"/>
                      <w:bCs/>
                      <w:sz w:val="21"/>
                      <w:szCs w:val="21"/>
                      <w:lang w:val="en-US" w:eastAsia="zh-CN"/>
                    </w:rPr>
                    <w:t>240</w:t>
                  </w:r>
                </w:p>
              </w:tc>
              <w:tc>
                <w:tcPr>
                  <w:tcW w:w="584" w:type="pct"/>
                </w:tcPr>
                <w:p w14:paraId="150AC8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Cs/>
                      <w:sz w:val="21"/>
                      <w:szCs w:val="21"/>
                      <w:lang w:val="en-US" w:eastAsia="zh-CN"/>
                    </w:rPr>
                  </w:pPr>
                  <w:r>
                    <w:rPr>
                      <w:rFonts w:hint="eastAsia" w:cs="Times New Roman"/>
                      <w:bCs/>
                      <w:sz w:val="21"/>
                      <w:szCs w:val="21"/>
                      <w:lang w:val="en-US" w:eastAsia="zh-CN"/>
                    </w:rPr>
                    <w:t>80</w:t>
                  </w:r>
                </w:p>
              </w:tc>
            </w:tr>
          </w:tbl>
          <w:p w14:paraId="0AD4F9EA">
            <w:pPr>
              <w:ind w:firstLine="482"/>
              <w:rPr>
                <w:b/>
              </w:rPr>
            </w:pPr>
            <w:r>
              <w:rPr>
                <w:b/>
              </w:rPr>
              <w:t>（3）预测点位选择及控制剂量率</w:t>
            </w:r>
          </w:p>
          <w:p w14:paraId="0A6F1B10">
            <w:pPr>
              <w:ind w:firstLine="480"/>
            </w:pPr>
            <w:r>
              <w:t>本次评价主要选择控制区内屏蔽体外表面30cm处，同时选择控制区内手套箱、注射窗等设备外表面30cm处人</w:t>
            </w:r>
            <w:r>
              <w:rPr>
                <w:bCs/>
              </w:rPr>
              <w:t>员操作位</w:t>
            </w:r>
            <w:r>
              <w:t>进行评价，对于楼上、楼下区域，本次主要选择使用核素活度较大且人员居留时间较长的区域进行评价。负一层</w:t>
            </w:r>
            <w:r>
              <w:rPr>
                <w:rFonts w:hint="eastAsia"/>
                <w:lang w:val="en-US" w:eastAsia="zh-CN"/>
              </w:rPr>
              <w:t>核医学科</w:t>
            </w:r>
            <w:r>
              <w:t>的各关注点辐射剂量率计算结果见表11-</w:t>
            </w:r>
            <w:r>
              <w:rPr>
                <w:rFonts w:hint="eastAsia"/>
                <w:lang w:val="en-US" w:eastAsia="zh-CN"/>
              </w:rPr>
              <w:t>5</w:t>
            </w:r>
            <w:r>
              <w:t>。</w:t>
            </w:r>
          </w:p>
          <w:p w14:paraId="71CC4849">
            <w:pPr>
              <w:ind w:firstLine="480"/>
            </w:pPr>
            <w:r>
              <w:t>根据表11-</w:t>
            </w:r>
            <w:r>
              <w:rPr>
                <w:rFonts w:hint="eastAsia"/>
                <w:lang w:val="en-US" w:eastAsia="zh-CN"/>
              </w:rPr>
              <w:t>5</w:t>
            </w:r>
            <w:r>
              <w:t>可知：①控制区内人员经常性停留的房间四周墙体、防护门、观察窗外表面30cm处周围剂量当量率最大值</w:t>
            </w:r>
            <w:r>
              <w:rPr>
                <w:highlight w:val="none"/>
              </w:rPr>
              <w:t>为</w:t>
            </w:r>
            <w:r>
              <w:rPr>
                <w:rFonts w:hint="eastAsia"/>
                <w:highlight w:val="none"/>
                <w:lang w:val="en-US" w:eastAsia="zh-CN"/>
              </w:rPr>
              <w:t>2.18</w:t>
            </w:r>
            <w:r>
              <w:rPr>
                <w:highlight w:val="none"/>
              </w:rPr>
              <w:t>μSv/h，满足2.5μSv/h控制剂量率要求；②控制区内手套箱、注射窗等设备外表面30cm处人员操作位周围剂量当量率最大值为</w:t>
            </w:r>
            <w:r>
              <w:rPr>
                <w:rFonts w:hint="eastAsia"/>
                <w:highlight w:val="none"/>
                <w:lang w:val="en-US" w:eastAsia="zh-CN"/>
              </w:rPr>
              <w:t>2.41</w:t>
            </w:r>
            <w:r>
              <w:rPr>
                <w:highlight w:val="none"/>
              </w:rPr>
              <w:t>μSv/h，满足2.5μSv/h控制剂量率要求；③控制区内</w:t>
            </w:r>
            <w:r>
              <w:t>屏蔽体外人员偶尔居留的区域（如注射室防护门外、注射后等候室防护门外、PET/CT机房门外、</w:t>
            </w:r>
            <w:r>
              <w:rPr>
                <w:rFonts w:hint="eastAsia"/>
                <w:lang w:val="en-US" w:eastAsia="zh-CN"/>
              </w:rPr>
              <w:t>SPECT/CT</w:t>
            </w:r>
            <w:r>
              <w:t>机房门外、留观室防护门外、患者走廊防护门外）周围剂量当量率最大值</w:t>
            </w:r>
            <w:r>
              <w:rPr>
                <w:highlight w:val="none"/>
              </w:rPr>
              <w:t>为</w:t>
            </w:r>
            <w:r>
              <w:rPr>
                <w:rFonts w:hint="eastAsia"/>
                <w:highlight w:val="none"/>
                <w:lang w:val="en-US" w:eastAsia="zh-CN"/>
              </w:rPr>
              <w:t>8.42</w:t>
            </w:r>
            <w:r>
              <w:rPr>
                <w:highlight w:val="none"/>
              </w:rPr>
              <w:t>μSv/h，满</w:t>
            </w:r>
            <w:r>
              <w:t>足10μSv/h控制剂量率要求。上述屏蔽体外关注点周围剂量当量率均满足《核医学辐射防护与安全要求》（HJ1188-2021）的相关要求，因此负一层</w:t>
            </w:r>
            <w:r>
              <w:rPr>
                <w:rFonts w:hint="eastAsia"/>
                <w:lang w:val="en-US" w:eastAsia="zh-CN"/>
              </w:rPr>
              <w:t>核医学科</w:t>
            </w:r>
            <w:r>
              <w:t>的辐射防护屏蔽设计是合理的。</w:t>
            </w:r>
          </w:p>
          <w:p w14:paraId="7F1E22FC">
            <w:pPr>
              <w:ind w:firstLine="480"/>
            </w:pPr>
            <w:r>
              <w:t>实际运行中，病人在用药后留观过程中，由于衰变和身体排出导致病人体内核素的活度不断减少，因而对屏蔽体外的辐射影响也不断降低。</w:t>
            </w:r>
          </w:p>
          <w:p w14:paraId="795BCCF7">
            <w:pPr>
              <w:ind w:firstLine="480"/>
            </w:pPr>
          </w:p>
        </w:tc>
      </w:tr>
    </w:tbl>
    <w:p w14:paraId="11EF49E6">
      <w:pPr>
        <w:sectPr>
          <w:pgSz w:w="11907" w:h="16839"/>
          <w:pgMar w:top="1106" w:right="1440" w:bottom="1276" w:left="1440" w:header="851" w:footer="567" w:gutter="0"/>
          <w:pgBorders>
            <w:top w:val="none" w:sz="0" w:space="0"/>
            <w:left w:val="none" w:sz="0" w:space="0"/>
            <w:bottom w:val="none" w:sz="0" w:space="0"/>
            <w:right w:val="none" w:sz="0" w:space="0"/>
          </w:pgBorders>
          <w:cols w:space="720" w:num="1"/>
          <w:docGrid w:linePitch="360" w:charSpace="0"/>
        </w:sectPr>
      </w:pPr>
    </w:p>
    <w:p w14:paraId="23F2B2A8">
      <w:pPr>
        <w:widowControl/>
        <w:spacing w:before="163" w:line="240" w:lineRule="auto"/>
        <w:jc w:val="center"/>
        <w:rPr>
          <w:rFonts w:eastAsia="黑体"/>
          <w:bCs/>
          <w:sz w:val="21"/>
          <w:szCs w:val="18"/>
        </w:rPr>
      </w:pPr>
      <w:r>
        <w:rPr>
          <w:rFonts w:eastAsia="黑体"/>
          <w:bCs/>
          <w:sz w:val="21"/>
          <w:szCs w:val="18"/>
        </w:rPr>
        <w:t>表11-</w:t>
      </w:r>
      <w:r>
        <w:rPr>
          <w:rFonts w:hint="eastAsia" w:eastAsia="黑体"/>
          <w:bCs/>
          <w:sz w:val="21"/>
          <w:szCs w:val="18"/>
          <w:lang w:val="en-US" w:eastAsia="zh-CN"/>
        </w:rPr>
        <w:t>5</w:t>
      </w:r>
      <w:r>
        <w:rPr>
          <w:rFonts w:eastAsia="黑体"/>
          <w:bCs/>
          <w:sz w:val="21"/>
          <w:szCs w:val="18"/>
        </w:rPr>
        <w:t xml:space="preserve">  负一层</w:t>
      </w:r>
      <w:r>
        <w:rPr>
          <w:rFonts w:hint="eastAsia" w:eastAsia="黑体"/>
          <w:bCs/>
          <w:sz w:val="21"/>
          <w:szCs w:val="18"/>
          <w:lang w:val="en-US" w:eastAsia="zh-CN"/>
        </w:rPr>
        <w:t>核医学科</w:t>
      </w:r>
      <w:r>
        <w:rPr>
          <w:rFonts w:eastAsia="黑体"/>
          <w:bCs/>
          <w:sz w:val="21"/>
          <w:szCs w:val="18"/>
        </w:rPr>
        <w:t>关注点辐射剂量率核算表</w:t>
      </w:r>
    </w:p>
    <w:tbl>
      <w:tblPr>
        <w:tblStyle w:val="57"/>
        <w:tblW w:w="148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1"/>
        <w:gridCol w:w="1740"/>
        <w:gridCol w:w="690"/>
        <w:gridCol w:w="1140"/>
        <w:gridCol w:w="1865"/>
        <w:gridCol w:w="1225"/>
        <w:gridCol w:w="1320"/>
        <w:gridCol w:w="1950"/>
        <w:gridCol w:w="1440"/>
        <w:gridCol w:w="1380"/>
        <w:gridCol w:w="945"/>
      </w:tblGrid>
      <w:tr w14:paraId="3AFD5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861" w:type="dxa"/>
            <w:gridSpan w:val="2"/>
            <w:tcBorders>
              <w:top w:val="single" w:color="000000" w:sz="8" w:space="0"/>
              <w:left w:val="nil"/>
              <w:bottom w:val="single" w:color="000000" w:sz="8" w:space="0"/>
              <w:right w:val="single" w:color="000000" w:sz="8" w:space="0"/>
            </w:tcBorders>
            <w:shd w:val="clear" w:color="auto" w:fill="auto"/>
            <w:vAlign w:val="center"/>
          </w:tcPr>
          <w:p w14:paraId="554233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关注点位置</w:t>
            </w:r>
          </w:p>
        </w:tc>
        <w:tc>
          <w:tcPr>
            <w:tcW w:w="1830"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72BF3C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辐射源强（</w:t>
            </w:r>
            <w:r>
              <w:rPr>
                <w:rFonts w:hint="default" w:ascii="Times New Roman" w:hAnsi="Times New Roman" w:eastAsia="宋体" w:cs="Times New Roman"/>
                <w:b w:val="0"/>
                <w:bCs w:val="0"/>
                <w:i w:val="0"/>
                <w:iCs w:val="0"/>
                <w:color w:val="000000"/>
                <w:kern w:val="0"/>
                <w:sz w:val="21"/>
                <w:szCs w:val="21"/>
                <w:u w:val="none"/>
                <w:lang w:val="en-US" w:eastAsia="zh-CN" w:bidi="ar"/>
              </w:rPr>
              <w:t>MBq</w:t>
            </w:r>
            <w:r>
              <w:rPr>
                <w:rFonts w:hint="eastAsia" w:ascii="宋体" w:hAnsi="宋体" w:eastAsia="宋体" w:cs="宋体"/>
                <w:b w:val="0"/>
                <w:bCs w:val="0"/>
                <w:i w:val="0"/>
                <w:iCs w:val="0"/>
                <w:color w:val="000000"/>
                <w:kern w:val="0"/>
                <w:sz w:val="21"/>
                <w:szCs w:val="21"/>
                <w:u w:val="none"/>
                <w:lang w:val="en-US" w:eastAsia="zh-CN" w:bidi="ar"/>
              </w:rPr>
              <w:t>）</w:t>
            </w:r>
          </w:p>
        </w:tc>
        <w:tc>
          <w:tcPr>
            <w:tcW w:w="18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A9BC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屏蔽材料及设计厚度（</w:t>
            </w:r>
            <w:r>
              <w:rPr>
                <w:rFonts w:hint="default" w:ascii="Times New Roman" w:hAnsi="Times New Roman" w:eastAsia="宋体" w:cs="Times New Roman"/>
                <w:b w:val="0"/>
                <w:bCs w:val="0"/>
                <w:i w:val="0"/>
                <w:iCs w:val="0"/>
                <w:color w:val="000000"/>
                <w:kern w:val="0"/>
                <w:sz w:val="21"/>
                <w:szCs w:val="21"/>
                <w:u w:val="none"/>
                <w:lang w:val="en-US" w:eastAsia="zh-CN" w:bidi="ar"/>
              </w:rPr>
              <w:t>mm</w:t>
            </w:r>
            <w:r>
              <w:rPr>
                <w:rFonts w:hint="eastAsia" w:ascii="宋体" w:hAnsi="宋体" w:eastAsia="宋体" w:cs="宋体"/>
                <w:b w:val="0"/>
                <w:bCs w:val="0"/>
                <w:i w:val="0"/>
                <w:iCs w:val="0"/>
                <w:color w:val="000000"/>
                <w:kern w:val="0"/>
                <w:sz w:val="21"/>
                <w:szCs w:val="21"/>
                <w:u w:val="none"/>
                <w:lang w:val="en-US" w:eastAsia="zh-CN" w:bidi="ar"/>
              </w:rPr>
              <w:t>）</w:t>
            </w:r>
          </w:p>
        </w:tc>
        <w:tc>
          <w:tcPr>
            <w:tcW w:w="12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2A3F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衰减系数</w:t>
            </w:r>
            <w:r>
              <w:rPr>
                <w:rFonts w:hint="default" w:ascii="Times New Roman" w:hAnsi="Times New Roman" w:eastAsia="宋体" w:cs="Times New Roman"/>
                <w:b w:val="0"/>
                <w:bCs w:val="0"/>
                <w:i w:val="0"/>
                <w:iCs w:val="0"/>
                <w:color w:val="000000"/>
                <w:kern w:val="0"/>
                <w:sz w:val="21"/>
                <w:szCs w:val="21"/>
                <w:u w:val="none"/>
                <w:lang w:val="en-US" w:eastAsia="zh-CN" w:bidi="ar"/>
              </w:rPr>
              <w:t>η</w:t>
            </w:r>
          </w:p>
        </w:tc>
        <w:tc>
          <w:tcPr>
            <w:tcW w:w="13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3E09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源距参考点距离（</w:t>
            </w:r>
            <w:r>
              <w:rPr>
                <w:rFonts w:hint="default" w:ascii="Times New Roman" w:hAnsi="Times New Roman" w:eastAsia="宋体" w:cs="Times New Roman"/>
                <w:b w:val="0"/>
                <w:bCs w:val="0"/>
                <w:i w:val="0"/>
                <w:iCs w:val="0"/>
                <w:color w:val="000000"/>
                <w:kern w:val="0"/>
                <w:sz w:val="21"/>
                <w:szCs w:val="21"/>
                <w:u w:val="none"/>
                <w:lang w:val="en-US" w:eastAsia="zh-CN" w:bidi="ar"/>
              </w:rPr>
              <w:t>m</w:t>
            </w:r>
            <w:r>
              <w:rPr>
                <w:rFonts w:hint="eastAsia" w:ascii="宋体" w:hAnsi="宋体" w:eastAsia="宋体" w:cs="宋体"/>
                <w:b w:val="0"/>
                <w:bCs w:val="0"/>
                <w:i w:val="0"/>
                <w:iCs w:val="0"/>
                <w:color w:val="000000"/>
                <w:kern w:val="0"/>
                <w:sz w:val="21"/>
                <w:szCs w:val="21"/>
                <w:u w:val="none"/>
                <w:lang w:val="en-US" w:eastAsia="zh-CN" w:bidi="ar"/>
              </w:rPr>
              <w:t>）</w:t>
            </w:r>
          </w:p>
        </w:tc>
        <w:tc>
          <w:tcPr>
            <w:tcW w:w="19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E7EE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周围剂量当量率常数</w:t>
            </w:r>
            <w:r>
              <w:rPr>
                <w:rFonts w:hint="default" w:ascii="Times New Roman" w:hAnsi="Times New Roman" w:eastAsia="宋体" w:cs="Times New Roman"/>
                <w:b w:val="0"/>
                <w:bCs w:val="0"/>
                <w:i w:val="0"/>
                <w:iCs w:val="0"/>
                <w:color w:val="000000"/>
                <w:kern w:val="0"/>
                <w:sz w:val="21"/>
                <w:szCs w:val="21"/>
                <w:u w:val="none"/>
                <w:lang w:val="en-US" w:eastAsia="zh-CN" w:bidi="ar"/>
              </w:rPr>
              <w:t>(μSv·m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/MBq·h)</w:t>
            </w:r>
          </w:p>
        </w:tc>
        <w:tc>
          <w:tcPr>
            <w:tcW w:w="144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F650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剂量率计算值（</w:t>
            </w:r>
            <w:r>
              <w:rPr>
                <w:rFonts w:hint="default" w:ascii="Times New Roman" w:hAnsi="Times New Roman" w:eastAsia="宋体" w:cs="Times New Roman"/>
                <w:b w:val="0"/>
                <w:bCs w:val="0"/>
                <w:i w:val="0"/>
                <w:iCs w:val="0"/>
                <w:color w:val="000000"/>
                <w:kern w:val="0"/>
                <w:sz w:val="21"/>
                <w:szCs w:val="21"/>
                <w:u w:val="none"/>
                <w:lang w:val="en-US" w:eastAsia="zh-CN" w:bidi="ar"/>
              </w:rPr>
              <w:t>μSv/h</w:t>
            </w:r>
            <w:r>
              <w:rPr>
                <w:rFonts w:hint="eastAsia" w:ascii="宋体" w:hAnsi="宋体" w:eastAsia="宋体" w:cs="宋体"/>
                <w:b w:val="0"/>
                <w:bCs w:val="0"/>
                <w:i w:val="0"/>
                <w:iCs w:val="0"/>
                <w:color w:val="000000"/>
                <w:kern w:val="0"/>
                <w:sz w:val="21"/>
                <w:szCs w:val="21"/>
                <w:u w:val="none"/>
                <w:lang w:val="en-US" w:eastAsia="zh-CN" w:bidi="ar"/>
              </w:rPr>
              <w:t>）</w:t>
            </w:r>
          </w:p>
        </w:tc>
        <w:tc>
          <w:tcPr>
            <w:tcW w:w="1380" w:type="dxa"/>
            <w:tcBorders>
              <w:top w:val="single" w:color="000000" w:sz="8" w:space="0"/>
              <w:left w:val="single" w:color="000000" w:sz="8" w:space="0"/>
              <w:right w:val="single" w:color="000000" w:sz="8" w:space="0"/>
            </w:tcBorders>
            <w:shd w:val="clear" w:color="auto" w:fill="auto"/>
            <w:vAlign w:val="center"/>
          </w:tcPr>
          <w:p w14:paraId="21FDB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剂量率控制值（</w:t>
            </w:r>
            <w:r>
              <w:rPr>
                <w:rFonts w:hint="default" w:ascii="Times New Roman" w:hAnsi="Times New Roman" w:eastAsia="宋体" w:cs="Times New Roman"/>
                <w:b w:val="0"/>
                <w:bCs w:val="0"/>
                <w:i w:val="0"/>
                <w:iCs w:val="0"/>
                <w:color w:val="000000"/>
                <w:kern w:val="0"/>
                <w:sz w:val="21"/>
                <w:szCs w:val="21"/>
                <w:u w:val="none"/>
                <w:lang w:val="en-US" w:eastAsia="zh-CN" w:bidi="ar"/>
              </w:rPr>
              <w:t>μSv/h</w:t>
            </w:r>
            <w:r>
              <w:rPr>
                <w:rFonts w:hint="eastAsia" w:ascii="宋体" w:hAnsi="宋体" w:eastAsia="宋体" w:cs="宋体"/>
                <w:b w:val="0"/>
                <w:bCs w:val="0"/>
                <w:i w:val="0"/>
                <w:iCs w:val="0"/>
                <w:color w:val="000000"/>
                <w:kern w:val="0"/>
                <w:sz w:val="21"/>
                <w:szCs w:val="21"/>
                <w:u w:val="none"/>
                <w:lang w:val="en-US" w:eastAsia="zh-CN" w:bidi="ar"/>
              </w:rPr>
              <w:t>）</w:t>
            </w:r>
          </w:p>
        </w:tc>
        <w:tc>
          <w:tcPr>
            <w:tcW w:w="945" w:type="dxa"/>
            <w:tcBorders>
              <w:top w:val="single" w:color="000000" w:sz="8" w:space="0"/>
              <w:left w:val="single" w:color="000000" w:sz="8" w:space="0"/>
              <w:bottom w:val="single" w:color="000000" w:sz="8" w:space="0"/>
              <w:right w:val="nil"/>
            </w:tcBorders>
            <w:shd w:val="clear" w:color="auto" w:fill="auto"/>
            <w:vAlign w:val="center"/>
          </w:tcPr>
          <w:p w14:paraId="72613B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是否满足要求</w:t>
            </w:r>
          </w:p>
        </w:tc>
      </w:tr>
      <w:tr w14:paraId="72B6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6E8B2C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分装室</w:t>
            </w:r>
            <w:r>
              <w:rPr>
                <w:rFonts w:hint="default" w:ascii="Times New Roman" w:hAnsi="Times New Roman" w:eastAsia="宋体" w:cs="Times New Roman"/>
                <w:i w:val="0"/>
                <w:iCs w:val="0"/>
                <w:color w:val="000000"/>
                <w:kern w:val="0"/>
                <w:sz w:val="21"/>
                <w:szCs w:val="21"/>
                <w:u w:val="none"/>
                <w:lang w:val="en-US" w:eastAsia="zh-CN" w:bidi="ar"/>
              </w:rPr>
              <w:t>1#</w:t>
            </w:r>
          </w:p>
        </w:tc>
        <w:tc>
          <w:tcPr>
            <w:tcW w:w="1740" w:type="dxa"/>
            <w:vMerge w:val="restart"/>
            <w:tcBorders>
              <w:top w:val="nil"/>
              <w:left w:val="single" w:color="000000" w:sz="8" w:space="0"/>
              <w:bottom w:val="single" w:color="000000" w:sz="8" w:space="0"/>
              <w:right w:val="single" w:color="000000" w:sz="8" w:space="0"/>
            </w:tcBorders>
            <w:shd w:val="clear" w:color="auto" w:fill="auto"/>
            <w:vAlign w:val="center"/>
          </w:tcPr>
          <w:p w14:paraId="1356C9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正电子手套箱</w:t>
            </w:r>
          </w:p>
        </w:tc>
        <w:tc>
          <w:tcPr>
            <w:tcW w:w="690" w:type="dxa"/>
            <w:vMerge w:val="restart"/>
            <w:tcBorders>
              <w:top w:val="nil"/>
              <w:left w:val="single" w:color="000000" w:sz="8" w:space="0"/>
              <w:bottom w:val="single" w:color="000000" w:sz="8" w:space="0"/>
              <w:right w:val="single" w:color="000000" w:sz="8" w:space="0"/>
            </w:tcBorders>
            <w:shd w:val="clear" w:color="auto" w:fill="auto"/>
            <w:vAlign w:val="center"/>
          </w:tcPr>
          <w:p w14:paraId="62E871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73E414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1.11E+04</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8F43D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60mmPb</w:t>
            </w:r>
            <w:r>
              <w:rPr>
                <w:rFonts w:hint="eastAsia" w:ascii="宋体" w:hAnsi="宋体" w:eastAsia="宋体" w:cs="宋体"/>
                <w:i w:val="0"/>
                <w:iCs w:val="0"/>
                <w:color w:val="000000"/>
                <w:kern w:val="0"/>
                <w:sz w:val="21"/>
                <w:szCs w:val="21"/>
                <w:u w:val="none"/>
                <w:lang w:val="en-US" w:eastAsia="zh-CN" w:bidi="ar"/>
              </w:rPr>
              <w:t>手套箱</w:t>
            </w:r>
            <w:r>
              <w:rPr>
                <w:rFonts w:hint="default" w:ascii="Times New Roman" w:hAnsi="Times New Roman" w:eastAsia="宋体" w:cs="Times New Roman"/>
                <w:i w:val="0"/>
                <w:iCs w:val="0"/>
                <w:color w:val="000000"/>
                <w:kern w:val="0"/>
                <w:sz w:val="21"/>
                <w:szCs w:val="21"/>
                <w:u w:val="none"/>
                <w:lang w:val="en-US" w:eastAsia="zh-CN" w:bidi="ar"/>
              </w:rPr>
              <w:t>+50mmPb</w:t>
            </w:r>
            <w:r>
              <w:rPr>
                <w:rFonts w:hint="eastAsia" w:ascii="宋体" w:hAnsi="宋体" w:eastAsia="宋体" w:cs="宋体"/>
                <w:i w:val="0"/>
                <w:iCs w:val="0"/>
                <w:color w:val="000000"/>
                <w:kern w:val="0"/>
                <w:sz w:val="21"/>
                <w:szCs w:val="21"/>
                <w:u w:val="none"/>
                <w:lang w:val="en-US" w:eastAsia="zh-CN" w:bidi="ar"/>
              </w:rPr>
              <w:t>铅罐</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D7A51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2.36E-07</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21F52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B84F8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09692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1.50E-03</w:t>
            </w:r>
          </w:p>
        </w:tc>
        <w:tc>
          <w:tcPr>
            <w:tcW w:w="13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E64E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single" w:color="000000" w:sz="8" w:space="0"/>
              <w:left w:val="single" w:color="000000" w:sz="8" w:space="0"/>
              <w:bottom w:val="single" w:color="000000" w:sz="8" w:space="0"/>
              <w:right w:val="nil"/>
            </w:tcBorders>
            <w:shd w:val="clear" w:color="auto" w:fill="auto"/>
            <w:vAlign w:val="center"/>
          </w:tcPr>
          <w:p w14:paraId="34EFA3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2EC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F8AE68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vMerge w:val="continue"/>
            <w:tcBorders>
              <w:top w:val="nil"/>
              <w:left w:val="single" w:color="000000" w:sz="8" w:space="0"/>
              <w:bottom w:val="single" w:color="000000" w:sz="8" w:space="0"/>
              <w:right w:val="single" w:color="000000" w:sz="8" w:space="0"/>
            </w:tcBorders>
            <w:shd w:val="clear" w:color="auto" w:fill="auto"/>
            <w:vAlign w:val="center"/>
          </w:tcPr>
          <w:p w14:paraId="0CA39DE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690" w:type="dxa"/>
            <w:vMerge w:val="continue"/>
            <w:tcBorders>
              <w:top w:val="nil"/>
              <w:left w:val="single" w:color="000000" w:sz="8" w:space="0"/>
              <w:bottom w:val="single" w:color="000000" w:sz="8" w:space="0"/>
              <w:right w:val="single" w:color="000000" w:sz="8" w:space="0"/>
            </w:tcBorders>
            <w:shd w:val="clear" w:color="auto" w:fill="auto"/>
            <w:vAlign w:val="center"/>
          </w:tcPr>
          <w:p w14:paraId="101723D8">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7A7003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E6569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60mmPb</w:t>
            </w:r>
            <w:r>
              <w:rPr>
                <w:rFonts w:hint="eastAsia" w:ascii="宋体" w:hAnsi="宋体" w:eastAsia="宋体" w:cs="宋体"/>
                <w:i w:val="0"/>
                <w:iCs w:val="0"/>
                <w:color w:val="000000"/>
                <w:kern w:val="0"/>
                <w:sz w:val="21"/>
                <w:szCs w:val="21"/>
                <w:u w:val="none"/>
                <w:lang w:val="en-US" w:eastAsia="zh-CN" w:bidi="ar"/>
              </w:rPr>
              <w:t>手套箱</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33E52B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2.43E-04</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92AB4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A8E1B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693D3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1F19FA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01216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4BA70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0F765F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vMerge w:val="restart"/>
            <w:tcBorders>
              <w:top w:val="nil"/>
              <w:left w:val="single" w:color="000000" w:sz="8" w:space="0"/>
              <w:bottom w:val="single" w:color="000000" w:sz="8" w:space="0"/>
              <w:right w:val="single" w:color="000000" w:sz="8" w:space="0"/>
            </w:tcBorders>
            <w:shd w:val="clear" w:color="auto" w:fill="auto"/>
            <w:vAlign w:val="center"/>
          </w:tcPr>
          <w:p w14:paraId="701678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单光子手套箱</w:t>
            </w:r>
          </w:p>
        </w:tc>
        <w:tc>
          <w:tcPr>
            <w:tcW w:w="690" w:type="dxa"/>
            <w:vMerge w:val="restart"/>
            <w:tcBorders>
              <w:top w:val="nil"/>
              <w:left w:val="single" w:color="000000" w:sz="8" w:space="0"/>
              <w:bottom w:val="single" w:color="000000" w:sz="8" w:space="0"/>
              <w:right w:val="single" w:color="000000" w:sz="8" w:space="0"/>
            </w:tcBorders>
            <w:shd w:val="clear" w:color="auto" w:fill="auto"/>
            <w:vAlign w:val="center"/>
          </w:tcPr>
          <w:p w14:paraId="5753C7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B4A39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2.22E+04</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FF0D0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手套箱</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铅罐</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3FD7F5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1.00E-20</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1A266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11FEB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434B5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2.69E-17</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51294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E7398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8E65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E1F34D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vMerge w:val="continue"/>
            <w:tcBorders>
              <w:top w:val="nil"/>
              <w:left w:val="single" w:color="000000" w:sz="8" w:space="0"/>
              <w:bottom w:val="single" w:color="000000" w:sz="8" w:space="0"/>
              <w:right w:val="single" w:color="000000" w:sz="8" w:space="0"/>
            </w:tcBorders>
            <w:shd w:val="clear" w:color="auto" w:fill="auto"/>
            <w:vAlign w:val="center"/>
          </w:tcPr>
          <w:p w14:paraId="7E2B8CC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690" w:type="dxa"/>
            <w:vMerge w:val="continue"/>
            <w:tcBorders>
              <w:top w:val="nil"/>
              <w:left w:val="single" w:color="000000" w:sz="8" w:space="0"/>
              <w:bottom w:val="single" w:color="000000" w:sz="8" w:space="0"/>
              <w:right w:val="single" w:color="000000" w:sz="8" w:space="0"/>
            </w:tcBorders>
            <w:shd w:val="clear" w:color="auto" w:fill="auto"/>
            <w:vAlign w:val="center"/>
          </w:tcPr>
          <w:p w14:paraId="438F4E8F">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7DDF18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07A9E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手套箱</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D0C53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1.00E-10</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A8139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8D102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D903C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2.69E-08</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8E23B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17D3F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126D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49F54FAE">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37EA3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与储源室、敷贴室的相连门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8C4BD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0CD26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952DA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w:t>
            </w:r>
            <w:r>
              <w:rPr>
                <w:rFonts w:hint="eastAsia" w:ascii="宋体" w:hAnsi="宋体" w:eastAsia="宋体" w:cs="宋体"/>
                <w:i w:val="0"/>
                <w:iCs w:val="0"/>
                <w:color w:val="000000"/>
                <w:kern w:val="0"/>
                <w:sz w:val="21"/>
                <w:szCs w:val="21"/>
                <w:u w:val="none"/>
                <w:lang w:val="en-US" w:eastAsia="zh-CN" w:bidi="ar"/>
              </w:rPr>
              <w:t>防护门</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CC8D4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76444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264F04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DB834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2.18E+00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09FE5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5D72B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1B1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4E58548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A89D9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与卫生通过、实验室相连的门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3B803A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B310E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0DCDED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防护门</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25308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6.24E-02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FB65E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01B6DA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615A48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8.25E-01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8C546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41212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284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0D56828">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3F3E0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w:t>
            </w:r>
            <w:r>
              <w:rPr>
                <w:rFonts w:hint="eastAsia" w:ascii="宋体" w:hAnsi="宋体" w:eastAsia="宋体" w:cs="宋体"/>
                <w:i w:val="0"/>
                <w:iCs w:val="0"/>
                <w:color w:val="000000"/>
                <w:kern w:val="0"/>
                <w:sz w:val="21"/>
                <w:szCs w:val="21"/>
                <w:u w:val="none"/>
                <w:lang w:val="en-US" w:eastAsia="zh-CN" w:bidi="ar"/>
              </w:rPr>
              <w:t>注射窗</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39D3A5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E55E7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229F8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5mmPb</w:t>
            </w:r>
            <w:r>
              <w:rPr>
                <w:rFonts w:hint="eastAsia" w:ascii="宋体" w:hAnsi="宋体" w:eastAsia="宋体" w:cs="宋体"/>
                <w:i w:val="0"/>
                <w:iCs w:val="0"/>
                <w:color w:val="000000"/>
                <w:kern w:val="0"/>
                <w:sz w:val="21"/>
                <w:szCs w:val="21"/>
                <w:u w:val="none"/>
                <w:lang w:val="en-US" w:eastAsia="zh-CN" w:bidi="ar"/>
              </w:rPr>
              <w:t>注射窗</w:t>
            </w:r>
            <w:r>
              <w:rPr>
                <w:rFonts w:hint="default" w:ascii="Times New Roman" w:hAnsi="Times New Roman" w:eastAsia="宋体" w:cs="Times New Roman"/>
                <w:i w:val="0"/>
                <w:iCs w:val="0"/>
                <w:color w:val="000000"/>
                <w:kern w:val="0"/>
                <w:sz w:val="21"/>
                <w:szCs w:val="21"/>
                <w:u w:val="none"/>
                <w:lang w:val="en-US" w:eastAsia="zh-CN" w:bidi="ar"/>
              </w:rPr>
              <w:t>+5mmPb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3D5652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1.00E-20</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76C50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FC9FA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E5C30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8.97E-19</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4513F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755D8E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54EF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C2CFC5C">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A6F82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w:t>
            </w:r>
            <w:r>
              <w:rPr>
                <w:rFonts w:hint="eastAsia" w:ascii="宋体" w:hAnsi="宋体" w:eastAsia="宋体" w:cs="宋体"/>
                <w:i w:val="0"/>
                <w:iCs w:val="0"/>
                <w:color w:val="000000"/>
                <w:kern w:val="0"/>
                <w:sz w:val="21"/>
                <w:szCs w:val="21"/>
                <w:u w:val="none"/>
                <w:lang w:val="en-US" w:eastAsia="zh-CN" w:bidi="ar"/>
              </w:rPr>
              <w:t>注射窗</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03134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37363B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20635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50mmPb</w:t>
            </w:r>
            <w:r>
              <w:rPr>
                <w:rFonts w:hint="eastAsia" w:ascii="宋体" w:hAnsi="宋体" w:eastAsia="宋体" w:cs="宋体"/>
                <w:i w:val="0"/>
                <w:iCs w:val="0"/>
                <w:color w:val="000000"/>
                <w:kern w:val="0"/>
                <w:sz w:val="21"/>
                <w:szCs w:val="21"/>
                <w:u w:val="none"/>
                <w:lang w:val="en-US" w:eastAsia="zh-CN" w:bidi="ar"/>
              </w:rPr>
              <w:t>注射窗</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D3859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2.43E-04</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754B8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2F121B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D7C9B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5.14E-02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AE314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44868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4F4BD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6056CF27">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F83A6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东侧墙体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C06AD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89619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87D14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混凝土</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FABE6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035E9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257E04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DAEFA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4.63E-02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F22BD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C3498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D730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5D1A397C">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9BF0E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其余三面墙体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150B0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77A3D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E1BC7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55CD9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9.79E-03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B0610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AFB87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CC99B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2.30E-01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B4AF2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2F5DB0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A48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4CD9B43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06310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24868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3CEF0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01DCA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F5445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4.93E-03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039F3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5349A4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EC923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46C9D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D1999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67D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9D8B05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49B72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C4857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0E1F4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27104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注射器防护套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38527E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BBF52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07F07E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4CAFC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7.03E-02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09179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F69F8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3574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50BE38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w:t>
            </w:r>
            <w:r>
              <w:rPr>
                <w:rFonts w:hint="eastAsia" w:ascii="宋体" w:hAnsi="宋体" w:eastAsia="宋体" w:cs="宋体"/>
                <w:i w:val="0"/>
                <w:iCs w:val="0"/>
                <w:color w:val="000000"/>
                <w:kern w:val="0"/>
                <w:sz w:val="21"/>
                <w:szCs w:val="21"/>
                <w:u w:val="none"/>
                <w:lang w:val="en-US" w:eastAsia="zh-CN" w:bidi="ar"/>
              </w:rPr>
              <w:t>注射室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D6D8F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9B270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B204F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39F0F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D6492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0B6DE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19097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8AE9A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2.13E+00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87B3C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718508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A99B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E1B9DE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7837AC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四周墙体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23AFE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C908C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E87E0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288CD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8BA9A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72F3D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25B39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5.93E-01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00EEF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E0709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F5ED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B3CAF9A">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ADA7F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3CF881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13E02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B2AC3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190E6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3.80E-02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E4D81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0A977D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0EF5D1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7B808C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25EED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D45A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CEF190F">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AC603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C60A3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AAD2A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9B3B6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EF654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7.31E-02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D1690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74B79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C973F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7588EE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9B753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BE46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6E569A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w:t>
            </w:r>
            <w:r>
              <w:rPr>
                <w:rFonts w:hint="eastAsia" w:ascii="宋体" w:hAnsi="宋体" w:eastAsia="宋体" w:cs="宋体"/>
                <w:i w:val="0"/>
                <w:iCs w:val="0"/>
                <w:color w:val="000000"/>
                <w:kern w:val="0"/>
                <w:sz w:val="21"/>
                <w:szCs w:val="21"/>
                <w:u w:val="none"/>
                <w:lang w:val="en-US" w:eastAsia="zh-CN" w:bidi="ar"/>
              </w:rPr>
              <w:t>注射室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FF304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5FA1E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21278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178C2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FC6F58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687F75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E6A64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6B657B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FFFCF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3E5944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36DD6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076A16C">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7FDF6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四周墙体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902E2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011B5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0804E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57F04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4.87E-03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10129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54F292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9AE05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3.32E-02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41A46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23C0D0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4B56D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5822026">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BA771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B0B89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42296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9F791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9329D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CB063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B359A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471127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51563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242D54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4EF0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B88C4E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CCE85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306494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7BC130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968F4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F0635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4E1CB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493E7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2AC4A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B09CA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58870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C52D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020CC5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抢救室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FF3AB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0D3EF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0E70C1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1E84C7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9FF74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3.30E-01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01C66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7EC59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1141F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2.81E+00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B299F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75D014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32241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7B8411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6AEE6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63A4F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3AED71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D1B44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4A7A6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29FB8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5264E0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7E99A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1C8FE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5D269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9AEE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15F7D5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4A4EF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其余三面墙体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00B08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3FEE01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FFB1B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B786E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0C9C1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6E52F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2D16F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5.93E-01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EB31B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2AD275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2932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4C61DC6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751B8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12863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B80BB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09F03D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01E6E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3.80E-02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6C6A99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02E84B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AF8C1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1B3205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1F2473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DB2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42FD09F4">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80344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75342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8D2CB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527908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B3E10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7.31E-02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F8C6B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AE6B8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C8B34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7C53B3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E685F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806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0E6795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w:t>
            </w:r>
            <w:r>
              <w:rPr>
                <w:rFonts w:hint="eastAsia" w:ascii="宋体" w:hAnsi="宋体" w:eastAsia="宋体" w:cs="宋体"/>
                <w:i w:val="0"/>
                <w:iCs w:val="0"/>
                <w:color w:val="000000"/>
                <w:kern w:val="0"/>
                <w:sz w:val="21"/>
                <w:szCs w:val="21"/>
                <w:u w:val="none"/>
                <w:lang w:val="en-US" w:eastAsia="zh-CN" w:bidi="ar"/>
              </w:rPr>
              <w:t>注射后等候室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939F8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259C81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7478CC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D1BBA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CBB7A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3.30E-01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2A414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7A56A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8C09E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8.42E+00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A7B4E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29E24B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4D1B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791C3A4">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A50CE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0DB3A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1E5BE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2AFB4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nil"/>
              <w:bottom w:val="nil"/>
              <w:right w:val="nil"/>
            </w:tcBorders>
            <w:shd w:val="clear" w:color="auto" w:fill="auto"/>
            <w:noWrap/>
            <w:vAlign w:val="center"/>
          </w:tcPr>
          <w:p w14:paraId="130E47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BECDC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EB357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EA664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3.59E-01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E0BCC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6B63A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31ADD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40ABD1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0DCE42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其余三面墙体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48EE2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0C6632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6F629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4FA1D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DC3D7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7F3F3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66495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1.78E+00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0693C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13F8D4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CB65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3B1BA1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79DEF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A890C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3429F4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0326BA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r>
              <w:rPr>
                <w:rFonts w:hint="default" w:ascii="Times New Roman" w:hAnsi="Times New Roman" w:eastAsia="宋体" w:cs="Times New Roman"/>
                <w:i w:val="0"/>
                <w:iCs w:val="0"/>
                <w:color w:val="000000"/>
                <w:kern w:val="0"/>
                <w:sz w:val="21"/>
                <w:szCs w:val="21"/>
                <w:u w:val="none"/>
                <w:lang w:val="en-US" w:eastAsia="zh-CN" w:bidi="ar"/>
              </w:rPr>
              <w:t>+50mm</w:t>
            </w:r>
            <w:r>
              <w:rPr>
                <w:rFonts w:hint="eastAsia" w:ascii="宋体" w:hAnsi="宋体" w:eastAsia="宋体" w:cs="宋体"/>
                <w:i w:val="0"/>
                <w:iCs w:val="0"/>
                <w:color w:val="000000"/>
                <w:kern w:val="0"/>
                <w:sz w:val="21"/>
                <w:szCs w:val="21"/>
                <w:u w:val="none"/>
                <w:lang w:val="en-US" w:eastAsia="zh-CN" w:bidi="ar"/>
              </w:rPr>
              <w:t>硫酸钡</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EE928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6FE634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B5A13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E3F6B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E6B0B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140806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41FE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8FB5383">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82E7D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5B9C9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FCC02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928CA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r>
              <w:rPr>
                <w:rFonts w:hint="default" w:ascii="Times New Roman" w:hAnsi="Times New Roman" w:eastAsia="宋体" w:cs="Times New Roman"/>
                <w:i w:val="0"/>
                <w:iCs w:val="0"/>
                <w:color w:val="000000"/>
                <w:kern w:val="0"/>
                <w:sz w:val="21"/>
                <w:szCs w:val="21"/>
                <w:u w:val="none"/>
                <w:lang w:val="en-US" w:eastAsia="zh-CN" w:bidi="ar"/>
              </w:rPr>
              <w:t>+50mm</w:t>
            </w:r>
            <w:r>
              <w:rPr>
                <w:rFonts w:hint="eastAsia" w:ascii="宋体" w:hAnsi="宋体" w:eastAsia="宋体" w:cs="宋体"/>
                <w:i w:val="0"/>
                <w:iCs w:val="0"/>
                <w:color w:val="000000"/>
                <w:kern w:val="0"/>
                <w:sz w:val="21"/>
                <w:szCs w:val="21"/>
                <w:u w:val="none"/>
                <w:lang w:val="en-US" w:eastAsia="zh-CN" w:bidi="ar"/>
              </w:rPr>
              <w:t>硫酸钡</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EC34D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2.31E-02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3C0C4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01644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DBF54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F9D22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818E9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BFB5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5F4BA1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w:t>
            </w:r>
            <w:r>
              <w:rPr>
                <w:rFonts w:hint="eastAsia" w:ascii="宋体" w:hAnsi="宋体" w:eastAsia="宋体" w:cs="宋体"/>
                <w:i w:val="0"/>
                <w:iCs w:val="0"/>
                <w:color w:val="000000"/>
                <w:kern w:val="0"/>
                <w:sz w:val="21"/>
                <w:szCs w:val="21"/>
                <w:u w:val="none"/>
                <w:lang w:val="en-US" w:eastAsia="zh-CN" w:bidi="ar"/>
              </w:rPr>
              <w:t>注射后等候室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76474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38F2EC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29D93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27938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583CA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A954D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0E92D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4542D2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148B10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2B4940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E4BA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F33635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3091C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A6251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BFAEC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F6845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28B83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4.33E-04</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D82EF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65CA9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097474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8.84E-03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2FB39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E0E39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1999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5E34F90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CC673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其余三面墙体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7398E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3999F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CA34D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14486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4.87E-03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0A6D2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2999F4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0A5BC9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9.95E-02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412BD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31AF4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2B4E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815B64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E8950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6A2B4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BEF9E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C0901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2F2826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49D7B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0BAA1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412418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AEE2D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3B57F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3AEB9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60989CD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7F471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6D4BC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B5A3E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CA932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1DDA5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7EB66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54C2E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BFEF6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5.10E-02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15F7D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4934A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1660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261099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PET/CT</w:t>
            </w:r>
            <w:r>
              <w:rPr>
                <w:rFonts w:hint="eastAsia" w:ascii="宋体" w:hAnsi="宋体" w:eastAsia="宋体" w:cs="宋体"/>
                <w:i w:val="0"/>
                <w:iCs w:val="0"/>
                <w:color w:val="000000"/>
                <w:kern w:val="0"/>
                <w:sz w:val="21"/>
                <w:szCs w:val="21"/>
                <w:u w:val="none"/>
                <w:lang w:val="en-US" w:eastAsia="zh-CN" w:bidi="ar"/>
              </w:rPr>
              <w:t>机房</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17D50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防护门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8B98F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1E4D0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99B14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3AF82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3.30E-01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2BE60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F78D9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9F9BE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4AB7E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27F166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C92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11F681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54AD5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观察窗</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ACC94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428DF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09E070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观察窗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EB9D8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3.30E-01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C333F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F9ABA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659D7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9.17E-01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B22AF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3FA8B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4BB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6ABAF8D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70C60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四周墙体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8A4D0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71D826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62792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BEFCE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DDD43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3CC29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E76C6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5.93E-01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5554E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6E859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5234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E84216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EBC54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225258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73DBCE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31F65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40450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3.80E-02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B682B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C063F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823E0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7261B9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1DF74F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204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68B7B2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8CDE2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5A975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D88D3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B1C08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890A7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81BA9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D4884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05BA6C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4.90E-02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5FDF6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1368A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2F8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67B8AD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SPECT/CT</w:t>
            </w:r>
            <w:r>
              <w:rPr>
                <w:rFonts w:hint="eastAsia" w:ascii="宋体" w:hAnsi="宋体" w:eastAsia="宋体" w:cs="宋体"/>
                <w:i w:val="0"/>
                <w:iCs w:val="0"/>
                <w:color w:val="000000"/>
                <w:kern w:val="0"/>
                <w:sz w:val="21"/>
                <w:szCs w:val="21"/>
                <w:u w:val="none"/>
                <w:lang w:val="en-US" w:eastAsia="zh-CN" w:bidi="ar"/>
              </w:rPr>
              <w:t>机房</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19AC4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防护门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D2C44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035B9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1B23E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97034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88F32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91858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86010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78446F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7ED4A0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F174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0E8F394">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B20F1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观察窗</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6682C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3A884E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5AD00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w:t>
            </w:r>
            <w:r>
              <w:rPr>
                <w:rFonts w:hint="eastAsia" w:ascii="宋体" w:hAnsi="宋体" w:eastAsia="宋体" w:cs="宋体"/>
                <w:i w:val="0"/>
                <w:iCs w:val="0"/>
                <w:color w:val="000000"/>
                <w:kern w:val="0"/>
                <w:sz w:val="21"/>
                <w:szCs w:val="21"/>
                <w:u w:val="none"/>
                <w:lang w:val="en-US" w:eastAsia="zh-CN" w:bidi="ar"/>
              </w:rPr>
              <w:t>观察窗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4B632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D81D5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644FF6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BF87B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723209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3FAED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E78A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43AA5B1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3A34B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四周墙体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2C48DF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65E5C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F089B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D93BC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4.87E-03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2A2B2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FC835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4C8F2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3.32E-02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9E75A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7CCA5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351AF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E95F31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5A23D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885DB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CE672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56A59D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26306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DF129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53793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42D4A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B28F9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AA6C9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71B9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65A5A6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FFFC2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E1C4B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82DD8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71F7A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5E32D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36720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1E3BE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42A5C4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5.98E-03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10418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24BBE8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C903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037980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w:t>
            </w:r>
            <w:r>
              <w:rPr>
                <w:rFonts w:hint="eastAsia" w:ascii="宋体" w:hAnsi="宋体" w:eastAsia="宋体" w:cs="宋体"/>
                <w:i w:val="0"/>
                <w:iCs w:val="0"/>
                <w:color w:val="000000"/>
                <w:kern w:val="0"/>
                <w:sz w:val="21"/>
                <w:szCs w:val="21"/>
                <w:u w:val="none"/>
                <w:lang w:val="en-US" w:eastAsia="zh-CN" w:bidi="ar"/>
              </w:rPr>
              <w:t>留观室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98590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5FE6A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83ECF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4C32D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2F4DAE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3.30E-01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967FD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8FA98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07DA7F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8.42E+00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C1BEC8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0CBF04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80F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65FE0B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AE89E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28B227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83D62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8CA09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A4146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B79FB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FC83B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6DE151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5.04E-02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B349D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201E00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3133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5E5C3A2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80114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其余三面墙体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207E4F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DA8A4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BFA0E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757F4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46718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5CAF5A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93965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1.78E+00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E18D6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0A032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AEA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14298B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E4493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DE574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B18A7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58B55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D91D3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3.80E-02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4F06E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60F888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51A8A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1.76E-01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1F056F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710B65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6419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DCC1BC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1CC74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E522E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0360AC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15C16F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244270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7.31E-02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FF3A9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A158F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5E2B0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5.45E-01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0845E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EE6C6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9C39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31C158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w:t>
            </w:r>
            <w:r>
              <w:rPr>
                <w:rFonts w:hint="eastAsia" w:ascii="宋体" w:hAnsi="宋体" w:eastAsia="宋体" w:cs="宋体"/>
                <w:i w:val="0"/>
                <w:iCs w:val="0"/>
                <w:color w:val="000000"/>
                <w:kern w:val="0"/>
                <w:sz w:val="21"/>
                <w:szCs w:val="21"/>
                <w:u w:val="none"/>
                <w:lang w:val="en-US" w:eastAsia="zh-CN" w:bidi="ar"/>
              </w:rPr>
              <w:t>留观室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D2B85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B8541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DF26A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54B0A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053C09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C98B3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AF8A0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0CBD02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20741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06628A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75E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5E82858">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5437B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554B3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2E158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F0C97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43885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4.33E-04</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143ED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47C88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AFF88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2482D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2CB864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0BBD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5A4D2C8">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58B32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其余三面墙体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84165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BBB0D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FC6D3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766D8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4.87E-03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668EFB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202818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92216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9.95E-02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25EEE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088DD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05E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A99FF44">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64B1C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28751B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DB372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5F203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33FF6A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4E9E55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2A95BB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F3D6E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35FBB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1CF44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9AB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CFE17E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77DCD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99EDD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39D1CF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105BA8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311BB5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F051B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585BE9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24125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5.10E-02</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882A3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D2C1D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C665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673DEC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分装室</w:t>
            </w:r>
            <w:r>
              <w:rPr>
                <w:rFonts w:hint="default" w:ascii="Times New Roman" w:hAnsi="Times New Roman" w:eastAsia="宋体" w:cs="Times New Roman"/>
                <w:i w:val="0"/>
                <w:iCs w:val="0"/>
                <w:color w:val="000000"/>
                <w:kern w:val="0"/>
                <w:sz w:val="21"/>
                <w:szCs w:val="21"/>
                <w:u w:val="none"/>
                <w:lang w:val="en-US" w:eastAsia="zh-CN" w:bidi="ar"/>
              </w:rPr>
              <w:t>2#</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7FC2E2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自动分药手套箱</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ED960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59C52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5C4CAE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40mmPb</w:t>
            </w:r>
            <w:r>
              <w:rPr>
                <w:rFonts w:hint="eastAsia" w:ascii="宋体" w:hAnsi="宋体" w:eastAsia="宋体" w:cs="宋体"/>
                <w:i w:val="0"/>
                <w:iCs w:val="0"/>
                <w:color w:val="000000"/>
                <w:kern w:val="0"/>
                <w:sz w:val="21"/>
                <w:szCs w:val="21"/>
                <w:u w:val="none"/>
                <w:lang w:val="en-US" w:eastAsia="zh-CN" w:bidi="ar"/>
              </w:rPr>
              <w:t>自动分药手套箱</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B4939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2.31E-04</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357AC0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23D8FF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5FB90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2.03E-01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1E3C05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8BC20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685AD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46DA3B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7693E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与储源室</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491E5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8878E0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5FCB70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4F609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7F5B5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A6224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5C6C0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2.06E+00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A5749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7F8BB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38B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8AC7892">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802CF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与卫生通过间</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AF29E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26FDB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F7833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273EC6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67135E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079785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0DC79E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2.06E+00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6C65A7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A61BF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4A622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BE813C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47C7C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w:t>
            </w:r>
            <w:r>
              <w:rPr>
                <w:rFonts w:hint="eastAsia" w:ascii="宋体" w:hAnsi="宋体" w:eastAsia="宋体" w:cs="宋体"/>
                <w:i w:val="0"/>
                <w:iCs w:val="0"/>
                <w:color w:val="000000"/>
                <w:kern w:val="0"/>
                <w:sz w:val="21"/>
                <w:szCs w:val="21"/>
                <w:u w:val="none"/>
                <w:lang w:val="en-US" w:eastAsia="zh-CN" w:bidi="ar"/>
              </w:rPr>
              <w:t>注射窗</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6CC5E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AC786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16052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w:t>
            </w:r>
            <w:r>
              <w:rPr>
                <w:rFonts w:hint="eastAsia" w:ascii="宋体" w:hAnsi="宋体" w:eastAsia="宋体" w:cs="宋体"/>
                <w:i w:val="0"/>
                <w:iCs w:val="0"/>
                <w:color w:val="000000"/>
                <w:kern w:val="0"/>
                <w:sz w:val="21"/>
                <w:szCs w:val="21"/>
                <w:u w:val="none"/>
                <w:lang w:val="en-US" w:eastAsia="zh-CN" w:bidi="ar"/>
              </w:rPr>
              <w:t>注射窗</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2F48C5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D0784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92D7F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6F7DB1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2.41E+00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9DEE2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D3403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FCCE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4F94429E">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5734B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四周墙体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BFD00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D1660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10122C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68C779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2.87E-02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29CE6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64C37B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69D543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5.62E-01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02D6A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01597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76AB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19035C28">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7219F6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996EE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2DB09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865CB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2C94DB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8.73E-02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4515A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52F618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C9A3F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1.74E-01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56E286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1F2E9E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375D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9C92F2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78CDE4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32B260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37D0FB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5761BB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2DCEDE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FB9B1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681B7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41FB07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6.34E-01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70C28B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30F48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ADE8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6F0EAE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I-131</w:t>
            </w:r>
            <w:r>
              <w:rPr>
                <w:rFonts w:hint="eastAsia" w:ascii="宋体" w:hAnsi="宋体" w:eastAsia="宋体" w:cs="宋体"/>
                <w:i w:val="0"/>
                <w:iCs w:val="0"/>
                <w:color w:val="000000"/>
                <w:kern w:val="0"/>
                <w:sz w:val="21"/>
                <w:szCs w:val="21"/>
                <w:u w:val="none"/>
                <w:lang w:val="en-US" w:eastAsia="zh-CN" w:bidi="ar"/>
              </w:rPr>
              <w:t>服药室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29DEC9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与日间留观室相连的门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A8A92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0F92F9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68CEA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4D2C5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FBCF6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09381E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0A404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8A89A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0757F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500A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6339D69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03AA0D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四周墙体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EE035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58E85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21239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F7DE3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2.87E-02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F2D36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52D7B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2DA47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D5A14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23B81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43B08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89E7BCA">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A2835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33F7D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47B1C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61A634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35D6A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8.73E-02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7888C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625E38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9F091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6FC4F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D7283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579A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5C9FDA6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7EC3C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5F558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25FFA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7.40E+02</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1FCBE5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ACD42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63572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B8BD6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6F5492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6.21E-01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B9227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6AEDA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71768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7662DC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日间留观室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D1F59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w:t>
            </w:r>
            <w:r>
              <w:rPr>
                <w:rFonts w:hint="default" w:ascii="Times New Roman" w:hAnsi="Times New Roman" w:eastAsia="宋体" w:cs="Times New Roman"/>
                <w:i w:val="0"/>
                <w:iCs w:val="0"/>
                <w:color w:val="000000"/>
                <w:kern w:val="0"/>
                <w:sz w:val="21"/>
                <w:szCs w:val="21"/>
                <w:u w:val="none"/>
                <w:lang w:val="en-US" w:eastAsia="zh-CN" w:bidi="ar"/>
              </w:rPr>
              <w:t>I-131</w:t>
            </w:r>
            <w:r>
              <w:rPr>
                <w:rFonts w:hint="eastAsia" w:ascii="宋体" w:hAnsi="宋体" w:eastAsia="宋体" w:cs="宋体"/>
                <w:i w:val="0"/>
                <w:iCs w:val="0"/>
                <w:color w:val="000000"/>
                <w:kern w:val="0"/>
                <w:sz w:val="21"/>
                <w:szCs w:val="21"/>
                <w:u w:val="none"/>
                <w:lang w:val="en-US" w:eastAsia="zh-CN" w:bidi="ar"/>
              </w:rPr>
              <w:t>服药室相连的门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7EBD0D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2B3FA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160FE8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139FE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ACFEB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67C10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D83C5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6.05E+00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023954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025B4E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136A8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10EFCD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041EA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w:t>
            </w:r>
            <w:r>
              <w:rPr>
                <w:rFonts w:hint="default" w:ascii="Times New Roman" w:hAnsi="Times New Roman" w:eastAsia="宋体" w:cs="Times New Roman"/>
                <w:i w:val="0"/>
                <w:iCs w:val="0"/>
                <w:color w:val="000000"/>
                <w:kern w:val="0"/>
                <w:sz w:val="21"/>
                <w:szCs w:val="21"/>
                <w:u w:val="none"/>
                <w:lang w:val="en-US" w:eastAsia="zh-CN" w:bidi="ar"/>
              </w:rPr>
              <w:t>Sr-</w:t>
            </w:r>
            <w:r>
              <w:rPr>
                <w:rFonts w:hint="eastAsia" w:ascii="宋体" w:hAnsi="宋体" w:eastAsia="宋体" w:cs="宋体"/>
                <w:i w:val="0"/>
                <w:iCs w:val="0"/>
                <w:color w:val="000000"/>
                <w:kern w:val="0"/>
                <w:sz w:val="21"/>
                <w:szCs w:val="21"/>
                <w:u w:val="none"/>
                <w:lang w:val="en-US" w:eastAsia="zh-CN" w:bidi="ar"/>
              </w:rPr>
              <w:t>注射室相连的门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B713B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E3977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E1C1C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4303B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B7C1A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04A541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7C2FB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6.05E+00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1259B3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51FBBC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4053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74A1042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74629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与患者通道相连的门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17D9D5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0017A6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310225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w:t>
            </w:r>
            <w:r>
              <w:rPr>
                <w:rFonts w:hint="eastAsia" w:ascii="宋体" w:hAnsi="宋体" w:eastAsia="宋体" w:cs="宋体"/>
                <w:i w:val="0"/>
                <w:iCs w:val="0"/>
                <w:color w:val="000000"/>
                <w:kern w:val="0"/>
                <w:sz w:val="21"/>
                <w:szCs w:val="21"/>
                <w:u w:val="none"/>
                <w:lang w:val="en-US" w:eastAsia="zh-CN" w:bidi="ar"/>
              </w:rPr>
              <w:t>防护门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3FADC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DBDB1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439D03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D101D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6.05E+00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317AB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45" w:type="dxa"/>
            <w:tcBorders>
              <w:top w:val="nil"/>
              <w:left w:val="single" w:color="000000" w:sz="8" w:space="0"/>
              <w:bottom w:val="single" w:color="000000" w:sz="8" w:space="0"/>
              <w:right w:val="nil"/>
            </w:tcBorders>
            <w:shd w:val="clear" w:color="auto" w:fill="auto"/>
            <w:vAlign w:val="center"/>
          </w:tcPr>
          <w:p w14:paraId="06603E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3C81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C3AE35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60518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西北两侧墙体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3A0B30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1C5BBB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7210BE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DD83E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6.66E-03</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D02EB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B93C6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7EA12E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C8D72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F0E3A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623A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44987B2">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39DCF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东南两侧墙体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0136AA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000D97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118E2E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377CE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2.87E-02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68B26F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41FC7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205D9D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1.65E+00</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CDAAF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49694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AB7D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D66274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13D553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01F89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4ECE71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447CB4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w:t>
            </w:r>
            <w:r>
              <w:rPr>
                <w:rFonts w:hint="eastAsia" w:ascii="宋体" w:hAnsi="宋体" w:eastAsia="宋体" w:cs="宋体"/>
                <w:i w:val="0"/>
                <w:iCs w:val="0"/>
                <w:color w:val="000000"/>
                <w:kern w:val="0"/>
                <w:sz w:val="21"/>
                <w:szCs w:val="21"/>
                <w:u w:val="none"/>
                <w:lang w:val="en-US" w:eastAsia="zh-CN" w:bidi="ar"/>
              </w:rPr>
              <w:t>混凝土</w:t>
            </w:r>
            <w:r>
              <w:rPr>
                <w:rFonts w:hint="default" w:ascii="Times New Roman" w:hAnsi="Times New Roman" w:eastAsia="宋体" w:cs="Times New Roman"/>
                <w:i w:val="0"/>
                <w:iCs w:val="0"/>
                <w:color w:val="000000"/>
                <w:kern w:val="0"/>
                <w:sz w:val="21"/>
                <w:szCs w:val="21"/>
                <w:u w:val="none"/>
                <w:lang w:val="en-US" w:eastAsia="zh-CN" w:bidi="ar"/>
              </w:rPr>
              <w:t>+50mm</w:t>
            </w:r>
            <w:r>
              <w:rPr>
                <w:rFonts w:hint="eastAsia" w:ascii="宋体" w:hAnsi="宋体" w:eastAsia="宋体" w:cs="宋体"/>
                <w:i w:val="0"/>
                <w:iCs w:val="0"/>
                <w:color w:val="000000"/>
                <w:kern w:val="0"/>
                <w:sz w:val="21"/>
                <w:szCs w:val="21"/>
                <w:u w:val="none"/>
                <w:lang w:val="en-US" w:eastAsia="zh-CN" w:bidi="ar"/>
              </w:rPr>
              <w:t>硫酸钡</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71B441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2.07E-02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4A868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F7606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1D4DB7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00C2B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18ADA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3DF1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D3D202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409535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56AA4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6C85B5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2.22E+03</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A73B7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452C93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4.67E-02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7FAB92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162F9C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3306C3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4.42E-01</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16F639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5F0A6E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0B85E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21" w:type="dxa"/>
            <w:vMerge w:val="restart"/>
            <w:tcBorders>
              <w:top w:val="nil"/>
              <w:left w:val="nil"/>
              <w:bottom w:val="single" w:color="000000" w:sz="8" w:space="0"/>
              <w:right w:val="single" w:color="000000" w:sz="8" w:space="0"/>
            </w:tcBorders>
            <w:shd w:val="clear" w:color="auto" w:fill="auto"/>
            <w:vAlign w:val="center"/>
          </w:tcPr>
          <w:p w14:paraId="7043AF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甲功室</w:t>
            </w: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4ED78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与患者通道相连的门</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44A244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92E74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5.55E-01</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E8B07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普通木门</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D652A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58C896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6EC8D4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481E19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8.09E-03</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5403D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66C98A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D8C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35B751B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3F04DC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四周墙体</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E9CAF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297A30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5.55E-01</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27D962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w:t>
            </w:r>
            <w:r>
              <w:rPr>
                <w:rFonts w:hint="eastAsia" w:ascii="宋体" w:hAnsi="宋体" w:eastAsia="宋体" w:cs="宋体"/>
                <w:i w:val="0"/>
                <w:iCs w:val="0"/>
                <w:color w:val="000000"/>
                <w:kern w:val="0"/>
                <w:sz w:val="21"/>
                <w:szCs w:val="21"/>
                <w:u w:val="none"/>
                <w:lang w:val="en-US" w:eastAsia="zh-CN" w:bidi="ar"/>
              </w:rPr>
              <w:t>实心砖</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11A3F3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2.87E-02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251EB1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A8A9B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4982F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4.13E-04</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3A6920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4479A8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5A36C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22752CE4">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69A41E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6D2D42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61EEF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5.55E-01</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53F645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D6901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8.73E-02</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0C8DFB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3BA624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52E7E7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1.28E-04</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21AF0F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352C78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r w14:paraId="2B48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21" w:type="dxa"/>
            <w:vMerge w:val="continue"/>
            <w:tcBorders>
              <w:top w:val="nil"/>
              <w:left w:val="nil"/>
              <w:bottom w:val="single" w:color="000000" w:sz="8" w:space="0"/>
              <w:right w:val="single" w:color="000000" w:sz="8" w:space="0"/>
            </w:tcBorders>
            <w:shd w:val="clear" w:color="auto" w:fill="auto"/>
            <w:vAlign w:val="center"/>
          </w:tcPr>
          <w:p w14:paraId="0340538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1740" w:type="dxa"/>
            <w:tcBorders>
              <w:top w:val="nil"/>
              <w:left w:val="single" w:color="000000" w:sz="8" w:space="0"/>
              <w:bottom w:val="single" w:color="000000" w:sz="8" w:space="0"/>
              <w:right w:val="single" w:color="000000" w:sz="8" w:space="0"/>
            </w:tcBorders>
            <w:shd w:val="clear" w:color="auto" w:fill="auto"/>
            <w:vAlign w:val="center"/>
          </w:tcPr>
          <w:p w14:paraId="551843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w:t>
            </w:r>
          </w:p>
        </w:tc>
        <w:tc>
          <w:tcPr>
            <w:tcW w:w="690" w:type="dxa"/>
            <w:tcBorders>
              <w:top w:val="nil"/>
              <w:left w:val="single" w:color="000000" w:sz="8" w:space="0"/>
              <w:bottom w:val="single" w:color="000000" w:sz="8" w:space="0"/>
              <w:right w:val="single" w:color="000000" w:sz="8" w:space="0"/>
            </w:tcBorders>
            <w:shd w:val="clear" w:color="auto" w:fill="auto"/>
            <w:vAlign w:val="center"/>
          </w:tcPr>
          <w:p w14:paraId="58B20C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140" w:type="dxa"/>
            <w:tcBorders>
              <w:top w:val="nil"/>
              <w:left w:val="single" w:color="000000" w:sz="8" w:space="0"/>
              <w:bottom w:val="single" w:color="000000" w:sz="8" w:space="0"/>
              <w:right w:val="single" w:color="000000" w:sz="8" w:space="0"/>
            </w:tcBorders>
            <w:shd w:val="clear" w:color="auto" w:fill="auto"/>
            <w:vAlign w:val="center"/>
          </w:tcPr>
          <w:p w14:paraId="5D2521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5.55E-01</w:t>
            </w:r>
          </w:p>
        </w:tc>
        <w:tc>
          <w:tcPr>
            <w:tcW w:w="1865" w:type="dxa"/>
            <w:tcBorders>
              <w:top w:val="nil"/>
              <w:left w:val="single" w:color="000000" w:sz="8" w:space="0"/>
              <w:bottom w:val="single" w:color="000000" w:sz="8" w:space="0"/>
              <w:right w:val="single" w:color="000000" w:sz="8" w:space="0"/>
            </w:tcBorders>
            <w:shd w:val="clear" w:color="auto" w:fill="auto"/>
            <w:vAlign w:val="center"/>
          </w:tcPr>
          <w:p w14:paraId="54BCCA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w:t>
            </w:r>
            <w:r>
              <w:rPr>
                <w:rFonts w:hint="eastAsia" w:ascii="宋体" w:hAnsi="宋体" w:eastAsia="宋体" w:cs="宋体"/>
                <w:i w:val="0"/>
                <w:iCs w:val="0"/>
                <w:color w:val="000000"/>
                <w:kern w:val="0"/>
                <w:sz w:val="21"/>
                <w:szCs w:val="21"/>
                <w:u w:val="none"/>
                <w:lang w:val="en-US" w:eastAsia="zh-CN" w:bidi="ar"/>
              </w:rPr>
              <w:t>混凝土</w:t>
            </w:r>
          </w:p>
        </w:tc>
        <w:tc>
          <w:tcPr>
            <w:tcW w:w="1225" w:type="dxa"/>
            <w:tcBorders>
              <w:top w:val="nil"/>
              <w:left w:val="single" w:color="000000" w:sz="8" w:space="0"/>
              <w:bottom w:val="single" w:color="000000" w:sz="8" w:space="0"/>
              <w:right w:val="single" w:color="000000" w:sz="8" w:space="0"/>
            </w:tcBorders>
            <w:shd w:val="clear" w:color="auto" w:fill="auto"/>
            <w:vAlign w:val="center"/>
          </w:tcPr>
          <w:p w14:paraId="5C6D8B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1.97E-01</w:t>
            </w:r>
          </w:p>
        </w:tc>
        <w:tc>
          <w:tcPr>
            <w:tcW w:w="1320" w:type="dxa"/>
            <w:tcBorders>
              <w:top w:val="nil"/>
              <w:left w:val="single" w:color="000000" w:sz="8" w:space="0"/>
              <w:bottom w:val="single" w:color="000000" w:sz="8" w:space="0"/>
              <w:right w:val="single" w:color="000000" w:sz="8" w:space="0"/>
            </w:tcBorders>
            <w:shd w:val="clear" w:color="auto" w:fill="auto"/>
            <w:vAlign w:val="center"/>
          </w:tcPr>
          <w:p w14:paraId="1E3BC0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1950" w:type="dxa"/>
            <w:tcBorders>
              <w:top w:val="nil"/>
              <w:left w:val="single" w:color="000000" w:sz="8" w:space="0"/>
              <w:bottom w:val="single" w:color="000000" w:sz="8" w:space="0"/>
              <w:right w:val="single" w:color="000000" w:sz="8" w:space="0"/>
            </w:tcBorders>
            <w:shd w:val="clear" w:color="auto" w:fill="auto"/>
            <w:vAlign w:val="center"/>
          </w:tcPr>
          <w:p w14:paraId="70B403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440" w:type="dxa"/>
            <w:tcBorders>
              <w:top w:val="nil"/>
              <w:left w:val="single" w:color="000000" w:sz="8" w:space="0"/>
              <w:bottom w:val="single" w:color="000000" w:sz="8" w:space="0"/>
              <w:right w:val="single" w:color="000000" w:sz="8" w:space="0"/>
            </w:tcBorders>
            <w:shd w:val="clear" w:color="auto" w:fill="auto"/>
            <w:vAlign w:val="center"/>
          </w:tcPr>
          <w:p w14:paraId="441230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4.66E-04</w:t>
            </w:r>
          </w:p>
        </w:tc>
        <w:tc>
          <w:tcPr>
            <w:tcW w:w="1380" w:type="dxa"/>
            <w:tcBorders>
              <w:top w:val="nil"/>
              <w:left w:val="single" w:color="000000" w:sz="8" w:space="0"/>
              <w:bottom w:val="single" w:color="000000" w:sz="8" w:space="0"/>
              <w:right w:val="single" w:color="000000" w:sz="8" w:space="0"/>
            </w:tcBorders>
            <w:shd w:val="clear" w:color="auto" w:fill="auto"/>
            <w:vAlign w:val="center"/>
          </w:tcPr>
          <w:p w14:paraId="4E4BA4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45" w:type="dxa"/>
            <w:tcBorders>
              <w:top w:val="nil"/>
              <w:left w:val="single" w:color="000000" w:sz="8" w:space="0"/>
              <w:bottom w:val="single" w:color="000000" w:sz="8" w:space="0"/>
              <w:right w:val="nil"/>
            </w:tcBorders>
            <w:shd w:val="clear" w:color="auto" w:fill="auto"/>
            <w:vAlign w:val="center"/>
          </w:tcPr>
          <w:p w14:paraId="0F9E4C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w:t>
            </w:r>
          </w:p>
        </w:tc>
      </w:tr>
    </w:tbl>
    <w:p w14:paraId="5EF011D6">
      <w:pPr>
        <w:spacing w:line="240" w:lineRule="auto"/>
        <w:rPr>
          <w:rFonts w:eastAsia="黑体"/>
          <w:sz w:val="21"/>
          <w:szCs w:val="21"/>
        </w:rPr>
      </w:pPr>
      <w:r>
        <w:rPr>
          <w:rFonts w:eastAsia="黑体"/>
          <w:sz w:val="21"/>
          <w:szCs w:val="21"/>
        </w:rPr>
        <w:t>注：</w:t>
      </w:r>
      <w:r>
        <w:rPr>
          <w:rFonts w:eastAsia="黑体"/>
          <w:sz w:val="21"/>
          <w:szCs w:val="18"/>
        </w:rPr>
        <w:fldChar w:fldCharType="begin"/>
      </w:r>
      <w:r>
        <w:rPr>
          <w:rFonts w:eastAsia="黑体"/>
          <w:sz w:val="21"/>
          <w:szCs w:val="18"/>
        </w:rPr>
        <w:instrText xml:space="preserve"> = 1 \* GB3 </w:instrText>
      </w:r>
      <w:r>
        <w:rPr>
          <w:rFonts w:eastAsia="黑体"/>
          <w:sz w:val="21"/>
          <w:szCs w:val="18"/>
        </w:rPr>
        <w:fldChar w:fldCharType="separate"/>
      </w:r>
      <w:r>
        <w:rPr>
          <w:rFonts w:eastAsia="黑体"/>
          <w:sz w:val="21"/>
          <w:szCs w:val="18"/>
        </w:rPr>
        <w:t>①</w:t>
      </w:r>
      <w:r>
        <w:rPr>
          <w:rFonts w:eastAsia="黑体"/>
          <w:sz w:val="21"/>
          <w:szCs w:val="18"/>
        </w:rPr>
        <w:fldChar w:fldCharType="end"/>
      </w:r>
      <w:r>
        <w:rPr>
          <w:rFonts w:eastAsia="黑体"/>
          <w:sz w:val="21"/>
          <w:szCs w:val="21"/>
        </w:rPr>
        <w:t>根据医院提供资料：PET/CT机房、</w:t>
      </w:r>
      <w:r>
        <w:rPr>
          <w:rFonts w:hint="eastAsia" w:eastAsia="黑体"/>
          <w:sz w:val="21"/>
          <w:szCs w:val="21"/>
          <w:lang w:val="en-US" w:eastAsia="zh-CN"/>
        </w:rPr>
        <w:t>SPECT/CT</w:t>
      </w:r>
      <w:r>
        <w:rPr>
          <w:rFonts w:eastAsia="黑体"/>
          <w:sz w:val="21"/>
          <w:szCs w:val="21"/>
        </w:rPr>
        <w:t>机房每次均1人显像，注射后等候室每次最多</w:t>
      </w:r>
      <w:r>
        <w:rPr>
          <w:rFonts w:hint="eastAsia" w:eastAsia="黑体"/>
          <w:sz w:val="21"/>
          <w:szCs w:val="21"/>
          <w:lang w:val="en-US" w:eastAsia="zh-CN"/>
        </w:rPr>
        <w:t>3</w:t>
      </w:r>
      <w:r>
        <w:rPr>
          <w:rFonts w:eastAsia="黑体"/>
          <w:sz w:val="21"/>
          <w:szCs w:val="21"/>
        </w:rPr>
        <w:t>人</w:t>
      </w:r>
      <w:r>
        <w:rPr>
          <w:rFonts w:eastAsia="黑体"/>
          <w:sz w:val="21"/>
          <w:szCs w:val="18"/>
        </w:rPr>
        <w:t>同时候诊，留观室每次最多3</w:t>
      </w:r>
      <w:r>
        <w:rPr>
          <w:rFonts w:eastAsia="黑体"/>
          <w:sz w:val="21"/>
          <w:szCs w:val="21"/>
        </w:rPr>
        <w:t>人</w:t>
      </w:r>
      <w:r>
        <w:rPr>
          <w:rFonts w:eastAsia="黑体"/>
          <w:sz w:val="21"/>
          <w:szCs w:val="18"/>
        </w:rPr>
        <w:t>同时留观。</w:t>
      </w:r>
      <w:r>
        <w:rPr>
          <w:rFonts w:eastAsia="黑体"/>
          <w:bCs/>
          <w:spacing w:val="-11"/>
          <w:sz w:val="21"/>
          <w:szCs w:val="18"/>
        </w:rPr>
        <w:t>②</w:t>
      </w:r>
      <w:r>
        <w:rPr>
          <w:rFonts w:eastAsia="黑体"/>
          <w:bCs/>
          <w:sz w:val="21"/>
          <w:szCs w:val="21"/>
        </w:rPr>
        <w:t>混凝土密度不低于2.35g/cm</w:t>
      </w:r>
      <w:r>
        <w:rPr>
          <w:rFonts w:eastAsia="黑体"/>
          <w:bCs/>
          <w:sz w:val="21"/>
          <w:szCs w:val="21"/>
          <w:vertAlign w:val="superscript"/>
        </w:rPr>
        <w:t>3</w:t>
      </w:r>
      <w:r>
        <w:rPr>
          <w:rFonts w:eastAsia="黑体"/>
          <w:bCs/>
          <w:sz w:val="21"/>
          <w:szCs w:val="21"/>
        </w:rPr>
        <w:t>，实心砖的密度不低于1.65g/cm</w:t>
      </w:r>
      <w:r>
        <w:rPr>
          <w:rFonts w:eastAsia="黑体"/>
          <w:bCs/>
          <w:sz w:val="21"/>
          <w:szCs w:val="21"/>
          <w:vertAlign w:val="superscript"/>
        </w:rPr>
        <w:t>3</w:t>
      </w:r>
      <w:r>
        <w:rPr>
          <w:rFonts w:eastAsia="黑体"/>
          <w:bCs/>
          <w:sz w:val="21"/>
          <w:szCs w:val="21"/>
        </w:rPr>
        <w:t>。</w:t>
      </w:r>
      <w:r>
        <w:rPr>
          <w:rFonts w:eastAsia="黑体"/>
          <w:sz w:val="21"/>
          <w:szCs w:val="21"/>
        </w:rPr>
        <w:t>③同一房间</w:t>
      </w:r>
      <w:r>
        <w:rPr>
          <w:rFonts w:eastAsia="黑体"/>
          <w:bCs/>
          <w:sz w:val="21"/>
          <w:szCs w:val="21"/>
        </w:rPr>
        <w:t>同类屏蔽体有多种参数的，</w:t>
      </w:r>
      <w:r>
        <w:rPr>
          <w:rFonts w:eastAsia="黑体"/>
          <w:sz w:val="21"/>
          <w:szCs w:val="21"/>
        </w:rPr>
        <w:t>按屏蔽薄的计算。</w:t>
      </w:r>
    </w:p>
    <w:p w14:paraId="3AE92F96">
      <w:pPr>
        <w:sectPr>
          <w:pgSz w:w="16839" w:h="11907" w:orient="landscape"/>
          <w:pgMar w:top="1440" w:right="1106" w:bottom="1440" w:left="1276" w:header="851" w:footer="567" w:gutter="0"/>
          <w:pgBorders>
            <w:top w:val="none" w:sz="0" w:space="0"/>
            <w:left w:val="none" w:sz="0" w:space="0"/>
            <w:bottom w:val="none" w:sz="0" w:space="0"/>
            <w:right w:val="none" w:sz="0" w:space="0"/>
          </w:pgBorders>
          <w:cols w:space="720" w:num="1"/>
          <w:docGrid w:linePitch="360" w:charSpace="0"/>
        </w:sectPr>
      </w:pP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7"/>
      </w:tblGrid>
      <w:tr w14:paraId="0B64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9172" w:type="dxa"/>
          </w:tcPr>
          <w:p w14:paraId="1ED3561A">
            <w:pPr>
              <w:ind w:firstLine="482"/>
              <w:rPr>
                <w:b/>
              </w:rPr>
            </w:pPr>
            <w:r>
              <w:rPr>
                <w:b/>
              </w:rPr>
              <w:t>5、Ⅲ类射线装置辐射环境影响分析</w:t>
            </w:r>
          </w:p>
          <w:p w14:paraId="2C9AD74C">
            <w:pPr>
              <w:ind w:firstLine="480"/>
              <w:rPr>
                <w:b/>
              </w:rPr>
            </w:pPr>
            <w:r>
              <w:t>本项目</w:t>
            </w:r>
            <w:r>
              <w:rPr>
                <w:bCs/>
              </w:rPr>
              <w:t>PET/CT机房拟新增1台PET/CT（140kV/900mA）</w:t>
            </w:r>
            <w:r>
              <w:rPr>
                <w:rFonts w:hint="eastAsia"/>
                <w:bCs/>
                <w:lang w:eastAsia="zh-CN"/>
              </w:rPr>
              <w:t>、</w:t>
            </w:r>
            <w:r>
              <w:rPr>
                <w:rFonts w:hint="eastAsia"/>
                <w:bCs/>
                <w:lang w:val="en-US" w:eastAsia="zh-CN"/>
              </w:rPr>
              <w:t>SPECT/CT机房</w:t>
            </w:r>
            <w:r>
              <w:rPr>
                <w:bCs/>
              </w:rPr>
              <w:t>拟新增1台</w:t>
            </w:r>
            <w:r>
              <w:rPr>
                <w:rFonts w:hint="eastAsia"/>
                <w:bCs/>
                <w:lang w:val="en-US" w:eastAsia="zh-CN"/>
              </w:rPr>
              <w:t>SPECT/CT</w:t>
            </w:r>
            <w:r>
              <w:rPr>
                <w:bCs/>
              </w:rPr>
              <w:t>（140kV/900mA），参考《医用X射线治疗放射防护要求》（GBZ131-2017），当X射线管额定电压≤150kV时，距X射线管焦点1m处的X射线源组件泄漏辐射不超过1mGy/h，经过至少3.</w:t>
            </w:r>
            <w:r>
              <w:rPr>
                <w:rFonts w:hint="eastAsia"/>
                <w:bCs/>
                <w:lang w:val="en-US" w:eastAsia="zh-CN"/>
              </w:rPr>
              <w:t>0</w:t>
            </w:r>
            <w:r>
              <w:rPr>
                <w:bCs/>
              </w:rPr>
              <w:t>mm铅当量（查</w:t>
            </w:r>
            <w:r>
              <w:t>《辐射防护导论》表3.5，保守考虑取150kV宽束X射线铅什值层0.96mm）</w:t>
            </w:r>
            <w:r>
              <w:rPr>
                <w:bCs/>
              </w:rPr>
              <w:t>墙体、防护门和铅玻璃窗的屏蔽作用</w:t>
            </w:r>
            <w:r>
              <w:rPr>
                <w:rFonts w:hint="eastAsia"/>
                <w:bCs/>
                <w:lang w:val="en-US" w:eastAsia="zh-CN"/>
              </w:rPr>
              <w:t>后周围剂量率约为0.75</w:t>
            </w:r>
            <w:r>
              <w:rPr>
                <w:rFonts w:hint="default" w:ascii="Times New Roman" w:hAnsi="Times New Roman" w:cs="Times New Roman"/>
                <w:bCs/>
                <w:lang w:val="en-US" w:eastAsia="zh-CN"/>
              </w:rPr>
              <w:t>μ</w:t>
            </w:r>
            <w:r>
              <w:rPr>
                <w:rFonts w:hint="eastAsia"/>
                <w:bCs/>
                <w:lang w:val="en-US" w:eastAsia="zh-CN"/>
              </w:rPr>
              <w:t>Sv/h</w:t>
            </w:r>
            <w:r>
              <w:rPr>
                <w:bCs/>
              </w:rPr>
              <w:t>，对周围辐射环境的影响较小。</w:t>
            </w:r>
          </w:p>
          <w:p w14:paraId="721D5F38">
            <w:pPr>
              <w:ind w:firstLine="482"/>
              <w:rPr>
                <w:b/>
              </w:rPr>
            </w:pPr>
            <w:r>
              <w:rPr>
                <w:b/>
              </w:rPr>
              <w:t>6、负一层</w:t>
            </w:r>
            <w:r>
              <w:rPr>
                <w:rFonts w:hint="eastAsia"/>
                <w:b/>
                <w:lang w:val="en-US" w:eastAsia="zh-CN"/>
              </w:rPr>
              <w:t>核医学科</w:t>
            </w:r>
            <w:r>
              <w:rPr>
                <w:b/>
              </w:rPr>
              <w:t>职业人员及公众受照剂量预测</w:t>
            </w:r>
          </w:p>
          <w:p w14:paraId="6BDAEE36">
            <w:pPr>
              <w:ind w:firstLine="482"/>
              <w:rPr>
                <w:b/>
              </w:rPr>
            </w:pPr>
            <w:r>
              <w:rPr>
                <w:b/>
              </w:rPr>
              <w:t>（1）预测时间校核</w:t>
            </w:r>
          </w:p>
          <w:p w14:paraId="75958623">
            <w:pPr>
              <w:ind w:firstLine="480"/>
            </w:pPr>
            <w:r>
              <w:t>根据前述分析，负一层</w:t>
            </w:r>
            <w:r>
              <w:rPr>
                <w:rFonts w:hint="eastAsia"/>
                <w:lang w:val="en-US" w:eastAsia="zh-CN"/>
              </w:rPr>
              <w:t>核医学科各诊疗项目</w:t>
            </w:r>
            <w:r>
              <w:t>最大病人量的情况，负一层（正电子影像区）各操作流程受照时间核算情况见下表。</w:t>
            </w:r>
          </w:p>
          <w:p w14:paraId="0447E341">
            <w:pPr>
              <w:widowControl/>
              <w:spacing w:before="163" w:line="240" w:lineRule="auto"/>
              <w:jc w:val="center"/>
              <w:rPr>
                <w:rFonts w:eastAsia="黑体"/>
                <w:bCs/>
                <w:sz w:val="21"/>
                <w:szCs w:val="18"/>
              </w:rPr>
            </w:pPr>
            <w:r>
              <w:rPr>
                <w:rFonts w:eastAsia="黑体"/>
                <w:bCs/>
                <w:sz w:val="21"/>
                <w:szCs w:val="18"/>
              </w:rPr>
              <w:t>表11-</w:t>
            </w:r>
            <w:r>
              <w:rPr>
                <w:rFonts w:hint="eastAsia" w:eastAsia="黑体"/>
                <w:bCs/>
                <w:sz w:val="21"/>
                <w:szCs w:val="18"/>
                <w:lang w:val="en-US" w:eastAsia="zh-CN"/>
              </w:rPr>
              <w:t>6</w:t>
            </w:r>
            <w:r>
              <w:rPr>
                <w:rFonts w:eastAsia="黑体"/>
                <w:bCs/>
                <w:sz w:val="21"/>
                <w:szCs w:val="18"/>
              </w:rPr>
              <w:t xml:space="preserve">  负一层</w:t>
            </w:r>
            <w:r>
              <w:rPr>
                <w:rFonts w:hint="eastAsia" w:eastAsia="黑体"/>
                <w:bCs/>
                <w:sz w:val="21"/>
                <w:szCs w:val="18"/>
                <w:lang w:val="en-US" w:eastAsia="zh-CN"/>
              </w:rPr>
              <w:t>核医学科</w:t>
            </w:r>
            <w:r>
              <w:rPr>
                <w:rFonts w:eastAsia="黑体"/>
                <w:bCs/>
                <w:sz w:val="21"/>
                <w:szCs w:val="18"/>
              </w:rPr>
              <w:t>年受照射时间核算表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28" w:type="dxa"/>
                <w:left w:w="28" w:type="dxa"/>
                <w:bottom w:w="28" w:type="dxa"/>
                <w:right w:w="28" w:type="dxa"/>
              </w:tblCellMar>
            </w:tblPr>
            <w:tblGrid>
              <w:gridCol w:w="637"/>
              <w:gridCol w:w="2756"/>
              <w:gridCol w:w="1470"/>
              <w:gridCol w:w="1230"/>
              <w:gridCol w:w="1334"/>
              <w:gridCol w:w="1369"/>
            </w:tblGrid>
            <w:tr w14:paraId="21B67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Align w:val="center"/>
                </w:tcPr>
                <w:p w14:paraId="54E5F5E0">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核素</w:t>
                  </w:r>
                </w:p>
              </w:tc>
              <w:tc>
                <w:tcPr>
                  <w:tcW w:w="1566" w:type="pct"/>
                  <w:vAlign w:val="center"/>
                </w:tcPr>
                <w:p w14:paraId="1516743C">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操作流程</w:t>
                  </w:r>
                </w:p>
              </w:tc>
              <w:tc>
                <w:tcPr>
                  <w:tcW w:w="835" w:type="pct"/>
                  <w:vAlign w:val="center"/>
                </w:tcPr>
                <w:p w14:paraId="1975DDD1">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单次操作受照射时间（min）</w:t>
                  </w:r>
                </w:p>
              </w:tc>
              <w:tc>
                <w:tcPr>
                  <w:tcW w:w="699" w:type="pct"/>
                  <w:vAlign w:val="center"/>
                </w:tcPr>
                <w:p w14:paraId="59CB615B">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年接诊人次（人）</w:t>
                  </w:r>
                </w:p>
              </w:tc>
              <w:tc>
                <w:tcPr>
                  <w:tcW w:w="758" w:type="pct"/>
                  <w:vAlign w:val="center"/>
                </w:tcPr>
                <w:p w14:paraId="6A62D65E">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年操作时间（h）</w:t>
                  </w:r>
                </w:p>
              </w:tc>
              <w:tc>
                <w:tcPr>
                  <w:tcW w:w="778" w:type="pct"/>
                  <w:vAlign w:val="center"/>
                </w:tcPr>
                <w:p w14:paraId="6CC6CD15">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备注</w:t>
                  </w:r>
                </w:p>
              </w:tc>
            </w:tr>
            <w:tr w14:paraId="16E067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restart"/>
                  <w:vAlign w:val="center"/>
                </w:tcPr>
                <w:p w14:paraId="712F9A3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bCs/>
                      <w:sz w:val="21"/>
                      <w:szCs w:val="21"/>
                      <w:vertAlign w:val="superscript"/>
                    </w:rPr>
                    <w:t>18</w:t>
                  </w:r>
                  <w:r>
                    <w:rPr>
                      <w:bCs/>
                      <w:sz w:val="21"/>
                      <w:szCs w:val="21"/>
                    </w:rPr>
                    <w:t>F</w:t>
                  </w:r>
                  <w:r>
                    <w:rPr>
                      <w:rFonts w:hint="eastAsia"/>
                      <w:bCs/>
                      <w:sz w:val="21"/>
                      <w:szCs w:val="21"/>
                      <w:lang w:eastAsia="zh-CN"/>
                    </w:rPr>
                    <w:t>、</w:t>
                  </w:r>
                  <w:r>
                    <w:rPr>
                      <w:rFonts w:hint="eastAsia"/>
                      <w:bCs/>
                      <w:sz w:val="21"/>
                      <w:szCs w:val="21"/>
                      <w:vertAlign w:val="superscript"/>
                      <w:lang w:val="en-US" w:eastAsia="zh-CN"/>
                    </w:rPr>
                    <w:t>68</w:t>
                  </w:r>
                  <w:r>
                    <w:rPr>
                      <w:rFonts w:hint="eastAsia"/>
                      <w:bCs/>
                      <w:sz w:val="21"/>
                      <w:szCs w:val="21"/>
                      <w:lang w:val="en-US" w:eastAsia="zh-CN"/>
                    </w:rPr>
                    <w:t>Ga</w:t>
                  </w:r>
                </w:p>
              </w:tc>
              <w:tc>
                <w:tcPr>
                  <w:tcW w:w="1566" w:type="pct"/>
                  <w:vAlign w:val="center"/>
                </w:tcPr>
                <w:p w14:paraId="4A3C2D8F">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分药、测量活度（分装室</w:t>
                  </w:r>
                  <w:r>
                    <w:rPr>
                      <w:rFonts w:hint="eastAsia"/>
                      <w:bCs/>
                      <w:spacing w:val="-6"/>
                      <w:sz w:val="21"/>
                      <w:szCs w:val="21"/>
                      <w:lang w:val="en-US" w:eastAsia="zh-CN"/>
                    </w:rPr>
                    <w:t>1#</w:t>
                  </w:r>
                  <w:r>
                    <w:rPr>
                      <w:bCs/>
                      <w:spacing w:val="-6"/>
                      <w:sz w:val="21"/>
                      <w:szCs w:val="21"/>
                    </w:rPr>
                    <w:t>）</w:t>
                  </w:r>
                </w:p>
              </w:tc>
              <w:tc>
                <w:tcPr>
                  <w:tcW w:w="835" w:type="pct"/>
                  <w:vAlign w:val="center"/>
                </w:tcPr>
                <w:p w14:paraId="01ACB147">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0.5</w:t>
                  </w:r>
                </w:p>
              </w:tc>
              <w:tc>
                <w:tcPr>
                  <w:tcW w:w="699" w:type="pct"/>
                  <w:vMerge w:val="restart"/>
                  <w:vAlign w:val="center"/>
                </w:tcPr>
                <w:p w14:paraId="59199A9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spacing w:val="-6"/>
                      <w:sz w:val="21"/>
                      <w:szCs w:val="21"/>
                      <w:lang w:val="en-US" w:eastAsia="zh-CN" w:bidi="ar"/>
                    </w:rPr>
                    <w:t>8500</w:t>
                  </w:r>
                </w:p>
              </w:tc>
              <w:tc>
                <w:tcPr>
                  <w:tcW w:w="758" w:type="pct"/>
                  <w:vAlign w:val="center"/>
                </w:tcPr>
                <w:p w14:paraId="464CED6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sz w:val="21"/>
                      <w:szCs w:val="21"/>
                      <w:lang w:val="en-US" w:eastAsia="zh-CN" w:bidi="ar"/>
                    </w:rPr>
                    <w:t>70.8</w:t>
                  </w:r>
                </w:p>
              </w:tc>
              <w:tc>
                <w:tcPr>
                  <w:tcW w:w="778" w:type="pct"/>
                  <w:vAlign w:val="bottom"/>
                </w:tcPr>
                <w:p w14:paraId="103D3329">
                  <w:pPr>
                    <w:keepNext w:val="0"/>
                    <w:keepLines w:val="0"/>
                    <w:pageBreakBefore w:val="0"/>
                    <w:widowControl/>
                    <w:kinsoku/>
                    <w:wordWrap/>
                    <w:overflowPunct/>
                    <w:topLinePunct w:val="0"/>
                    <w:autoSpaceDE/>
                    <w:autoSpaceDN/>
                    <w:bidi w:val="0"/>
                    <w:adjustRightInd/>
                    <w:snapToGrid/>
                    <w:spacing w:line="320" w:lineRule="exact"/>
                    <w:jc w:val="center"/>
                    <w:textAlignment w:val="auto"/>
                    <w:rPr>
                      <w:sz w:val="21"/>
                      <w:szCs w:val="21"/>
                      <w:lang w:bidi="ar"/>
                    </w:rPr>
                  </w:pPr>
                  <w:r>
                    <w:rPr>
                      <w:sz w:val="21"/>
                      <w:szCs w:val="21"/>
                      <w:lang w:bidi="ar"/>
                    </w:rPr>
                    <w:t>/</w:t>
                  </w:r>
                </w:p>
              </w:tc>
            </w:tr>
            <w:tr w14:paraId="6E21B8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39DFA3DD">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539E2C33">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注射（</w:t>
                  </w:r>
                  <w:r>
                    <w:rPr>
                      <w:rFonts w:hint="eastAsia"/>
                      <w:bCs/>
                      <w:spacing w:val="-6"/>
                      <w:sz w:val="21"/>
                      <w:szCs w:val="21"/>
                      <w:lang w:val="en-US" w:eastAsia="zh-CN"/>
                    </w:rPr>
                    <w:t>PET</w:t>
                  </w:r>
                  <w:r>
                    <w:rPr>
                      <w:bCs/>
                      <w:spacing w:val="-6"/>
                      <w:sz w:val="21"/>
                      <w:szCs w:val="21"/>
                    </w:rPr>
                    <w:t>注射室）</w:t>
                  </w:r>
                </w:p>
              </w:tc>
              <w:tc>
                <w:tcPr>
                  <w:tcW w:w="835" w:type="pct"/>
                  <w:vAlign w:val="center"/>
                </w:tcPr>
                <w:p w14:paraId="76129556">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0.5</w:t>
                  </w:r>
                </w:p>
              </w:tc>
              <w:tc>
                <w:tcPr>
                  <w:tcW w:w="699" w:type="pct"/>
                  <w:vMerge w:val="continue"/>
                  <w:vAlign w:val="center"/>
                </w:tcPr>
                <w:p w14:paraId="41F80B43">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63D4EF7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sz w:val="21"/>
                      <w:szCs w:val="21"/>
                      <w:lang w:val="en-US" w:eastAsia="zh-CN" w:bidi="ar"/>
                    </w:rPr>
                    <w:t>70.8</w:t>
                  </w:r>
                </w:p>
              </w:tc>
              <w:tc>
                <w:tcPr>
                  <w:tcW w:w="778" w:type="pct"/>
                  <w:vAlign w:val="bottom"/>
                </w:tcPr>
                <w:p w14:paraId="7AF3982C">
                  <w:pPr>
                    <w:keepNext w:val="0"/>
                    <w:keepLines w:val="0"/>
                    <w:pageBreakBefore w:val="0"/>
                    <w:widowControl/>
                    <w:kinsoku/>
                    <w:wordWrap/>
                    <w:overflowPunct/>
                    <w:topLinePunct w:val="0"/>
                    <w:autoSpaceDE/>
                    <w:autoSpaceDN/>
                    <w:bidi w:val="0"/>
                    <w:adjustRightInd/>
                    <w:snapToGrid/>
                    <w:spacing w:line="320" w:lineRule="exact"/>
                    <w:jc w:val="center"/>
                    <w:textAlignment w:val="auto"/>
                    <w:rPr>
                      <w:sz w:val="21"/>
                      <w:szCs w:val="21"/>
                      <w:lang w:bidi="ar"/>
                    </w:rPr>
                  </w:pPr>
                  <w:r>
                    <w:rPr>
                      <w:sz w:val="21"/>
                      <w:szCs w:val="21"/>
                      <w:lang w:bidi="ar"/>
                    </w:rPr>
                    <w:t>/</w:t>
                  </w:r>
                </w:p>
              </w:tc>
            </w:tr>
            <w:tr w14:paraId="0AF294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1E9EFCD4">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545621B6">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注射后候诊</w:t>
                  </w:r>
                </w:p>
                <w:p w14:paraId="07583503">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w:t>
                  </w:r>
                  <w:r>
                    <w:rPr>
                      <w:rFonts w:hint="eastAsia"/>
                      <w:bCs/>
                      <w:spacing w:val="-6"/>
                      <w:sz w:val="21"/>
                      <w:szCs w:val="21"/>
                      <w:lang w:val="en-US" w:eastAsia="zh-CN"/>
                    </w:rPr>
                    <w:t>PET</w:t>
                  </w:r>
                  <w:r>
                    <w:rPr>
                      <w:bCs/>
                      <w:spacing w:val="-6"/>
                      <w:sz w:val="21"/>
                      <w:szCs w:val="21"/>
                    </w:rPr>
                    <w:t>注射后等候室）</w:t>
                  </w:r>
                </w:p>
              </w:tc>
              <w:tc>
                <w:tcPr>
                  <w:tcW w:w="835" w:type="pct"/>
                  <w:vAlign w:val="center"/>
                </w:tcPr>
                <w:p w14:paraId="5DF66B29">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30</w:t>
                  </w:r>
                </w:p>
              </w:tc>
              <w:tc>
                <w:tcPr>
                  <w:tcW w:w="699" w:type="pct"/>
                  <w:vMerge w:val="continue"/>
                  <w:vAlign w:val="center"/>
                </w:tcPr>
                <w:p w14:paraId="5179F124">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4E24C57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sz w:val="21"/>
                      <w:szCs w:val="21"/>
                      <w:lang w:val="en-US" w:eastAsia="zh-CN" w:bidi="ar"/>
                    </w:rPr>
                    <w:t>4250</w:t>
                  </w:r>
                </w:p>
              </w:tc>
              <w:tc>
                <w:tcPr>
                  <w:tcW w:w="778" w:type="pct"/>
                  <w:vAlign w:val="center"/>
                </w:tcPr>
                <w:p w14:paraId="73B8932A">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sz w:val="21"/>
                      <w:szCs w:val="21"/>
                      <w:lang w:eastAsia="zh-CN" w:bidi="ar"/>
                    </w:rPr>
                  </w:pPr>
                  <w:r>
                    <w:rPr>
                      <w:bCs/>
                      <w:spacing w:val="-11"/>
                      <w:sz w:val="21"/>
                      <w:szCs w:val="21"/>
                    </w:rPr>
                    <w:t>按3人同时</w:t>
                  </w:r>
                  <w:r>
                    <w:rPr>
                      <w:rFonts w:hint="eastAsia"/>
                      <w:bCs/>
                      <w:spacing w:val="-11"/>
                      <w:sz w:val="21"/>
                      <w:szCs w:val="21"/>
                      <w:lang w:val="en-US" w:eastAsia="zh-CN"/>
                    </w:rPr>
                    <w:t>候诊</w:t>
                  </w:r>
                  <w:r>
                    <w:rPr>
                      <w:rFonts w:hint="eastAsia"/>
                      <w:spacing w:val="-11"/>
                      <w:sz w:val="21"/>
                      <w:szCs w:val="21"/>
                      <w:lang w:val="en-US" w:eastAsia="zh-CN" w:bidi="ar"/>
                    </w:rPr>
                    <w:t>1416.7</w:t>
                  </w:r>
                  <w:r>
                    <w:rPr>
                      <w:spacing w:val="-11"/>
                      <w:sz w:val="21"/>
                      <w:szCs w:val="21"/>
                      <w:lang w:bidi="ar"/>
                    </w:rPr>
                    <w:t>h</w:t>
                  </w:r>
                </w:p>
              </w:tc>
            </w:tr>
            <w:tr w14:paraId="280CCD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1742DDD4">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7B44DCB0">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摆位（PET/CT机房）</w:t>
                  </w:r>
                </w:p>
              </w:tc>
              <w:tc>
                <w:tcPr>
                  <w:tcW w:w="835" w:type="pct"/>
                  <w:vAlign w:val="center"/>
                </w:tcPr>
                <w:p w14:paraId="1BD34181">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1</w:t>
                  </w:r>
                </w:p>
              </w:tc>
              <w:tc>
                <w:tcPr>
                  <w:tcW w:w="699" w:type="pct"/>
                  <w:vMerge w:val="continue"/>
                  <w:vAlign w:val="center"/>
                </w:tcPr>
                <w:p w14:paraId="1284A531">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05C20C8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sz w:val="21"/>
                      <w:szCs w:val="21"/>
                      <w:lang w:val="en-US" w:eastAsia="zh-CN" w:bidi="ar"/>
                    </w:rPr>
                    <w:t>141.7</w:t>
                  </w:r>
                </w:p>
              </w:tc>
              <w:tc>
                <w:tcPr>
                  <w:tcW w:w="778" w:type="pct"/>
                  <w:vAlign w:val="center"/>
                </w:tcPr>
                <w:p w14:paraId="0067C568">
                  <w:pPr>
                    <w:keepNext w:val="0"/>
                    <w:keepLines w:val="0"/>
                    <w:pageBreakBefore w:val="0"/>
                    <w:widowControl/>
                    <w:kinsoku/>
                    <w:wordWrap/>
                    <w:overflowPunct/>
                    <w:topLinePunct w:val="0"/>
                    <w:autoSpaceDE/>
                    <w:autoSpaceDN/>
                    <w:bidi w:val="0"/>
                    <w:adjustRightInd/>
                    <w:snapToGrid/>
                    <w:spacing w:line="320" w:lineRule="exact"/>
                    <w:textAlignment w:val="auto"/>
                    <w:rPr>
                      <w:sz w:val="21"/>
                      <w:szCs w:val="21"/>
                      <w:lang w:bidi="ar"/>
                    </w:rPr>
                  </w:pPr>
                </w:p>
              </w:tc>
            </w:tr>
            <w:tr w14:paraId="38F02C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0E439CFE">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52EA731F">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显像（PET/CT机房）</w:t>
                  </w:r>
                </w:p>
              </w:tc>
              <w:tc>
                <w:tcPr>
                  <w:tcW w:w="835" w:type="pct"/>
                  <w:vAlign w:val="center"/>
                </w:tcPr>
                <w:p w14:paraId="074F449B">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20</w:t>
                  </w:r>
                </w:p>
              </w:tc>
              <w:tc>
                <w:tcPr>
                  <w:tcW w:w="699" w:type="pct"/>
                  <w:vMerge w:val="continue"/>
                  <w:vAlign w:val="center"/>
                </w:tcPr>
                <w:p w14:paraId="0707A7B5">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4BB9837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sz w:val="21"/>
                      <w:szCs w:val="21"/>
                      <w:lang w:val="en-US" w:eastAsia="zh-CN" w:bidi="ar"/>
                    </w:rPr>
                    <w:t>2833.3</w:t>
                  </w:r>
                </w:p>
              </w:tc>
              <w:tc>
                <w:tcPr>
                  <w:tcW w:w="778" w:type="pct"/>
                  <w:vAlign w:val="center"/>
                </w:tcPr>
                <w:p w14:paraId="26F5A60E">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sz w:val="21"/>
                      <w:szCs w:val="21"/>
                      <w:lang w:val="en-US" w:bidi="ar"/>
                    </w:rPr>
                  </w:pPr>
                </w:p>
              </w:tc>
            </w:tr>
            <w:tr w14:paraId="5B27C0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70E9B8F2">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5168FDB2">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留观（</w:t>
                  </w:r>
                  <w:r>
                    <w:rPr>
                      <w:rFonts w:hint="eastAsia"/>
                      <w:bCs/>
                      <w:spacing w:val="-6"/>
                      <w:sz w:val="21"/>
                      <w:szCs w:val="21"/>
                      <w:lang w:val="en-US" w:eastAsia="zh-CN"/>
                    </w:rPr>
                    <w:t>PET</w:t>
                  </w:r>
                  <w:r>
                    <w:rPr>
                      <w:bCs/>
                      <w:spacing w:val="-6"/>
                      <w:sz w:val="21"/>
                      <w:szCs w:val="21"/>
                    </w:rPr>
                    <w:t>留观室）</w:t>
                  </w:r>
                </w:p>
              </w:tc>
              <w:tc>
                <w:tcPr>
                  <w:tcW w:w="835" w:type="pct"/>
                  <w:vAlign w:val="center"/>
                </w:tcPr>
                <w:p w14:paraId="43D97127">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5</w:t>
                  </w:r>
                </w:p>
              </w:tc>
              <w:tc>
                <w:tcPr>
                  <w:tcW w:w="699" w:type="pct"/>
                  <w:vMerge w:val="continue"/>
                  <w:vAlign w:val="center"/>
                </w:tcPr>
                <w:p w14:paraId="07D6B6B2">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532B6FC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sz w:val="21"/>
                      <w:szCs w:val="21"/>
                      <w:lang w:val="en-US" w:eastAsia="zh-CN" w:bidi="ar"/>
                    </w:rPr>
                    <w:t>708.3</w:t>
                  </w:r>
                </w:p>
              </w:tc>
              <w:tc>
                <w:tcPr>
                  <w:tcW w:w="778" w:type="pct"/>
                  <w:vAlign w:val="center"/>
                </w:tcPr>
                <w:p w14:paraId="446B1595">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sz w:val="21"/>
                      <w:szCs w:val="21"/>
                      <w:lang w:eastAsia="zh-CN" w:bidi="ar"/>
                    </w:rPr>
                  </w:pPr>
                  <w:r>
                    <w:rPr>
                      <w:bCs/>
                      <w:spacing w:val="-11"/>
                      <w:sz w:val="21"/>
                      <w:szCs w:val="21"/>
                    </w:rPr>
                    <w:t>按3人同时</w:t>
                  </w:r>
                  <w:r>
                    <w:rPr>
                      <w:rFonts w:hint="eastAsia"/>
                      <w:bCs/>
                      <w:spacing w:val="-11"/>
                      <w:sz w:val="21"/>
                      <w:szCs w:val="21"/>
                      <w:lang w:val="en-US" w:eastAsia="zh-CN"/>
                    </w:rPr>
                    <w:t>留观</w:t>
                  </w:r>
                  <w:r>
                    <w:rPr>
                      <w:rFonts w:hint="eastAsia"/>
                      <w:spacing w:val="-11"/>
                      <w:sz w:val="21"/>
                      <w:szCs w:val="21"/>
                      <w:lang w:val="en-US" w:eastAsia="zh-CN" w:bidi="ar"/>
                    </w:rPr>
                    <w:t>236.1</w:t>
                  </w:r>
                  <w:r>
                    <w:rPr>
                      <w:spacing w:val="-11"/>
                      <w:sz w:val="21"/>
                      <w:szCs w:val="21"/>
                      <w:lang w:bidi="ar"/>
                    </w:rPr>
                    <w:t>h</w:t>
                  </w:r>
                </w:p>
              </w:tc>
            </w:tr>
            <w:tr w14:paraId="42F2F0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restart"/>
                  <w:vAlign w:val="center"/>
                </w:tcPr>
                <w:p w14:paraId="1F02AB60">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r>
                    <w:rPr>
                      <w:rFonts w:hint="eastAsia"/>
                      <w:bCs/>
                      <w:spacing w:val="-6"/>
                      <w:sz w:val="21"/>
                      <w:szCs w:val="21"/>
                      <w:vertAlign w:val="superscript"/>
                      <w:lang w:val="en-US" w:eastAsia="zh-CN"/>
                    </w:rPr>
                    <w:t>99m</w:t>
                  </w:r>
                  <w:r>
                    <w:rPr>
                      <w:rFonts w:hint="eastAsia"/>
                      <w:bCs/>
                      <w:spacing w:val="-6"/>
                      <w:sz w:val="21"/>
                      <w:szCs w:val="21"/>
                      <w:vertAlign w:val="baseline"/>
                      <w:lang w:val="en-US" w:eastAsia="zh-CN"/>
                    </w:rPr>
                    <w:t>Tc</w:t>
                  </w:r>
                </w:p>
              </w:tc>
              <w:tc>
                <w:tcPr>
                  <w:tcW w:w="1566" w:type="pct"/>
                  <w:vAlign w:val="center"/>
                </w:tcPr>
                <w:p w14:paraId="44753F3E">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分药、测量活度（分装室</w:t>
                  </w:r>
                  <w:r>
                    <w:rPr>
                      <w:rFonts w:hint="eastAsia"/>
                      <w:bCs/>
                      <w:spacing w:val="-6"/>
                      <w:sz w:val="21"/>
                      <w:szCs w:val="21"/>
                      <w:lang w:val="en-US" w:eastAsia="zh-CN"/>
                    </w:rPr>
                    <w:t>1#</w:t>
                  </w:r>
                  <w:r>
                    <w:rPr>
                      <w:bCs/>
                      <w:spacing w:val="-6"/>
                      <w:sz w:val="21"/>
                      <w:szCs w:val="21"/>
                    </w:rPr>
                    <w:t>）</w:t>
                  </w:r>
                </w:p>
              </w:tc>
              <w:tc>
                <w:tcPr>
                  <w:tcW w:w="835" w:type="pct"/>
                  <w:vAlign w:val="center"/>
                </w:tcPr>
                <w:p w14:paraId="6107FE4B">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0.5</w:t>
                  </w:r>
                </w:p>
              </w:tc>
              <w:tc>
                <w:tcPr>
                  <w:tcW w:w="699" w:type="pct"/>
                  <w:vMerge w:val="restart"/>
                  <w:vAlign w:val="center"/>
                </w:tcPr>
                <w:p w14:paraId="0AB37C1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7500</w:t>
                  </w:r>
                </w:p>
              </w:tc>
              <w:tc>
                <w:tcPr>
                  <w:tcW w:w="758" w:type="pct"/>
                  <w:vAlign w:val="center"/>
                </w:tcPr>
                <w:p w14:paraId="22ACF12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sz w:val="21"/>
                      <w:szCs w:val="21"/>
                      <w:lang w:val="en-US" w:eastAsia="zh-CN" w:bidi="ar"/>
                    </w:rPr>
                    <w:t>62.5</w:t>
                  </w:r>
                </w:p>
              </w:tc>
              <w:tc>
                <w:tcPr>
                  <w:tcW w:w="778" w:type="pct"/>
                  <w:vAlign w:val="bottom"/>
                </w:tcPr>
                <w:p w14:paraId="5FAB1FE1">
                  <w:pPr>
                    <w:keepNext w:val="0"/>
                    <w:keepLines w:val="0"/>
                    <w:pageBreakBefore w:val="0"/>
                    <w:widowControl/>
                    <w:kinsoku/>
                    <w:wordWrap/>
                    <w:overflowPunct/>
                    <w:topLinePunct w:val="0"/>
                    <w:autoSpaceDE/>
                    <w:autoSpaceDN/>
                    <w:bidi w:val="0"/>
                    <w:adjustRightInd/>
                    <w:snapToGrid/>
                    <w:spacing w:line="320" w:lineRule="exact"/>
                    <w:jc w:val="center"/>
                    <w:textAlignment w:val="auto"/>
                    <w:rPr>
                      <w:sz w:val="21"/>
                      <w:szCs w:val="21"/>
                      <w:lang w:bidi="ar"/>
                    </w:rPr>
                  </w:pPr>
                  <w:r>
                    <w:rPr>
                      <w:sz w:val="21"/>
                      <w:szCs w:val="21"/>
                      <w:lang w:bidi="ar"/>
                    </w:rPr>
                    <w:t>/</w:t>
                  </w:r>
                </w:p>
              </w:tc>
            </w:tr>
            <w:tr w14:paraId="68F69B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7D13726B">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6E197DA3">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注射（</w:t>
                  </w:r>
                  <w:r>
                    <w:rPr>
                      <w:rFonts w:hint="eastAsia"/>
                      <w:bCs/>
                      <w:spacing w:val="-6"/>
                      <w:sz w:val="21"/>
                      <w:szCs w:val="21"/>
                      <w:lang w:val="en-US" w:eastAsia="zh-CN"/>
                    </w:rPr>
                    <w:t>ECT</w:t>
                  </w:r>
                  <w:r>
                    <w:rPr>
                      <w:bCs/>
                      <w:spacing w:val="-6"/>
                      <w:sz w:val="21"/>
                      <w:szCs w:val="21"/>
                    </w:rPr>
                    <w:t>注射室）</w:t>
                  </w:r>
                </w:p>
              </w:tc>
              <w:tc>
                <w:tcPr>
                  <w:tcW w:w="835" w:type="pct"/>
                  <w:vAlign w:val="center"/>
                </w:tcPr>
                <w:p w14:paraId="62F5BF56">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0.5</w:t>
                  </w:r>
                </w:p>
              </w:tc>
              <w:tc>
                <w:tcPr>
                  <w:tcW w:w="699" w:type="pct"/>
                  <w:vMerge w:val="continue"/>
                  <w:vAlign w:val="center"/>
                </w:tcPr>
                <w:p w14:paraId="08BA4074">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6C475F6E">
                  <w:pPr>
                    <w:keepNext w:val="0"/>
                    <w:keepLines w:val="0"/>
                    <w:pageBreakBefore w:val="0"/>
                    <w:widowControl/>
                    <w:kinsoku/>
                    <w:wordWrap/>
                    <w:overflowPunct/>
                    <w:topLinePunct w:val="0"/>
                    <w:autoSpaceDE/>
                    <w:autoSpaceDN/>
                    <w:bidi w:val="0"/>
                    <w:adjustRightInd/>
                    <w:snapToGrid/>
                    <w:spacing w:line="320" w:lineRule="exact"/>
                    <w:jc w:val="center"/>
                    <w:textAlignment w:val="auto"/>
                    <w:rPr>
                      <w:sz w:val="21"/>
                      <w:szCs w:val="21"/>
                      <w:lang w:bidi="ar"/>
                    </w:rPr>
                  </w:pPr>
                  <w:r>
                    <w:rPr>
                      <w:rFonts w:hint="eastAsia"/>
                      <w:sz w:val="21"/>
                      <w:szCs w:val="21"/>
                      <w:lang w:val="en-US" w:eastAsia="zh-CN" w:bidi="ar"/>
                    </w:rPr>
                    <w:t>62.5</w:t>
                  </w:r>
                </w:p>
              </w:tc>
              <w:tc>
                <w:tcPr>
                  <w:tcW w:w="778" w:type="pct"/>
                  <w:vAlign w:val="bottom"/>
                </w:tcPr>
                <w:p w14:paraId="0924EF22">
                  <w:pPr>
                    <w:keepNext w:val="0"/>
                    <w:keepLines w:val="0"/>
                    <w:pageBreakBefore w:val="0"/>
                    <w:widowControl/>
                    <w:kinsoku/>
                    <w:wordWrap/>
                    <w:overflowPunct/>
                    <w:topLinePunct w:val="0"/>
                    <w:autoSpaceDE/>
                    <w:autoSpaceDN/>
                    <w:bidi w:val="0"/>
                    <w:adjustRightInd/>
                    <w:snapToGrid/>
                    <w:spacing w:line="320" w:lineRule="exact"/>
                    <w:jc w:val="center"/>
                    <w:textAlignment w:val="auto"/>
                    <w:rPr>
                      <w:sz w:val="21"/>
                      <w:szCs w:val="21"/>
                      <w:lang w:bidi="ar"/>
                    </w:rPr>
                  </w:pPr>
                  <w:r>
                    <w:rPr>
                      <w:sz w:val="21"/>
                      <w:szCs w:val="21"/>
                      <w:lang w:bidi="ar"/>
                    </w:rPr>
                    <w:t>/</w:t>
                  </w:r>
                </w:p>
              </w:tc>
            </w:tr>
            <w:tr w14:paraId="6B9DD4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57BF421E">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5F5865EB">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注射后候诊</w:t>
                  </w:r>
                </w:p>
                <w:p w14:paraId="5D4ACD39">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w:t>
                  </w:r>
                  <w:r>
                    <w:rPr>
                      <w:rFonts w:hint="eastAsia"/>
                      <w:bCs/>
                      <w:spacing w:val="-6"/>
                      <w:sz w:val="21"/>
                      <w:szCs w:val="21"/>
                      <w:lang w:val="en-US" w:eastAsia="zh-CN"/>
                    </w:rPr>
                    <w:t>ECT</w:t>
                  </w:r>
                  <w:r>
                    <w:rPr>
                      <w:bCs/>
                      <w:spacing w:val="-6"/>
                      <w:sz w:val="21"/>
                      <w:szCs w:val="21"/>
                    </w:rPr>
                    <w:t>注射后等候室）</w:t>
                  </w:r>
                </w:p>
              </w:tc>
              <w:tc>
                <w:tcPr>
                  <w:tcW w:w="835" w:type="pct"/>
                  <w:vAlign w:val="center"/>
                </w:tcPr>
                <w:p w14:paraId="19AFF048">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30</w:t>
                  </w:r>
                </w:p>
              </w:tc>
              <w:tc>
                <w:tcPr>
                  <w:tcW w:w="699" w:type="pct"/>
                  <w:vMerge w:val="continue"/>
                  <w:vAlign w:val="center"/>
                </w:tcPr>
                <w:p w14:paraId="0DA1B534">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0FB1447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sz w:val="21"/>
                      <w:szCs w:val="21"/>
                      <w:lang w:val="en-US" w:eastAsia="zh-CN" w:bidi="ar"/>
                    </w:rPr>
                    <w:t>3750</w:t>
                  </w:r>
                </w:p>
              </w:tc>
              <w:tc>
                <w:tcPr>
                  <w:tcW w:w="778" w:type="pct"/>
                  <w:vAlign w:val="center"/>
                </w:tcPr>
                <w:p w14:paraId="1E9C4207">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sz w:val="21"/>
                      <w:szCs w:val="21"/>
                      <w:lang w:eastAsia="zh-CN" w:bidi="ar"/>
                    </w:rPr>
                  </w:pPr>
                  <w:r>
                    <w:rPr>
                      <w:bCs/>
                      <w:spacing w:val="-11"/>
                      <w:sz w:val="21"/>
                      <w:szCs w:val="21"/>
                    </w:rPr>
                    <w:t>按3人同时</w:t>
                  </w:r>
                  <w:r>
                    <w:rPr>
                      <w:rFonts w:hint="eastAsia"/>
                      <w:bCs/>
                      <w:spacing w:val="-11"/>
                      <w:sz w:val="21"/>
                      <w:szCs w:val="21"/>
                      <w:lang w:val="en-US" w:eastAsia="zh-CN"/>
                    </w:rPr>
                    <w:t>候诊</w:t>
                  </w:r>
                  <w:r>
                    <w:rPr>
                      <w:rFonts w:hint="eastAsia"/>
                      <w:spacing w:val="-11"/>
                      <w:sz w:val="21"/>
                      <w:szCs w:val="21"/>
                      <w:lang w:val="en-US" w:eastAsia="zh-CN" w:bidi="ar"/>
                    </w:rPr>
                    <w:t>1250</w:t>
                  </w:r>
                  <w:r>
                    <w:rPr>
                      <w:spacing w:val="-11"/>
                      <w:sz w:val="21"/>
                      <w:szCs w:val="21"/>
                      <w:lang w:bidi="ar"/>
                    </w:rPr>
                    <w:t>h</w:t>
                  </w:r>
                </w:p>
              </w:tc>
            </w:tr>
            <w:tr w14:paraId="4FCF06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90" w:hRule="atLeast"/>
                <w:jc w:val="center"/>
              </w:trPr>
              <w:tc>
                <w:tcPr>
                  <w:tcW w:w="362" w:type="pct"/>
                  <w:vMerge w:val="continue"/>
                  <w:vAlign w:val="center"/>
                </w:tcPr>
                <w:p w14:paraId="20E4363A">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6E011187">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摆位（</w:t>
                  </w:r>
                  <w:r>
                    <w:rPr>
                      <w:rFonts w:hint="eastAsia"/>
                      <w:bCs/>
                      <w:spacing w:val="-6"/>
                      <w:sz w:val="21"/>
                      <w:szCs w:val="21"/>
                      <w:lang w:val="en-US" w:eastAsia="zh-CN"/>
                    </w:rPr>
                    <w:t>S</w:t>
                  </w:r>
                  <w:r>
                    <w:rPr>
                      <w:bCs/>
                      <w:spacing w:val="-6"/>
                      <w:sz w:val="21"/>
                      <w:szCs w:val="21"/>
                    </w:rPr>
                    <w:t>PE</w:t>
                  </w:r>
                  <w:r>
                    <w:rPr>
                      <w:rFonts w:hint="eastAsia"/>
                      <w:bCs/>
                      <w:spacing w:val="-6"/>
                      <w:sz w:val="21"/>
                      <w:szCs w:val="21"/>
                      <w:lang w:val="en-US" w:eastAsia="zh-CN"/>
                    </w:rPr>
                    <w:t>C</w:t>
                  </w:r>
                  <w:r>
                    <w:rPr>
                      <w:bCs/>
                      <w:spacing w:val="-6"/>
                      <w:sz w:val="21"/>
                      <w:szCs w:val="21"/>
                    </w:rPr>
                    <w:t>T/CT机房）</w:t>
                  </w:r>
                </w:p>
              </w:tc>
              <w:tc>
                <w:tcPr>
                  <w:tcW w:w="835" w:type="pct"/>
                  <w:vAlign w:val="center"/>
                </w:tcPr>
                <w:p w14:paraId="3A0A6CAB">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1</w:t>
                  </w:r>
                </w:p>
              </w:tc>
              <w:tc>
                <w:tcPr>
                  <w:tcW w:w="699" w:type="pct"/>
                  <w:vMerge w:val="continue"/>
                  <w:vAlign w:val="center"/>
                </w:tcPr>
                <w:p w14:paraId="3CF7A314">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033810A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sz w:val="21"/>
                      <w:szCs w:val="21"/>
                      <w:lang w:val="en-US" w:eastAsia="zh-CN" w:bidi="ar"/>
                    </w:rPr>
                    <w:t>125</w:t>
                  </w:r>
                </w:p>
              </w:tc>
              <w:tc>
                <w:tcPr>
                  <w:tcW w:w="778" w:type="pct"/>
                  <w:vAlign w:val="center"/>
                </w:tcPr>
                <w:p w14:paraId="18E2CC94">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sz w:val="21"/>
                      <w:szCs w:val="21"/>
                      <w:lang w:val="en-US" w:eastAsia="zh-CN" w:bidi="ar"/>
                    </w:rPr>
                  </w:pPr>
                  <w:r>
                    <w:rPr>
                      <w:rFonts w:hint="eastAsia"/>
                      <w:sz w:val="21"/>
                      <w:szCs w:val="21"/>
                      <w:lang w:val="en-US" w:eastAsia="zh-CN" w:bidi="ar"/>
                    </w:rPr>
                    <w:t>/</w:t>
                  </w:r>
                </w:p>
              </w:tc>
            </w:tr>
            <w:tr w14:paraId="675C40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5431EC8D">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1A4CADA0">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显像（</w:t>
                  </w:r>
                  <w:r>
                    <w:rPr>
                      <w:rFonts w:hint="eastAsia"/>
                      <w:bCs/>
                      <w:spacing w:val="-6"/>
                      <w:sz w:val="21"/>
                      <w:szCs w:val="21"/>
                      <w:lang w:val="en-US" w:eastAsia="zh-CN"/>
                    </w:rPr>
                    <w:t>S</w:t>
                  </w:r>
                  <w:r>
                    <w:rPr>
                      <w:bCs/>
                      <w:spacing w:val="-6"/>
                      <w:sz w:val="21"/>
                      <w:szCs w:val="21"/>
                    </w:rPr>
                    <w:t>PE</w:t>
                  </w:r>
                  <w:r>
                    <w:rPr>
                      <w:rFonts w:hint="eastAsia"/>
                      <w:bCs/>
                      <w:spacing w:val="-6"/>
                      <w:sz w:val="21"/>
                      <w:szCs w:val="21"/>
                      <w:lang w:val="en-US" w:eastAsia="zh-CN"/>
                    </w:rPr>
                    <w:t>C</w:t>
                  </w:r>
                  <w:r>
                    <w:rPr>
                      <w:bCs/>
                      <w:spacing w:val="-6"/>
                      <w:sz w:val="21"/>
                      <w:szCs w:val="21"/>
                    </w:rPr>
                    <w:t>T/CT机房）</w:t>
                  </w:r>
                </w:p>
              </w:tc>
              <w:tc>
                <w:tcPr>
                  <w:tcW w:w="835" w:type="pct"/>
                  <w:vAlign w:val="center"/>
                </w:tcPr>
                <w:p w14:paraId="0AAD82C8">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20</w:t>
                  </w:r>
                </w:p>
              </w:tc>
              <w:tc>
                <w:tcPr>
                  <w:tcW w:w="699" w:type="pct"/>
                  <w:vMerge w:val="continue"/>
                  <w:vAlign w:val="center"/>
                </w:tcPr>
                <w:p w14:paraId="3D7EFA37">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4B51D55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sz w:val="21"/>
                      <w:szCs w:val="21"/>
                      <w:lang w:val="en-US" w:eastAsia="zh-CN" w:bidi="ar"/>
                    </w:rPr>
                    <w:t>2500</w:t>
                  </w:r>
                </w:p>
              </w:tc>
              <w:tc>
                <w:tcPr>
                  <w:tcW w:w="778" w:type="pct"/>
                  <w:vAlign w:val="center"/>
                </w:tcPr>
                <w:p w14:paraId="1D733245">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sz w:val="21"/>
                      <w:szCs w:val="21"/>
                      <w:lang w:val="en-US" w:eastAsia="zh-CN" w:bidi="ar"/>
                    </w:rPr>
                  </w:pPr>
                  <w:r>
                    <w:rPr>
                      <w:rFonts w:hint="eastAsia"/>
                      <w:sz w:val="21"/>
                      <w:szCs w:val="21"/>
                      <w:lang w:val="en-US" w:eastAsia="zh-CN" w:bidi="ar"/>
                    </w:rPr>
                    <w:t>/</w:t>
                  </w:r>
                </w:p>
              </w:tc>
            </w:tr>
            <w:tr w14:paraId="061322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59275558">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55020568">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bCs/>
                      <w:spacing w:val="-6"/>
                      <w:sz w:val="21"/>
                      <w:szCs w:val="21"/>
                    </w:rPr>
                    <w:t>留观（</w:t>
                  </w:r>
                  <w:r>
                    <w:rPr>
                      <w:rFonts w:hint="eastAsia"/>
                      <w:bCs/>
                      <w:spacing w:val="-6"/>
                      <w:sz w:val="21"/>
                      <w:szCs w:val="21"/>
                      <w:lang w:val="en-US" w:eastAsia="zh-CN"/>
                    </w:rPr>
                    <w:t>ECT</w:t>
                  </w:r>
                  <w:r>
                    <w:rPr>
                      <w:bCs/>
                      <w:spacing w:val="-6"/>
                      <w:sz w:val="21"/>
                      <w:szCs w:val="21"/>
                    </w:rPr>
                    <w:t>留观室）</w:t>
                  </w:r>
                </w:p>
              </w:tc>
              <w:tc>
                <w:tcPr>
                  <w:tcW w:w="835" w:type="pct"/>
                  <w:vAlign w:val="center"/>
                </w:tcPr>
                <w:p w14:paraId="49964AF6">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r>
                    <w:rPr>
                      <w:bCs/>
                      <w:sz w:val="21"/>
                      <w:szCs w:val="21"/>
                    </w:rPr>
                    <w:t>5</w:t>
                  </w:r>
                </w:p>
              </w:tc>
              <w:tc>
                <w:tcPr>
                  <w:tcW w:w="699" w:type="pct"/>
                  <w:vMerge w:val="continue"/>
                  <w:vAlign w:val="center"/>
                </w:tcPr>
                <w:p w14:paraId="25C69397">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4E18C1A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sz w:val="21"/>
                      <w:szCs w:val="21"/>
                      <w:lang w:val="en-US" w:eastAsia="zh-CN" w:bidi="ar"/>
                    </w:rPr>
                  </w:pPr>
                  <w:r>
                    <w:rPr>
                      <w:rFonts w:hint="eastAsia"/>
                      <w:sz w:val="21"/>
                      <w:szCs w:val="21"/>
                      <w:lang w:val="en-US" w:eastAsia="zh-CN" w:bidi="ar"/>
                    </w:rPr>
                    <w:t>625</w:t>
                  </w:r>
                </w:p>
              </w:tc>
              <w:tc>
                <w:tcPr>
                  <w:tcW w:w="778" w:type="pct"/>
                  <w:vAlign w:val="center"/>
                </w:tcPr>
                <w:p w14:paraId="26C8F2B0">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eastAsia="宋体"/>
                      <w:sz w:val="21"/>
                      <w:szCs w:val="21"/>
                      <w:lang w:val="en-US" w:eastAsia="zh-CN" w:bidi="ar"/>
                    </w:rPr>
                  </w:pPr>
                  <w:r>
                    <w:rPr>
                      <w:bCs/>
                      <w:spacing w:val="-11"/>
                      <w:sz w:val="21"/>
                      <w:szCs w:val="21"/>
                    </w:rPr>
                    <w:t>按3人同时</w:t>
                  </w:r>
                  <w:r>
                    <w:rPr>
                      <w:rFonts w:hint="eastAsia"/>
                      <w:bCs/>
                      <w:spacing w:val="-11"/>
                      <w:sz w:val="21"/>
                      <w:szCs w:val="21"/>
                      <w:lang w:val="en-US" w:eastAsia="zh-CN"/>
                    </w:rPr>
                    <w:t>留观</w:t>
                  </w:r>
                  <w:r>
                    <w:rPr>
                      <w:rFonts w:hint="eastAsia"/>
                      <w:spacing w:val="-11"/>
                      <w:sz w:val="21"/>
                      <w:szCs w:val="21"/>
                      <w:lang w:val="en-US" w:eastAsia="zh-CN" w:bidi="ar"/>
                    </w:rPr>
                    <w:t>208.4</w:t>
                  </w:r>
                  <w:r>
                    <w:rPr>
                      <w:spacing w:val="-11"/>
                      <w:sz w:val="21"/>
                      <w:szCs w:val="21"/>
                      <w:lang w:bidi="ar"/>
                    </w:rPr>
                    <w:t>h</w:t>
                  </w:r>
                </w:p>
              </w:tc>
            </w:tr>
            <w:tr w14:paraId="1F1450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restart"/>
                  <w:vAlign w:val="center"/>
                </w:tcPr>
                <w:p w14:paraId="2C84FED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vertAlign w:val="superscript"/>
                      <w:lang w:val="en-US" w:eastAsia="zh-CN"/>
                    </w:rPr>
                    <w:t>131</w:t>
                  </w:r>
                  <w:r>
                    <w:rPr>
                      <w:rFonts w:hint="eastAsia"/>
                      <w:bCs/>
                      <w:sz w:val="21"/>
                      <w:szCs w:val="21"/>
                      <w:lang w:val="en-US" w:eastAsia="zh-CN"/>
                    </w:rPr>
                    <w:t>I</w:t>
                  </w:r>
                </w:p>
              </w:tc>
              <w:tc>
                <w:tcPr>
                  <w:tcW w:w="1566" w:type="pct"/>
                  <w:vAlign w:val="center"/>
                </w:tcPr>
                <w:p w14:paraId="2003D50D">
                  <w:pPr>
                    <w:keepNext w:val="0"/>
                    <w:keepLines w:val="0"/>
                    <w:pageBreakBefore w:val="0"/>
                    <w:kinsoku/>
                    <w:wordWrap/>
                    <w:overflowPunct/>
                    <w:topLinePunct w:val="0"/>
                    <w:autoSpaceDE/>
                    <w:autoSpaceDN/>
                    <w:bidi w:val="0"/>
                    <w:adjustRightInd/>
                    <w:snapToGrid/>
                    <w:spacing w:line="320" w:lineRule="exact"/>
                    <w:jc w:val="center"/>
                    <w:textAlignment w:val="auto"/>
                    <w:rPr>
                      <w:bCs/>
                      <w:spacing w:val="-6"/>
                      <w:sz w:val="21"/>
                      <w:szCs w:val="21"/>
                    </w:rPr>
                  </w:pPr>
                  <w:r>
                    <w:rPr>
                      <w:sz w:val="21"/>
                      <w:szCs w:val="21"/>
                      <w:lang w:bidi="ar"/>
                    </w:rPr>
                    <w:t>分药、服药（</w:t>
                  </w:r>
                  <w:r>
                    <w:rPr>
                      <w:rFonts w:hint="eastAsia"/>
                      <w:sz w:val="21"/>
                      <w:szCs w:val="21"/>
                      <w:lang w:val="en-US" w:eastAsia="zh-CN" w:bidi="ar"/>
                    </w:rPr>
                    <w:t>分装室2#、I-131</w:t>
                  </w:r>
                  <w:r>
                    <w:rPr>
                      <w:bCs/>
                      <w:sz w:val="21"/>
                      <w:szCs w:val="21"/>
                      <w:lang w:bidi="ar"/>
                    </w:rPr>
                    <w:t>服药室</w:t>
                  </w:r>
                  <w:r>
                    <w:rPr>
                      <w:sz w:val="21"/>
                      <w:szCs w:val="21"/>
                      <w:lang w:bidi="ar"/>
                    </w:rPr>
                    <w:t>）</w:t>
                  </w:r>
                </w:p>
              </w:tc>
              <w:tc>
                <w:tcPr>
                  <w:tcW w:w="835" w:type="pct"/>
                  <w:vAlign w:val="center"/>
                </w:tcPr>
                <w:p w14:paraId="201A11FC">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eastAsia="宋体"/>
                      <w:bCs/>
                      <w:sz w:val="21"/>
                      <w:szCs w:val="21"/>
                      <w:lang w:val="en-US" w:eastAsia="zh-CN"/>
                    </w:rPr>
                  </w:pPr>
                  <w:r>
                    <w:rPr>
                      <w:rFonts w:hint="eastAsia"/>
                      <w:bCs/>
                      <w:sz w:val="21"/>
                      <w:szCs w:val="21"/>
                      <w:lang w:val="en-US" w:eastAsia="zh-CN"/>
                    </w:rPr>
                    <w:t>1</w:t>
                  </w:r>
                </w:p>
              </w:tc>
              <w:tc>
                <w:tcPr>
                  <w:tcW w:w="699" w:type="pct"/>
                  <w:vMerge w:val="restart"/>
                  <w:vAlign w:val="center"/>
                </w:tcPr>
                <w:p w14:paraId="408AD7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1250</w:t>
                  </w:r>
                </w:p>
              </w:tc>
              <w:tc>
                <w:tcPr>
                  <w:tcW w:w="758" w:type="pct"/>
                  <w:vAlign w:val="center"/>
                </w:tcPr>
                <w:p w14:paraId="1630E44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20.8</w:t>
                  </w:r>
                </w:p>
              </w:tc>
              <w:tc>
                <w:tcPr>
                  <w:tcW w:w="778" w:type="pct"/>
                  <w:vAlign w:val="center"/>
                </w:tcPr>
                <w:p w14:paraId="7B26F829">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p>
              </w:tc>
            </w:tr>
            <w:tr w14:paraId="3F9024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Merge w:val="continue"/>
                  <w:vAlign w:val="center"/>
                </w:tcPr>
                <w:p w14:paraId="62A7D804">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0110748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pacing w:val="-6"/>
                      <w:sz w:val="21"/>
                      <w:szCs w:val="21"/>
                      <w:lang w:val="en-US" w:eastAsia="zh-CN"/>
                    </w:rPr>
                  </w:pPr>
                  <w:r>
                    <w:rPr>
                      <w:rFonts w:hint="eastAsia"/>
                      <w:bCs/>
                      <w:spacing w:val="-6"/>
                      <w:sz w:val="21"/>
                      <w:szCs w:val="21"/>
                      <w:lang w:val="en-US" w:eastAsia="zh-CN"/>
                    </w:rPr>
                    <w:t>甲扫检查（甲功室）</w:t>
                  </w:r>
                </w:p>
              </w:tc>
              <w:tc>
                <w:tcPr>
                  <w:tcW w:w="835" w:type="pct"/>
                  <w:vAlign w:val="center"/>
                </w:tcPr>
                <w:p w14:paraId="4265C90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5</w:t>
                  </w:r>
                </w:p>
              </w:tc>
              <w:tc>
                <w:tcPr>
                  <w:tcW w:w="699" w:type="pct"/>
                  <w:vMerge w:val="continue"/>
                  <w:vAlign w:val="center"/>
                </w:tcPr>
                <w:p w14:paraId="186CEADD">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4F26258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104.2</w:t>
                  </w:r>
                </w:p>
              </w:tc>
              <w:tc>
                <w:tcPr>
                  <w:tcW w:w="778" w:type="pct"/>
                  <w:vAlign w:val="center"/>
                </w:tcPr>
                <w:p w14:paraId="34B0FBDC">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p>
              </w:tc>
            </w:tr>
            <w:tr w14:paraId="33D407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3" w:hRule="atLeast"/>
                <w:jc w:val="center"/>
              </w:trPr>
              <w:tc>
                <w:tcPr>
                  <w:tcW w:w="362" w:type="pct"/>
                  <w:vMerge w:val="continue"/>
                  <w:vAlign w:val="center"/>
                </w:tcPr>
                <w:p w14:paraId="4537445D">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shd w:val="clear" w:color="auto" w:fill="auto"/>
                  <w:vAlign w:val="center"/>
                </w:tcPr>
                <w:p w14:paraId="7BFBEBCE">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sz w:val="21"/>
                      <w:szCs w:val="21"/>
                      <w:lang w:bidi="ar"/>
                    </w:rPr>
                    <w:t>分药、服药（</w:t>
                  </w:r>
                  <w:r>
                    <w:rPr>
                      <w:rFonts w:hint="eastAsia"/>
                      <w:sz w:val="21"/>
                      <w:szCs w:val="21"/>
                      <w:lang w:val="en-US" w:eastAsia="zh-CN" w:bidi="ar"/>
                    </w:rPr>
                    <w:t>分装室2#、I-131</w:t>
                  </w:r>
                  <w:r>
                    <w:rPr>
                      <w:bCs/>
                      <w:sz w:val="21"/>
                      <w:szCs w:val="21"/>
                      <w:lang w:bidi="ar"/>
                    </w:rPr>
                    <w:t>服药室</w:t>
                  </w:r>
                  <w:r>
                    <w:rPr>
                      <w:sz w:val="21"/>
                      <w:szCs w:val="21"/>
                      <w:lang w:bidi="ar"/>
                    </w:rPr>
                    <w:t>）</w:t>
                  </w:r>
                </w:p>
              </w:tc>
              <w:tc>
                <w:tcPr>
                  <w:tcW w:w="835" w:type="pct"/>
                  <w:shd w:val="clear" w:color="auto" w:fill="auto"/>
                  <w:vAlign w:val="center"/>
                </w:tcPr>
                <w:p w14:paraId="0FE0BF10">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1</w:t>
                  </w:r>
                </w:p>
              </w:tc>
              <w:tc>
                <w:tcPr>
                  <w:tcW w:w="699" w:type="pct"/>
                  <w:vMerge w:val="continue"/>
                  <w:vAlign w:val="center"/>
                </w:tcPr>
                <w:p w14:paraId="03F07880">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1C3DC60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20.8</w:t>
                  </w:r>
                </w:p>
              </w:tc>
              <w:tc>
                <w:tcPr>
                  <w:tcW w:w="778" w:type="pct"/>
                  <w:vAlign w:val="center"/>
                </w:tcPr>
                <w:p w14:paraId="68B0844A">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p>
              </w:tc>
            </w:tr>
            <w:tr w14:paraId="40AD35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3" w:hRule="atLeast"/>
                <w:jc w:val="center"/>
              </w:trPr>
              <w:tc>
                <w:tcPr>
                  <w:tcW w:w="362" w:type="pct"/>
                  <w:vMerge w:val="continue"/>
                  <w:vAlign w:val="center"/>
                </w:tcPr>
                <w:p w14:paraId="715F7C9F">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shd w:val="clear" w:color="auto" w:fill="auto"/>
                  <w:vAlign w:val="center"/>
                </w:tcPr>
                <w:p w14:paraId="588B1E4A">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rFonts w:hint="eastAsia"/>
                      <w:sz w:val="21"/>
                      <w:szCs w:val="21"/>
                      <w:lang w:val="en-US" w:eastAsia="zh-CN" w:bidi="ar"/>
                    </w:rPr>
                    <w:t>留观</w:t>
                  </w:r>
                  <w:r>
                    <w:rPr>
                      <w:sz w:val="21"/>
                      <w:szCs w:val="21"/>
                      <w:lang w:bidi="ar"/>
                    </w:rPr>
                    <w:t>（</w:t>
                  </w:r>
                  <w:r>
                    <w:rPr>
                      <w:rFonts w:hint="eastAsia"/>
                      <w:sz w:val="21"/>
                      <w:szCs w:val="21"/>
                      <w:lang w:val="en-US" w:eastAsia="zh-CN" w:bidi="ar"/>
                    </w:rPr>
                    <w:t>日间留观室</w:t>
                  </w:r>
                  <w:r>
                    <w:rPr>
                      <w:sz w:val="21"/>
                      <w:szCs w:val="21"/>
                      <w:lang w:bidi="ar"/>
                    </w:rPr>
                    <w:t>）</w:t>
                  </w:r>
                </w:p>
              </w:tc>
              <w:tc>
                <w:tcPr>
                  <w:tcW w:w="835" w:type="pct"/>
                  <w:shd w:val="clear" w:color="auto" w:fill="auto"/>
                  <w:vAlign w:val="center"/>
                </w:tcPr>
                <w:p w14:paraId="3E787D9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z w:val="21"/>
                      <w:szCs w:val="21"/>
                      <w:lang w:val="en-US" w:eastAsia="zh-CN" w:bidi="ar-SA"/>
                    </w:rPr>
                  </w:pPr>
                  <w:r>
                    <w:rPr>
                      <w:rFonts w:hint="eastAsia" w:cs="Times New Roman"/>
                      <w:bCs/>
                      <w:sz w:val="21"/>
                      <w:szCs w:val="21"/>
                      <w:lang w:val="en-US" w:eastAsia="zh-CN" w:bidi="ar-SA"/>
                    </w:rPr>
                    <w:t>60</w:t>
                  </w:r>
                </w:p>
              </w:tc>
              <w:tc>
                <w:tcPr>
                  <w:tcW w:w="699" w:type="pct"/>
                  <w:vMerge w:val="continue"/>
                  <w:vAlign w:val="center"/>
                </w:tcPr>
                <w:p w14:paraId="1C634688">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3F0584B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1250</w:t>
                  </w:r>
                </w:p>
              </w:tc>
              <w:tc>
                <w:tcPr>
                  <w:tcW w:w="778" w:type="pct"/>
                  <w:vAlign w:val="center"/>
                </w:tcPr>
                <w:p w14:paraId="0F8E0425">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r>
                    <w:rPr>
                      <w:bCs/>
                      <w:spacing w:val="-11"/>
                      <w:sz w:val="21"/>
                      <w:szCs w:val="21"/>
                    </w:rPr>
                    <w:t>按3人同时</w:t>
                  </w:r>
                  <w:r>
                    <w:rPr>
                      <w:rFonts w:hint="eastAsia"/>
                      <w:bCs/>
                      <w:spacing w:val="-11"/>
                      <w:sz w:val="21"/>
                      <w:szCs w:val="21"/>
                      <w:lang w:val="en-US" w:eastAsia="zh-CN"/>
                    </w:rPr>
                    <w:t>留观</w:t>
                  </w:r>
                  <w:r>
                    <w:rPr>
                      <w:rFonts w:hint="eastAsia"/>
                      <w:spacing w:val="-11"/>
                      <w:sz w:val="21"/>
                      <w:szCs w:val="21"/>
                      <w:lang w:val="en-US" w:eastAsia="zh-CN" w:bidi="ar"/>
                    </w:rPr>
                    <w:t>416.7</w:t>
                  </w:r>
                  <w:r>
                    <w:rPr>
                      <w:spacing w:val="-11"/>
                      <w:sz w:val="21"/>
                      <w:szCs w:val="21"/>
                      <w:lang w:bidi="ar"/>
                    </w:rPr>
                    <w:t>h</w:t>
                  </w:r>
                </w:p>
              </w:tc>
            </w:tr>
            <w:tr w14:paraId="2D3568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shd w:val="clear" w:color="auto" w:fill="auto"/>
                  <w:vAlign w:val="center"/>
                </w:tcPr>
                <w:p w14:paraId="7348011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z w:val="21"/>
                      <w:szCs w:val="21"/>
                      <w:lang w:val="en-US" w:eastAsia="zh-CN" w:bidi="ar-SA"/>
                    </w:rPr>
                  </w:pPr>
                  <w:r>
                    <w:rPr>
                      <w:rFonts w:hint="eastAsia"/>
                      <w:bCs/>
                      <w:sz w:val="21"/>
                      <w:szCs w:val="21"/>
                      <w:vertAlign w:val="superscript"/>
                      <w:lang w:val="en-US" w:eastAsia="zh-CN"/>
                    </w:rPr>
                    <w:t>89</w:t>
                  </w:r>
                  <w:r>
                    <w:rPr>
                      <w:rFonts w:hint="eastAsia"/>
                      <w:bCs/>
                      <w:sz w:val="21"/>
                      <w:szCs w:val="21"/>
                      <w:lang w:val="en-US" w:eastAsia="zh-CN"/>
                    </w:rPr>
                    <w:t>Sr</w:t>
                  </w:r>
                </w:p>
              </w:tc>
              <w:tc>
                <w:tcPr>
                  <w:tcW w:w="1566" w:type="pct"/>
                  <w:shd w:val="clear" w:color="auto" w:fill="auto"/>
                  <w:vAlign w:val="center"/>
                </w:tcPr>
                <w:p w14:paraId="0AB8EE61">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分药、测量活度（分装室</w:t>
                  </w:r>
                  <w:r>
                    <w:rPr>
                      <w:rFonts w:hint="eastAsia"/>
                      <w:bCs/>
                      <w:spacing w:val="-6"/>
                      <w:sz w:val="21"/>
                      <w:szCs w:val="21"/>
                      <w:lang w:val="en-US" w:eastAsia="zh-CN"/>
                    </w:rPr>
                    <w:t>2#</w:t>
                  </w:r>
                  <w:r>
                    <w:rPr>
                      <w:bCs/>
                      <w:spacing w:val="-6"/>
                      <w:sz w:val="21"/>
                      <w:szCs w:val="21"/>
                    </w:rPr>
                    <w:t>）</w:t>
                  </w:r>
                </w:p>
              </w:tc>
              <w:tc>
                <w:tcPr>
                  <w:tcW w:w="835" w:type="pct"/>
                  <w:shd w:val="clear" w:color="auto" w:fill="auto"/>
                  <w:vAlign w:val="center"/>
                </w:tcPr>
                <w:p w14:paraId="35417A27">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0.5</w:t>
                  </w:r>
                </w:p>
              </w:tc>
              <w:tc>
                <w:tcPr>
                  <w:tcW w:w="699" w:type="pct"/>
                  <w:vMerge w:val="restart"/>
                  <w:shd w:val="clear" w:color="auto" w:fill="auto"/>
                  <w:vAlign w:val="center"/>
                </w:tcPr>
                <w:p w14:paraId="01A7A69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bCs/>
                      <w:sz w:val="21"/>
                      <w:szCs w:val="21"/>
                      <w:lang w:val="en-US" w:eastAsia="zh-CN" w:bidi="ar-SA"/>
                    </w:rPr>
                  </w:pPr>
                  <w:r>
                    <w:rPr>
                      <w:rFonts w:hint="eastAsia"/>
                      <w:bCs/>
                      <w:sz w:val="21"/>
                      <w:szCs w:val="21"/>
                      <w:lang w:val="en-US" w:eastAsia="zh-CN"/>
                    </w:rPr>
                    <w:t>1250</w:t>
                  </w:r>
                </w:p>
              </w:tc>
              <w:tc>
                <w:tcPr>
                  <w:tcW w:w="758" w:type="pct"/>
                  <w:vAlign w:val="center"/>
                </w:tcPr>
                <w:p w14:paraId="77F63BE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10.4</w:t>
                  </w:r>
                </w:p>
              </w:tc>
              <w:tc>
                <w:tcPr>
                  <w:tcW w:w="778" w:type="pct"/>
                  <w:vAlign w:val="center"/>
                </w:tcPr>
                <w:p w14:paraId="1831448F">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p>
              </w:tc>
            </w:tr>
            <w:tr w14:paraId="4630C2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Align w:val="center"/>
                </w:tcPr>
                <w:p w14:paraId="77A73F07">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shd w:val="clear" w:color="auto" w:fill="auto"/>
                  <w:vAlign w:val="center"/>
                </w:tcPr>
                <w:p w14:paraId="3B070F19">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注射（</w:t>
                  </w:r>
                  <w:r>
                    <w:rPr>
                      <w:rFonts w:hint="eastAsia"/>
                      <w:bCs/>
                      <w:spacing w:val="-6"/>
                      <w:sz w:val="21"/>
                      <w:szCs w:val="21"/>
                      <w:lang w:val="en-US" w:eastAsia="zh-CN"/>
                    </w:rPr>
                    <w:t>Sr-89</w:t>
                  </w:r>
                  <w:r>
                    <w:rPr>
                      <w:bCs/>
                      <w:spacing w:val="-6"/>
                      <w:sz w:val="21"/>
                      <w:szCs w:val="21"/>
                    </w:rPr>
                    <w:t>注射室）</w:t>
                  </w:r>
                </w:p>
              </w:tc>
              <w:tc>
                <w:tcPr>
                  <w:tcW w:w="835" w:type="pct"/>
                  <w:shd w:val="clear" w:color="auto" w:fill="auto"/>
                  <w:vAlign w:val="center"/>
                </w:tcPr>
                <w:p w14:paraId="3D923AF5">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bCs/>
                      <w:sz w:val="21"/>
                      <w:szCs w:val="21"/>
                      <w:lang w:val="en-US" w:eastAsia="zh-CN" w:bidi="ar-SA"/>
                    </w:rPr>
                  </w:pPr>
                  <w:r>
                    <w:rPr>
                      <w:bCs/>
                      <w:sz w:val="21"/>
                      <w:szCs w:val="21"/>
                    </w:rPr>
                    <w:t>0.5</w:t>
                  </w:r>
                </w:p>
              </w:tc>
              <w:tc>
                <w:tcPr>
                  <w:tcW w:w="699" w:type="pct"/>
                  <w:vMerge w:val="continue"/>
                  <w:vAlign w:val="center"/>
                </w:tcPr>
                <w:p w14:paraId="1273C567">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3F50BEC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10.4</w:t>
                  </w:r>
                </w:p>
              </w:tc>
              <w:tc>
                <w:tcPr>
                  <w:tcW w:w="778" w:type="pct"/>
                  <w:vAlign w:val="center"/>
                </w:tcPr>
                <w:p w14:paraId="78B7B127">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p>
              </w:tc>
            </w:tr>
            <w:tr w14:paraId="68D3CD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Align w:val="center"/>
                </w:tcPr>
                <w:p w14:paraId="21AA99B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vertAlign w:val="superscript"/>
                      <w:lang w:val="en-US" w:eastAsia="zh-CN"/>
                    </w:rPr>
                    <w:t>32</w:t>
                  </w:r>
                  <w:r>
                    <w:rPr>
                      <w:rFonts w:hint="eastAsia"/>
                      <w:bCs/>
                      <w:sz w:val="21"/>
                      <w:szCs w:val="21"/>
                      <w:lang w:val="en-US" w:eastAsia="zh-CN"/>
                    </w:rPr>
                    <w:t>P</w:t>
                  </w:r>
                </w:p>
              </w:tc>
              <w:tc>
                <w:tcPr>
                  <w:tcW w:w="1566" w:type="pct"/>
                  <w:vAlign w:val="center"/>
                </w:tcPr>
                <w:p w14:paraId="72501F3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pacing w:val="-6"/>
                      <w:sz w:val="21"/>
                      <w:szCs w:val="21"/>
                      <w:lang w:val="en-US" w:eastAsia="zh-CN"/>
                    </w:rPr>
                  </w:pPr>
                  <w:r>
                    <w:rPr>
                      <w:rFonts w:hint="eastAsia"/>
                      <w:bCs/>
                      <w:spacing w:val="-6"/>
                      <w:sz w:val="21"/>
                      <w:szCs w:val="21"/>
                      <w:lang w:val="en-US" w:eastAsia="zh-CN"/>
                    </w:rPr>
                    <w:t>制作敷贴器（分装室1#）</w:t>
                  </w:r>
                </w:p>
              </w:tc>
              <w:tc>
                <w:tcPr>
                  <w:tcW w:w="835" w:type="pct"/>
                  <w:vAlign w:val="center"/>
                </w:tcPr>
                <w:p w14:paraId="0367FA4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30</w:t>
                  </w:r>
                </w:p>
              </w:tc>
              <w:tc>
                <w:tcPr>
                  <w:tcW w:w="699" w:type="pct"/>
                  <w:vMerge w:val="restart"/>
                  <w:vAlign w:val="center"/>
                </w:tcPr>
                <w:p w14:paraId="4584E79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250</w:t>
                  </w:r>
                </w:p>
              </w:tc>
              <w:tc>
                <w:tcPr>
                  <w:tcW w:w="758" w:type="pct"/>
                  <w:vAlign w:val="center"/>
                </w:tcPr>
                <w:p w14:paraId="02D74D3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125</w:t>
                  </w:r>
                </w:p>
              </w:tc>
              <w:tc>
                <w:tcPr>
                  <w:tcW w:w="778" w:type="pct"/>
                  <w:vAlign w:val="center"/>
                </w:tcPr>
                <w:p w14:paraId="7F69C2FA">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p>
              </w:tc>
            </w:tr>
            <w:tr w14:paraId="5B3A8B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23" w:hRule="atLeast"/>
                <w:jc w:val="center"/>
              </w:trPr>
              <w:tc>
                <w:tcPr>
                  <w:tcW w:w="362" w:type="pct"/>
                  <w:vAlign w:val="center"/>
                </w:tcPr>
                <w:p w14:paraId="2D265548">
                  <w:pPr>
                    <w:keepNext w:val="0"/>
                    <w:keepLines w:val="0"/>
                    <w:pageBreakBefore w:val="0"/>
                    <w:widowControl/>
                    <w:kinsoku/>
                    <w:wordWrap/>
                    <w:overflowPunct/>
                    <w:topLinePunct w:val="0"/>
                    <w:autoSpaceDE/>
                    <w:autoSpaceDN/>
                    <w:bidi w:val="0"/>
                    <w:adjustRightInd/>
                    <w:snapToGrid/>
                    <w:spacing w:line="320" w:lineRule="exact"/>
                    <w:jc w:val="center"/>
                    <w:textAlignment w:val="auto"/>
                    <w:rPr>
                      <w:bCs/>
                      <w:sz w:val="21"/>
                      <w:szCs w:val="21"/>
                    </w:rPr>
                  </w:pPr>
                </w:p>
              </w:tc>
              <w:tc>
                <w:tcPr>
                  <w:tcW w:w="1566" w:type="pct"/>
                  <w:vAlign w:val="center"/>
                </w:tcPr>
                <w:p w14:paraId="5BD4A4F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pacing w:val="-6"/>
                      <w:sz w:val="21"/>
                      <w:szCs w:val="21"/>
                      <w:lang w:val="en-US" w:eastAsia="zh-CN"/>
                    </w:rPr>
                  </w:pPr>
                  <w:r>
                    <w:rPr>
                      <w:rFonts w:hint="eastAsia"/>
                      <w:bCs/>
                      <w:spacing w:val="-6"/>
                      <w:sz w:val="21"/>
                      <w:szCs w:val="21"/>
                      <w:lang w:val="en-US" w:eastAsia="zh-CN"/>
                    </w:rPr>
                    <w:t>敷贴治疗（敷贴室1#、2#）</w:t>
                  </w:r>
                </w:p>
              </w:tc>
              <w:tc>
                <w:tcPr>
                  <w:tcW w:w="835" w:type="pct"/>
                  <w:vAlign w:val="center"/>
                </w:tcPr>
                <w:p w14:paraId="343CD49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eastAsia="宋体"/>
                      <w:bCs/>
                      <w:sz w:val="21"/>
                      <w:szCs w:val="21"/>
                      <w:lang w:val="en-US" w:eastAsia="zh-CN"/>
                    </w:rPr>
                  </w:pPr>
                  <w:r>
                    <w:rPr>
                      <w:rFonts w:hint="eastAsia"/>
                      <w:bCs/>
                      <w:sz w:val="21"/>
                      <w:szCs w:val="21"/>
                      <w:lang w:val="en-US" w:eastAsia="zh-CN"/>
                    </w:rPr>
                    <w:t>120</w:t>
                  </w:r>
                </w:p>
              </w:tc>
              <w:tc>
                <w:tcPr>
                  <w:tcW w:w="699" w:type="pct"/>
                  <w:vMerge w:val="continue"/>
                  <w:vAlign w:val="center"/>
                </w:tcPr>
                <w:p w14:paraId="52D277F5">
                  <w:pPr>
                    <w:keepNext w:val="0"/>
                    <w:keepLines w:val="0"/>
                    <w:pageBreakBefore w:val="0"/>
                    <w:kinsoku/>
                    <w:wordWrap/>
                    <w:overflowPunct/>
                    <w:topLinePunct w:val="0"/>
                    <w:autoSpaceDE/>
                    <w:autoSpaceDN/>
                    <w:bidi w:val="0"/>
                    <w:adjustRightInd/>
                    <w:snapToGrid/>
                    <w:spacing w:line="320" w:lineRule="exact"/>
                    <w:jc w:val="center"/>
                    <w:textAlignment w:val="auto"/>
                    <w:rPr>
                      <w:bCs/>
                      <w:sz w:val="21"/>
                      <w:szCs w:val="21"/>
                    </w:rPr>
                  </w:pPr>
                </w:p>
              </w:tc>
              <w:tc>
                <w:tcPr>
                  <w:tcW w:w="758" w:type="pct"/>
                  <w:vAlign w:val="center"/>
                </w:tcPr>
                <w:p w14:paraId="1E75E33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sz w:val="21"/>
                      <w:szCs w:val="21"/>
                      <w:lang w:val="en-US" w:eastAsia="zh-CN" w:bidi="ar"/>
                    </w:rPr>
                  </w:pPr>
                  <w:r>
                    <w:rPr>
                      <w:rFonts w:hint="eastAsia"/>
                      <w:sz w:val="21"/>
                      <w:szCs w:val="21"/>
                      <w:lang w:val="en-US" w:eastAsia="zh-CN" w:bidi="ar"/>
                    </w:rPr>
                    <w:t>500</w:t>
                  </w:r>
                </w:p>
              </w:tc>
              <w:tc>
                <w:tcPr>
                  <w:tcW w:w="778" w:type="pct"/>
                  <w:vAlign w:val="center"/>
                </w:tcPr>
                <w:p w14:paraId="73B95610">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sz w:val="21"/>
                      <w:szCs w:val="21"/>
                      <w:lang w:val="en-US" w:eastAsia="zh-CN" w:bidi="ar"/>
                    </w:rPr>
                  </w:pPr>
                </w:p>
              </w:tc>
            </w:tr>
          </w:tbl>
          <w:p w14:paraId="271C9D4B">
            <w:pPr>
              <w:spacing w:line="240" w:lineRule="auto"/>
              <w:rPr>
                <w:rFonts w:eastAsia="黑体"/>
                <w:bCs/>
                <w:sz w:val="21"/>
                <w:szCs w:val="21"/>
              </w:rPr>
            </w:pPr>
            <w:r>
              <w:rPr>
                <w:rFonts w:eastAsia="黑体"/>
                <w:bCs/>
                <w:sz w:val="21"/>
                <w:szCs w:val="21"/>
              </w:rPr>
              <w:t>注：</w:t>
            </w:r>
            <w:r>
              <w:rPr>
                <w:rFonts w:eastAsia="黑体"/>
                <w:sz w:val="21"/>
                <w:szCs w:val="21"/>
              </w:rPr>
              <w:t>注射后等候室每次最多</w:t>
            </w:r>
            <w:r>
              <w:rPr>
                <w:rFonts w:hint="eastAsia" w:eastAsia="黑体"/>
                <w:sz w:val="21"/>
                <w:szCs w:val="21"/>
                <w:lang w:val="en-US" w:eastAsia="zh-CN"/>
              </w:rPr>
              <w:t>3</w:t>
            </w:r>
            <w:r>
              <w:rPr>
                <w:rFonts w:eastAsia="黑体"/>
                <w:sz w:val="21"/>
                <w:szCs w:val="21"/>
              </w:rPr>
              <w:t>人</w:t>
            </w:r>
            <w:r>
              <w:rPr>
                <w:rFonts w:eastAsia="黑体"/>
                <w:sz w:val="21"/>
                <w:szCs w:val="18"/>
              </w:rPr>
              <w:t>同时候诊，留观室</w:t>
            </w:r>
            <w:r>
              <w:rPr>
                <w:rFonts w:hint="eastAsia" w:eastAsia="黑体"/>
                <w:sz w:val="21"/>
                <w:szCs w:val="18"/>
                <w:lang w:val="en-US" w:eastAsia="zh-CN"/>
              </w:rPr>
              <w:t>和日间留观室</w:t>
            </w:r>
            <w:r>
              <w:rPr>
                <w:rFonts w:eastAsia="黑体"/>
                <w:sz w:val="21"/>
                <w:szCs w:val="18"/>
              </w:rPr>
              <w:t>每次最多3</w:t>
            </w:r>
            <w:r>
              <w:rPr>
                <w:rFonts w:eastAsia="黑体"/>
                <w:sz w:val="21"/>
                <w:szCs w:val="21"/>
              </w:rPr>
              <w:t>人</w:t>
            </w:r>
            <w:r>
              <w:rPr>
                <w:rFonts w:eastAsia="黑体"/>
                <w:sz w:val="21"/>
                <w:szCs w:val="18"/>
              </w:rPr>
              <w:t>同时留观</w:t>
            </w:r>
            <w:r>
              <w:rPr>
                <w:rFonts w:hint="eastAsia" w:eastAsia="黑体"/>
                <w:sz w:val="21"/>
                <w:szCs w:val="18"/>
                <w:lang w:eastAsia="zh-CN"/>
              </w:rPr>
              <w:t>，</w:t>
            </w:r>
            <w:r>
              <w:rPr>
                <w:rFonts w:eastAsia="黑体"/>
                <w:bCs/>
                <w:sz w:val="21"/>
                <w:szCs w:val="21"/>
              </w:rPr>
              <w:t>年操作时</w:t>
            </w:r>
            <w:r>
              <w:rPr>
                <w:rFonts w:eastAsia="黑体"/>
                <w:sz w:val="21"/>
                <w:szCs w:val="21"/>
                <w:lang w:bidi="ar"/>
              </w:rPr>
              <w:t>间为所有病人总</w:t>
            </w:r>
            <w:r>
              <w:rPr>
                <w:rFonts w:hint="eastAsia" w:eastAsia="黑体"/>
                <w:sz w:val="21"/>
                <w:szCs w:val="21"/>
                <w:lang w:val="en-US" w:eastAsia="zh-CN" w:bidi="ar"/>
              </w:rPr>
              <w:t>候诊或</w:t>
            </w:r>
            <w:r>
              <w:rPr>
                <w:rFonts w:eastAsia="黑体"/>
                <w:sz w:val="21"/>
                <w:szCs w:val="21"/>
                <w:lang w:bidi="ar"/>
              </w:rPr>
              <w:t>留观时间</w:t>
            </w:r>
            <w:r>
              <w:rPr>
                <w:rFonts w:hint="eastAsia" w:eastAsia="黑体"/>
                <w:sz w:val="21"/>
                <w:szCs w:val="21"/>
                <w:lang w:eastAsia="zh-CN" w:bidi="ar"/>
              </w:rPr>
              <w:t>的</w:t>
            </w:r>
            <w:r>
              <w:rPr>
                <w:rFonts w:hint="eastAsia" w:eastAsia="黑体"/>
                <w:sz w:val="21"/>
                <w:szCs w:val="21"/>
                <w:lang w:val="en-US" w:eastAsia="zh-CN" w:bidi="ar"/>
              </w:rPr>
              <w:t>1</w:t>
            </w:r>
            <w:r>
              <w:rPr>
                <w:rFonts w:eastAsia="黑体"/>
                <w:sz w:val="21"/>
                <w:szCs w:val="21"/>
                <w:lang w:bidi="ar"/>
              </w:rPr>
              <w:t>/3</w:t>
            </w:r>
            <w:r>
              <w:rPr>
                <w:rFonts w:eastAsia="黑体"/>
                <w:sz w:val="21"/>
                <w:szCs w:val="18"/>
              </w:rPr>
              <w:t>。</w:t>
            </w:r>
          </w:p>
          <w:p w14:paraId="0FCB1D17">
            <w:pPr>
              <w:ind w:firstLine="482"/>
              <w:rPr>
                <w:b/>
              </w:rPr>
            </w:pPr>
            <w:r>
              <w:rPr>
                <w:b/>
              </w:rPr>
              <w:t>（2）职业人员和公众所受γ射线照射剂量预测</w:t>
            </w:r>
          </w:p>
          <w:p w14:paraId="7E27C2D5">
            <w:pPr>
              <w:ind w:firstLine="480"/>
            </w:pPr>
            <w:r>
              <w:t>负一层</w:t>
            </w:r>
            <w:r>
              <w:rPr>
                <w:rFonts w:hint="eastAsia"/>
                <w:lang w:val="en-US" w:eastAsia="zh-CN"/>
              </w:rPr>
              <w:t>核医学科</w:t>
            </w:r>
            <w:r>
              <w:t>职业人员受照剂量当量率及年有效剂量结果见表11-</w:t>
            </w:r>
            <w:r>
              <w:rPr>
                <w:rFonts w:hint="eastAsia"/>
                <w:lang w:val="en-US" w:eastAsia="zh-CN"/>
              </w:rPr>
              <w:t>7</w:t>
            </w:r>
            <w:r>
              <w:t>。</w:t>
            </w:r>
          </w:p>
          <w:p w14:paraId="566A7085">
            <w:pPr>
              <w:ind w:firstLine="480"/>
            </w:pPr>
            <w:r>
              <w:rPr>
                <w:lang w:bidi="ar"/>
              </w:rPr>
              <w:t>由于辐射剂量率与距离的平方成反比，</w:t>
            </w:r>
            <w:r>
              <w:t>本次环评在计算核医学科周边公众受照剂量时，</w:t>
            </w:r>
            <w:r>
              <w:rPr>
                <w:lang w:bidi="ar"/>
              </w:rPr>
              <w:t>综合考虑</w:t>
            </w:r>
            <w:r>
              <w:t>选取每侧最近的、辐射源强较大且用药病人停留时间较长的辐射区域作为计算源强。负一层</w:t>
            </w:r>
            <w:r>
              <w:rPr>
                <w:rFonts w:hint="eastAsia"/>
                <w:lang w:val="en-US" w:eastAsia="zh-CN"/>
              </w:rPr>
              <w:t>核医学科</w:t>
            </w:r>
            <w:r>
              <w:t>公众受照剂量当量率及年有效剂量估算结果见表11-</w:t>
            </w:r>
            <w:r>
              <w:rPr>
                <w:rFonts w:hint="eastAsia"/>
                <w:lang w:val="en-US" w:eastAsia="zh-CN"/>
              </w:rPr>
              <w:t>8</w:t>
            </w:r>
            <w:r>
              <w:t>。</w:t>
            </w:r>
          </w:p>
          <w:p w14:paraId="4C6B83FE">
            <w:pPr>
              <w:pStyle w:val="55"/>
            </w:pPr>
          </w:p>
          <w:p w14:paraId="53B393C5">
            <w:pPr>
              <w:pStyle w:val="55"/>
            </w:pPr>
          </w:p>
          <w:p w14:paraId="2B38C702">
            <w:pPr>
              <w:pStyle w:val="55"/>
            </w:pPr>
          </w:p>
          <w:p w14:paraId="3C37546B">
            <w:pPr>
              <w:pStyle w:val="55"/>
            </w:pPr>
          </w:p>
          <w:p w14:paraId="31AE6BA8">
            <w:pPr>
              <w:pStyle w:val="55"/>
            </w:pPr>
          </w:p>
        </w:tc>
      </w:tr>
    </w:tbl>
    <w:p w14:paraId="3788DC8F">
      <w:r>
        <w:rPr/>
        <w:br w:type="page" w:clear="all"/>
      </w:r>
    </w:p>
    <w:p w14:paraId="18821A8A">
      <w:pPr>
        <w:sectPr>
          <w:pgSz w:w="11907" w:h="16839"/>
          <w:pgMar w:top="1106" w:right="1440" w:bottom="1276" w:left="1440" w:header="851" w:footer="567" w:gutter="0"/>
          <w:pgBorders>
            <w:top w:val="none" w:sz="0" w:space="0"/>
            <w:left w:val="none" w:sz="0" w:space="0"/>
            <w:bottom w:val="none" w:sz="0" w:space="0"/>
            <w:right w:val="none" w:sz="0" w:space="0"/>
          </w:pgBorders>
          <w:cols w:space="720" w:num="1"/>
          <w:docGrid w:linePitch="360" w:charSpace="0"/>
        </w:sectPr>
      </w:pPr>
    </w:p>
    <w:p w14:paraId="5240E9A3">
      <w:pPr>
        <w:widowControl/>
        <w:spacing w:before="163" w:line="240" w:lineRule="auto"/>
        <w:jc w:val="center"/>
        <w:rPr>
          <w:rFonts w:eastAsia="黑体"/>
          <w:bCs/>
          <w:sz w:val="21"/>
          <w:szCs w:val="18"/>
        </w:rPr>
      </w:pPr>
      <w:r>
        <w:rPr>
          <w:rFonts w:eastAsia="黑体"/>
          <w:bCs/>
          <w:sz w:val="21"/>
          <w:szCs w:val="18"/>
        </w:rPr>
        <w:t>表11-</w:t>
      </w:r>
      <w:r>
        <w:rPr>
          <w:rFonts w:hint="eastAsia" w:eastAsia="黑体"/>
          <w:bCs/>
          <w:sz w:val="21"/>
          <w:szCs w:val="18"/>
          <w:lang w:val="en-US" w:eastAsia="zh-CN"/>
        </w:rPr>
        <w:t>7</w:t>
      </w:r>
      <w:r>
        <w:rPr>
          <w:rFonts w:eastAsia="黑体"/>
          <w:bCs/>
          <w:sz w:val="21"/>
          <w:szCs w:val="18"/>
        </w:rPr>
        <w:t xml:space="preserve">  负一层</w:t>
      </w:r>
      <w:r>
        <w:rPr>
          <w:rFonts w:hint="eastAsia" w:eastAsia="黑体"/>
          <w:bCs/>
          <w:sz w:val="21"/>
          <w:szCs w:val="18"/>
          <w:lang w:val="en-US" w:eastAsia="zh-CN"/>
        </w:rPr>
        <w:t>核医学科</w:t>
      </w:r>
      <w:r>
        <w:rPr>
          <w:rFonts w:eastAsia="黑体"/>
          <w:bCs/>
          <w:sz w:val="21"/>
          <w:szCs w:val="18"/>
        </w:rPr>
        <w:t>核素操作过程γ射线的影响计算（职业人员）</w:t>
      </w:r>
    </w:p>
    <w:tbl>
      <w:tblPr>
        <w:tblStyle w:val="57"/>
        <w:tblW w:w="14534" w:type="dxa"/>
        <w:tblInd w:w="-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7"/>
        <w:gridCol w:w="2113"/>
        <w:gridCol w:w="1100"/>
        <w:gridCol w:w="1050"/>
        <w:gridCol w:w="1925"/>
        <w:gridCol w:w="2250"/>
        <w:gridCol w:w="1025"/>
        <w:gridCol w:w="1350"/>
        <w:gridCol w:w="1125"/>
        <w:gridCol w:w="637"/>
        <w:gridCol w:w="1272"/>
      </w:tblGrid>
      <w:tr w14:paraId="408C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687" w:type="dxa"/>
            <w:tcBorders>
              <w:top w:val="single" w:color="000000" w:sz="8" w:space="0"/>
              <w:left w:val="nil"/>
              <w:bottom w:val="single" w:color="000000" w:sz="8" w:space="0"/>
              <w:right w:val="single" w:color="000000" w:sz="8" w:space="0"/>
            </w:tcBorders>
            <w:shd w:val="clear" w:color="auto" w:fill="auto"/>
            <w:vAlign w:val="center"/>
          </w:tcPr>
          <w:p w14:paraId="552CEC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核素</w:t>
            </w:r>
          </w:p>
        </w:tc>
        <w:tc>
          <w:tcPr>
            <w:tcW w:w="21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3613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预测点</w:t>
            </w:r>
          </w:p>
        </w:tc>
        <w:tc>
          <w:tcPr>
            <w:tcW w:w="11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B448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操作</w:t>
            </w:r>
            <w:r>
              <w:rPr>
                <w:rFonts w:hint="eastAsia" w:ascii="Times New Roman" w:hAnsi="Times New Roman" w:eastAsia="宋体" w:cs="Times New Roman"/>
                <w:b w:val="0"/>
                <w:bCs w:val="0"/>
                <w:i w:val="0"/>
                <w:iCs w:val="0"/>
                <w:color w:val="000000"/>
                <w:kern w:val="0"/>
                <w:sz w:val="21"/>
                <w:szCs w:val="21"/>
                <w:u w:val="none"/>
                <w:lang w:val="en-US" w:eastAsia="zh-CN" w:bidi="ar"/>
              </w:rPr>
              <w:t>活度</w:t>
            </w:r>
            <w:r>
              <w:rPr>
                <w:rFonts w:hint="default" w:ascii="Times New Roman" w:hAnsi="Times New Roman" w:eastAsia="宋体" w:cs="Times New Roman"/>
                <w:b w:val="0"/>
                <w:bCs w:val="0"/>
                <w:i w:val="0"/>
                <w:iCs w:val="0"/>
                <w:color w:val="000000"/>
                <w:kern w:val="0"/>
                <w:sz w:val="21"/>
                <w:szCs w:val="21"/>
                <w:u w:val="none"/>
                <w:lang w:val="en-US" w:eastAsia="zh-CN" w:bidi="ar"/>
              </w:rPr>
              <w:t>（MBq）</w:t>
            </w:r>
          </w:p>
        </w:tc>
        <w:tc>
          <w:tcPr>
            <w:tcW w:w="10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79DA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距γ源距离（m）</w:t>
            </w:r>
          </w:p>
        </w:tc>
        <w:tc>
          <w:tcPr>
            <w:tcW w:w="19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622D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周围剂量当量率常数(μSv·m</w:t>
            </w:r>
            <w:r>
              <w:rPr>
                <w:rFonts w:hint="default" w:ascii="Times New Roman" w:hAnsi="Times New Roman" w:eastAsia="宋体" w:cs="Times New Roman"/>
                <w:b w:val="0"/>
                <w:bCs w:val="0"/>
                <w:i w:val="0"/>
                <w:iCs w:val="0"/>
                <w:color w:val="000000"/>
                <w:kern w:val="0"/>
                <w:sz w:val="21"/>
                <w:szCs w:val="21"/>
                <w:u w:val="none"/>
                <w:vertAlign w:val="superscript"/>
                <w:lang w:val="en-US" w:eastAsia="zh-CN" w:bidi="ar"/>
              </w:rPr>
              <w:t>2</w:t>
            </w:r>
            <w:r>
              <w:rPr>
                <w:rFonts w:hint="default" w:ascii="Times New Roman" w:hAnsi="Times New Roman" w:eastAsia="宋体" w:cs="Times New Roman"/>
                <w:b w:val="0"/>
                <w:bCs w:val="0"/>
                <w:i w:val="0"/>
                <w:iCs w:val="0"/>
                <w:color w:val="000000"/>
                <w:kern w:val="0"/>
                <w:sz w:val="21"/>
                <w:szCs w:val="21"/>
                <w:u w:val="none"/>
                <w:lang w:val="en-US" w:eastAsia="zh-CN" w:bidi="ar"/>
              </w:rPr>
              <w:t>/MBq·h)</w:t>
            </w:r>
          </w:p>
        </w:tc>
        <w:tc>
          <w:tcPr>
            <w:tcW w:w="22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12B9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屏蔽材料及厚度</w:t>
            </w:r>
          </w:p>
        </w:tc>
        <w:tc>
          <w:tcPr>
            <w:tcW w:w="1025" w:type="dxa"/>
            <w:tcBorders>
              <w:top w:val="single" w:color="000000" w:sz="8" w:space="0"/>
              <w:left w:val="single" w:color="000000" w:sz="8" w:space="0"/>
              <w:bottom w:val="single" w:color="000000" w:sz="8" w:space="0"/>
              <w:right w:val="single" w:color="000000" w:sz="4" w:space="0"/>
            </w:tcBorders>
            <w:shd w:val="clear" w:color="auto" w:fill="auto"/>
            <w:vAlign w:val="center"/>
          </w:tcPr>
          <w:p w14:paraId="6AE29C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衰减系数η</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23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剂量率预测值（μSv/h）</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4B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年操作时间（h）</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84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居留</w:t>
            </w:r>
          </w:p>
          <w:p w14:paraId="0DC4F7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因子</w:t>
            </w:r>
          </w:p>
        </w:tc>
        <w:tc>
          <w:tcPr>
            <w:tcW w:w="1272" w:type="dxa"/>
            <w:tcBorders>
              <w:top w:val="single" w:color="000000" w:sz="8" w:space="0"/>
              <w:left w:val="single" w:color="000000" w:sz="4" w:space="0"/>
              <w:bottom w:val="single" w:color="000000" w:sz="8" w:space="0"/>
              <w:right w:val="nil"/>
            </w:tcBorders>
            <w:shd w:val="clear" w:color="auto" w:fill="auto"/>
            <w:vAlign w:val="center"/>
          </w:tcPr>
          <w:p w14:paraId="63B194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年有效剂量（mSv/a）</w:t>
            </w:r>
          </w:p>
        </w:tc>
      </w:tr>
      <w:tr w14:paraId="6CAA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87" w:type="dxa"/>
            <w:vMerge w:val="restart"/>
            <w:tcBorders>
              <w:top w:val="nil"/>
              <w:left w:val="nil"/>
              <w:bottom w:val="single" w:color="000000" w:sz="8" w:space="0"/>
              <w:right w:val="single" w:color="000000" w:sz="8" w:space="0"/>
            </w:tcBorders>
            <w:shd w:val="clear" w:color="auto" w:fill="auto"/>
            <w:vAlign w:val="center"/>
          </w:tcPr>
          <w:p w14:paraId="2F7421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4C2A32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分药、测量活度（分装室1#）</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79C1E3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23287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002CFF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4FF0BC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60mmPb手套箱+0.5mm铅当量铅衣</w:t>
            </w:r>
          </w:p>
        </w:tc>
        <w:tc>
          <w:tcPr>
            <w:tcW w:w="1025" w:type="dxa"/>
            <w:tcBorders>
              <w:top w:val="nil"/>
              <w:left w:val="single" w:color="000000" w:sz="8" w:space="0"/>
              <w:bottom w:val="single" w:color="000000" w:sz="8" w:space="0"/>
              <w:right w:val="single" w:color="000000" w:sz="4" w:space="0"/>
            </w:tcBorders>
            <w:shd w:val="clear" w:color="auto" w:fill="auto"/>
            <w:vAlign w:val="center"/>
          </w:tcPr>
          <w:p w14:paraId="4894DC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2.27E-04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33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1.44E-01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A8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59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4" w:space="0"/>
              <w:bottom w:val="single" w:color="000000" w:sz="8" w:space="0"/>
              <w:right w:val="nil"/>
            </w:tcBorders>
            <w:shd w:val="clear" w:color="auto" w:fill="auto"/>
            <w:vAlign w:val="center"/>
          </w:tcPr>
          <w:p w14:paraId="1DB527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1.02E+01</w:t>
            </w:r>
          </w:p>
        </w:tc>
      </w:tr>
      <w:tr w14:paraId="7D19A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trPr>
        <w:tc>
          <w:tcPr>
            <w:tcW w:w="687" w:type="dxa"/>
            <w:vMerge w:val="continue"/>
            <w:tcBorders>
              <w:top w:val="nil"/>
              <w:left w:val="nil"/>
              <w:bottom w:val="single" w:color="000000" w:sz="8" w:space="0"/>
              <w:right w:val="single" w:color="000000" w:sz="8" w:space="0"/>
            </w:tcBorders>
            <w:shd w:val="clear" w:color="auto" w:fill="auto"/>
            <w:vAlign w:val="center"/>
          </w:tcPr>
          <w:p w14:paraId="0DC5D49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102205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注射（分装室1#PET注射窗口）</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2F5260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DF631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44E9E4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26D5E3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50mmPb防护窗+10mmPb注射器防护套+0.5mmPb铅衣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10E0F8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2.27E-04</w:t>
            </w:r>
          </w:p>
        </w:tc>
        <w:tc>
          <w:tcPr>
            <w:tcW w:w="1350" w:type="dxa"/>
            <w:tcBorders>
              <w:top w:val="single" w:color="000000" w:sz="4" w:space="0"/>
              <w:left w:val="single" w:color="000000" w:sz="8" w:space="0"/>
              <w:bottom w:val="single" w:color="000000" w:sz="8" w:space="0"/>
              <w:right w:val="single" w:color="000000" w:sz="8" w:space="0"/>
            </w:tcBorders>
            <w:shd w:val="clear" w:color="auto" w:fill="auto"/>
            <w:vAlign w:val="center"/>
          </w:tcPr>
          <w:p w14:paraId="5F7364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4.80E-02</w:t>
            </w:r>
          </w:p>
        </w:tc>
        <w:tc>
          <w:tcPr>
            <w:tcW w:w="1125" w:type="dxa"/>
            <w:tcBorders>
              <w:top w:val="single" w:color="000000" w:sz="4" w:space="0"/>
              <w:left w:val="single" w:color="000000" w:sz="8" w:space="0"/>
              <w:bottom w:val="single" w:color="000000" w:sz="8" w:space="0"/>
              <w:right w:val="single" w:color="000000" w:sz="8" w:space="0"/>
            </w:tcBorders>
            <w:shd w:val="clear" w:color="auto" w:fill="auto"/>
            <w:vAlign w:val="center"/>
          </w:tcPr>
          <w:p w14:paraId="4A7233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637" w:type="dxa"/>
            <w:tcBorders>
              <w:top w:val="single" w:color="000000" w:sz="4" w:space="0"/>
              <w:left w:val="single" w:color="000000" w:sz="8" w:space="0"/>
              <w:bottom w:val="single" w:color="000000" w:sz="8" w:space="0"/>
              <w:right w:val="single" w:color="000000" w:sz="8" w:space="0"/>
            </w:tcBorders>
            <w:shd w:val="clear" w:color="auto" w:fill="auto"/>
            <w:vAlign w:val="center"/>
          </w:tcPr>
          <w:p w14:paraId="48E79F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6913B8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3.40E-03</w:t>
            </w:r>
          </w:p>
        </w:tc>
      </w:tr>
      <w:tr w14:paraId="531A6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687" w:type="dxa"/>
            <w:vMerge w:val="continue"/>
            <w:tcBorders>
              <w:top w:val="nil"/>
              <w:left w:val="nil"/>
              <w:bottom w:val="single" w:color="000000" w:sz="8" w:space="0"/>
              <w:right w:val="single" w:color="000000" w:sz="8" w:space="0"/>
            </w:tcBorders>
            <w:shd w:val="clear" w:color="auto" w:fill="auto"/>
            <w:vAlign w:val="center"/>
          </w:tcPr>
          <w:p w14:paraId="4A011CE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7050DC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摆位（PET/CT机房）</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14060E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39C7A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387570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1E6554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8mmPb铅屏风+0.5mmPb铅衣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389404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3.08E-01</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93436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1.05E+01</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503BA3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141.7</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791B31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771610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1.49E+00</w:t>
            </w:r>
          </w:p>
        </w:tc>
      </w:tr>
      <w:tr w14:paraId="7A481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87" w:type="dxa"/>
            <w:vMerge w:val="continue"/>
            <w:tcBorders>
              <w:top w:val="nil"/>
              <w:left w:val="nil"/>
              <w:bottom w:val="single" w:color="000000" w:sz="8" w:space="0"/>
              <w:right w:val="single" w:color="000000" w:sz="8" w:space="0"/>
            </w:tcBorders>
            <w:shd w:val="clear" w:color="auto" w:fill="auto"/>
            <w:vAlign w:val="center"/>
          </w:tcPr>
          <w:p w14:paraId="38B0FC93">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13142A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显像（控制室）</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5427D4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B4840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728A0C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6EC7C7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10mmPb铅玻璃观察窗+0.5mmPb铅衣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767627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2.33E-01</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A1C6B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8.81E-01</w:t>
            </w:r>
          </w:p>
        </w:tc>
        <w:tc>
          <w:tcPr>
            <w:tcW w:w="1125" w:type="dxa"/>
            <w:tcBorders>
              <w:top w:val="nil"/>
              <w:left w:val="single" w:color="000000" w:sz="8" w:space="0"/>
              <w:bottom w:val="single" w:color="000000" w:sz="8" w:space="0"/>
              <w:right w:val="single" w:color="000000" w:sz="8" w:space="0"/>
            </w:tcBorders>
            <w:shd w:val="clear" w:color="auto" w:fill="auto"/>
            <w:vAlign w:val="center"/>
          </w:tcPr>
          <w:p w14:paraId="4FCB65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2833.3</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3D8081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48D53A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2.50E+00</w:t>
            </w:r>
          </w:p>
        </w:tc>
      </w:tr>
      <w:tr w14:paraId="3F54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87" w:type="dxa"/>
            <w:vMerge w:val="restart"/>
            <w:tcBorders>
              <w:top w:val="nil"/>
              <w:left w:val="nil"/>
              <w:bottom w:val="single" w:color="000000" w:sz="8" w:space="0"/>
              <w:right w:val="single" w:color="000000" w:sz="8" w:space="0"/>
            </w:tcBorders>
            <w:shd w:val="clear" w:color="auto" w:fill="auto"/>
            <w:vAlign w:val="center"/>
          </w:tcPr>
          <w:p w14:paraId="621ED1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7A496E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分药、测量活度（分装室1#）</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72DD53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644EB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2BAB16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784995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10mmPb手套箱+0.5mm铅当量铅衣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1D8230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3.16E-11</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6FDBA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8.50E-09</w:t>
            </w:r>
          </w:p>
        </w:tc>
        <w:tc>
          <w:tcPr>
            <w:tcW w:w="1125" w:type="dxa"/>
            <w:tcBorders>
              <w:top w:val="single" w:color="000000" w:sz="8" w:space="0"/>
              <w:left w:val="nil"/>
              <w:bottom w:val="single" w:color="000000" w:sz="8" w:space="0"/>
              <w:right w:val="nil"/>
            </w:tcBorders>
            <w:shd w:val="clear" w:color="auto" w:fill="auto"/>
            <w:vAlign w:val="center"/>
          </w:tcPr>
          <w:p w14:paraId="12862A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62.5</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19C351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5C54CD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5.31E-10</w:t>
            </w:r>
          </w:p>
        </w:tc>
      </w:tr>
      <w:tr w14:paraId="0365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87" w:type="dxa"/>
            <w:vMerge w:val="continue"/>
            <w:tcBorders>
              <w:top w:val="nil"/>
              <w:left w:val="nil"/>
              <w:bottom w:val="single" w:color="000000" w:sz="8" w:space="0"/>
              <w:right w:val="single" w:color="000000" w:sz="8" w:space="0"/>
            </w:tcBorders>
            <w:shd w:val="clear" w:color="auto" w:fill="auto"/>
            <w:vAlign w:val="center"/>
          </w:tcPr>
          <w:p w14:paraId="4E0A2F9C">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31F2FC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注射（分装室1#ECT注射窗口）</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4AAD61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185</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769FB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268A48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2421EB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5mmPb防护窗+5mmPb注射器防护套+0.5mmPb铅衣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2184F5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3.16E-11</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06E20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7.09E-10</w:t>
            </w:r>
          </w:p>
        </w:tc>
        <w:tc>
          <w:tcPr>
            <w:tcW w:w="1125" w:type="dxa"/>
            <w:tcBorders>
              <w:top w:val="nil"/>
              <w:left w:val="nil"/>
              <w:bottom w:val="single" w:color="000000" w:sz="8" w:space="0"/>
              <w:right w:val="nil"/>
            </w:tcBorders>
            <w:shd w:val="clear" w:color="auto" w:fill="auto"/>
            <w:vAlign w:val="center"/>
          </w:tcPr>
          <w:p w14:paraId="06A129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62.5</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4F6F7B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4EA7BB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4.43E-11</w:t>
            </w:r>
          </w:p>
        </w:tc>
      </w:tr>
      <w:tr w14:paraId="06B2F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87" w:type="dxa"/>
            <w:vMerge w:val="continue"/>
            <w:tcBorders>
              <w:top w:val="nil"/>
              <w:left w:val="nil"/>
              <w:bottom w:val="single" w:color="000000" w:sz="8" w:space="0"/>
              <w:right w:val="single" w:color="000000" w:sz="8" w:space="0"/>
            </w:tcBorders>
            <w:shd w:val="clear" w:color="auto" w:fill="auto"/>
            <w:vAlign w:val="center"/>
          </w:tcPr>
          <w:p w14:paraId="56E5712C">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0AF4BE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摆位（SPECT/CT机房）</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294748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185</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4B80F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75EAF7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699DB7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3mmPb铅屏风+0.5mmPb铅衣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602973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3.16E-04</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6A588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1.21E-03</w:t>
            </w:r>
          </w:p>
        </w:tc>
        <w:tc>
          <w:tcPr>
            <w:tcW w:w="1125" w:type="dxa"/>
            <w:tcBorders>
              <w:top w:val="single" w:color="000000" w:sz="8" w:space="0"/>
              <w:left w:val="nil"/>
              <w:bottom w:val="single" w:color="000000" w:sz="8" w:space="0"/>
              <w:right w:val="nil"/>
            </w:tcBorders>
            <w:shd w:val="clear" w:color="auto" w:fill="auto"/>
            <w:vAlign w:val="center"/>
          </w:tcPr>
          <w:p w14:paraId="0C863C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5F9186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3BA621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1.51E-04</w:t>
            </w:r>
          </w:p>
        </w:tc>
      </w:tr>
      <w:tr w14:paraId="5AEC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7" w:type="dxa"/>
            <w:vMerge w:val="continue"/>
            <w:tcBorders>
              <w:top w:val="nil"/>
              <w:left w:val="nil"/>
              <w:bottom w:val="single" w:color="000000" w:sz="8" w:space="0"/>
              <w:right w:val="single" w:color="000000" w:sz="8" w:space="0"/>
            </w:tcBorders>
            <w:shd w:val="clear" w:color="auto" w:fill="auto"/>
            <w:vAlign w:val="center"/>
          </w:tcPr>
          <w:p w14:paraId="5A77012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19DAD3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显像（控制室）</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1CCF98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185</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A09F8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7C34AE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2F3A53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3mmPb铅玻璃观察窗+0.5mmPb铅衣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1E5F5D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3.16E-04</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9FF36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1.34E-04</w:t>
            </w:r>
          </w:p>
        </w:tc>
        <w:tc>
          <w:tcPr>
            <w:tcW w:w="1125" w:type="dxa"/>
            <w:tcBorders>
              <w:top w:val="nil"/>
              <w:left w:val="nil"/>
              <w:bottom w:val="single" w:color="000000" w:sz="8" w:space="0"/>
              <w:right w:val="nil"/>
            </w:tcBorders>
            <w:shd w:val="clear" w:color="auto" w:fill="auto"/>
            <w:vAlign w:val="center"/>
          </w:tcPr>
          <w:p w14:paraId="4795E5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2500</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0D7B4A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6C9347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3.36E-04</w:t>
            </w:r>
          </w:p>
        </w:tc>
      </w:tr>
      <w:tr w14:paraId="1710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687" w:type="dxa"/>
            <w:vMerge w:val="restart"/>
            <w:tcBorders>
              <w:top w:val="nil"/>
              <w:left w:val="nil"/>
              <w:right w:val="single" w:color="000000" w:sz="8" w:space="0"/>
            </w:tcBorders>
            <w:shd w:val="clear" w:color="auto" w:fill="auto"/>
            <w:vAlign w:val="center"/>
          </w:tcPr>
          <w:p w14:paraId="0CF7C1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4F5A4C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分药、服药（分装室2#、I-131服药室）</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67CAFE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0.555</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FAF78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5D3B9F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3E8ADD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40mmPb自动分药手套箱+0.5mmPb铅衣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25C74A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2.08E-04</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3A7E0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2.75E-05</w:t>
            </w:r>
          </w:p>
        </w:tc>
        <w:tc>
          <w:tcPr>
            <w:tcW w:w="1125" w:type="dxa"/>
            <w:tcBorders>
              <w:top w:val="single" w:color="000000" w:sz="8" w:space="0"/>
              <w:left w:val="nil"/>
              <w:bottom w:val="single" w:color="000000" w:sz="8" w:space="0"/>
              <w:right w:val="nil"/>
            </w:tcBorders>
            <w:shd w:val="clear" w:color="auto" w:fill="auto"/>
            <w:vAlign w:val="center"/>
          </w:tcPr>
          <w:p w14:paraId="7717A6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29EBEC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078B0E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5.71E-07</w:t>
            </w:r>
          </w:p>
        </w:tc>
      </w:tr>
      <w:tr w14:paraId="74E2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687" w:type="dxa"/>
            <w:vMerge w:val="continue"/>
            <w:tcBorders>
              <w:left w:val="nil"/>
              <w:right w:val="single" w:color="000000" w:sz="8" w:space="0"/>
            </w:tcBorders>
            <w:shd w:val="clear" w:color="auto" w:fill="auto"/>
            <w:vAlign w:val="center"/>
          </w:tcPr>
          <w:p w14:paraId="28E2FE46">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2236C5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甲功室</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6177F9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0.555</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7711D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7B350A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46D7D3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2mmPb铅屏风</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1E19E3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6.58E-01</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DDC2C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5.32E-03</w:t>
            </w:r>
          </w:p>
        </w:tc>
        <w:tc>
          <w:tcPr>
            <w:tcW w:w="1125" w:type="dxa"/>
            <w:tcBorders>
              <w:top w:val="nil"/>
              <w:left w:val="nil"/>
              <w:bottom w:val="single" w:color="000000" w:sz="8" w:space="0"/>
              <w:right w:val="nil"/>
            </w:tcBorders>
            <w:shd w:val="clear" w:color="auto" w:fill="auto"/>
            <w:vAlign w:val="center"/>
          </w:tcPr>
          <w:p w14:paraId="508AA4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104.2</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3E017A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173EA0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5.55E-04</w:t>
            </w:r>
          </w:p>
        </w:tc>
      </w:tr>
      <w:tr w14:paraId="3742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7" w:type="dxa"/>
            <w:vMerge w:val="continue"/>
            <w:tcBorders>
              <w:left w:val="nil"/>
              <w:bottom w:val="single" w:color="000000" w:sz="8" w:space="0"/>
              <w:right w:val="single" w:color="000000" w:sz="8" w:space="0"/>
            </w:tcBorders>
            <w:shd w:val="clear" w:color="auto" w:fill="auto"/>
            <w:vAlign w:val="center"/>
          </w:tcPr>
          <w:p w14:paraId="365BA1E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5CD0C0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分药、服药（分装室2#、I-131服药室）</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778524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CD5E0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1F4386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7218A8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40mmPb自动分药手套箱+0.5mmPb铅衣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0471A5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2.08E-04</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743A4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3.66E-02</w:t>
            </w:r>
          </w:p>
        </w:tc>
        <w:tc>
          <w:tcPr>
            <w:tcW w:w="1125" w:type="dxa"/>
            <w:tcBorders>
              <w:top w:val="single" w:color="000000" w:sz="8" w:space="0"/>
              <w:left w:val="nil"/>
              <w:bottom w:val="single" w:color="000000" w:sz="8" w:space="0"/>
              <w:right w:val="nil"/>
            </w:tcBorders>
            <w:shd w:val="clear" w:color="auto" w:fill="auto"/>
            <w:vAlign w:val="center"/>
          </w:tcPr>
          <w:p w14:paraId="0451BB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773FA7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133B11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7.62E-04</w:t>
            </w:r>
          </w:p>
        </w:tc>
      </w:tr>
      <w:tr w14:paraId="688EB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87" w:type="dxa"/>
            <w:vMerge w:val="restart"/>
            <w:tcBorders>
              <w:top w:val="nil"/>
              <w:left w:val="nil"/>
              <w:right w:val="single" w:color="000000" w:sz="8" w:space="0"/>
            </w:tcBorders>
            <w:shd w:val="clear" w:color="auto" w:fill="auto"/>
            <w:vAlign w:val="center"/>
          </w:tcPr>
          <w:p w14:paraId="4714D9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89</w:t>
            </w:r>
            <w:r>
              <w:rPr>
                <w:rFonts w:hint="default" w:ascii="Times New Roman" w:hAnsi="Times New Roman" w:eastAsia="宋体" w:cs="Times New Roman"/>
                <w:i w:val="0"/>
                <w:iCs w:val="0"/>
                <w:color w:val="000000"/>
                <w:kern w:val="0"/>
                <w:sz w:val="21"/>
                <w:szCs w:val="21"/>
                <w:u w:val="none"/>
                <w:lang w:val="en-US" w:eastAsia="zh-CN" w:bidi="ar"/>
              </w:rPr>
              <w:t>Sr</w:t>
            </w: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340B71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分药、测量活度（分装室2#）</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305591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BF19C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5E99E7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23EE27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10mmPb手套箱+0.5mm铅当量铅衣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425F16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8.38E-09</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78AE9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1.84E-09</w:t>
            </w:r>
          </w:p>
        </w:tc>
        <w:tc>
          <w:tcPr>
            <w:tcW w:w="1125" w:type="dxa"/>
            <w:tcBorders>
              <w:top w:val="single" w:color="000000" w:sz="8" w:space="0"/>
              <w:left w:val="nil"/>
              <w:bottom w:val="single" w:color="000000" w:sz="8" w:space="0"/>
              <w:right w:val="nil"/>
            </w:tcBorders>
            <w:shd w:val="clear" w:color="auto" w:fill="auto"/>
            <w:vAlign w:val="center"/>
          </w:tcPr>
          <w:p w14:paraId="2446F2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57CC7B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6C30A9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1.91E-11</w:t>
            </w:r>
          </w:p>
        </w:tc>
      </w:tr>
      <w:tr w14:paraId="6D1E6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87" w:type="dxa"/>
            <w:vMerge w:val="continue"/>
            <w:tcBorders>
              <w:left w:val="nil"/>
              <w:bottom w:val="single" w:color="000000" w:sz="8" w:space="0"/>
              <w:right w:val="single" w:color="000000" w:sz="8" w:space="0"/>
            </w:tcBorders>
            <w:shd w:val="clear" w:color="auto" w:fill="auto"/>
            <w:vAlign w:val="center"/>
          </w:tcPr>
          <w:p w14:paraId="0FBC933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5844DF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注射（Sr-89注射室）</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1F4445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672F7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7B3552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6A18E6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10mmPb防护窗+0.5mm铅当量铅衣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155E6E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8.38E-09</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6C15A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1.84E-09</w:t>
            </w:r>
          </w:p>
        </w:tc>
        <w:tc>
          <w:tcPr>
            <w:tcW w:w="1125" w:type="dxa"/>
            <w:tcBorders>
              <w:top w:val="nil"/>
              <w:left w:val="nil"/>
              <w:bottom w:val="single" w:color="000000" w:sz="8" w:space="0"/>
              <w:right w:val="nil"/>
            </w:tcBorders>
            <w:shd w:val="clear" w:color="auto" w:fill="auto"/>
            <w:vAlign w:val="center"/>
          </w:tcPr>
          <w:p w14:paraId="32EEB4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41AFA4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5B5D696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1.91E-11</w:t>
            </w:r>
          </w:p>
        </w:tc>
      </w:tr>
      <w:tr w14:paraId="18A8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687" w:type="dxa"/>
            <w:vMerge w:val="restart"/>
            <w:tcBorders>
              <w:top w:val="nil"/>
              <w:left w:val="nil"/>
              <w:right w:val="single" w:color="000000" w:sz="8" w:space="0"/>
            </w:tcBorders>
            <w:shd w:val="clear" w:color="auto" w:fill="auto"/>
            <w:vAlign w:val="center"/>
          </w:tcPr>
          <w:p w14:paraId="3CF432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32</w:t>
            </w:r>
            <w:r>
              <w:rPr>
                <w:rFonts w:hint="default" w:ascii="Times New Roman" w:hAnsi="Times New Roman" w:eastAsia="宋体" w:cs="Times New Roman"/>
                <w:i w:val="0"/>
                <w:iCs w:val="0"/>
                <w:color w:val="000000"/>
                <w:kern w:val="0"/>
                <w:sz w:val="21"/>
                <w:szCs w:val="21"/>
                <w:u w:val="none"/>
                <w:lang w:val="en-US" w:eastAsia="zh-CN" w:bidi="ar"/>
              </w:rPr>
              <w:t>P</w:t>
            </w: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6BA2D1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制作敷贴器（分装室1#）</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683BBD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3E1D5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764834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0867CC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0.5mm铅当量铅衣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52A355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9.11E-01</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1EE25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4.56E-02</w:t>
            </w:r>
          </w:p>
        </w:tc>
        <w:tc>
          <w:tcPr>
            <w:tcW w:w="1125" w:type="dxa"/>
            <w:tcBorders>
              <w:top w:val="nil"/>
              <w:left w:val="nil"/>
              <w:bottom w:val="single" w:color="000000" w:sz="8" w:space="0"/>
              <w:right w:val="nil"/>
            </w:tcBorders>
            <w:shd w:val="clear" w:color="auto" w:fill="auto"/>
            <w:vAlign w:val="center"/>
          </w:tcPr>
          <w:p w14:paraId="512E18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3ED399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02CC7C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5.70</w:t>
            </w:r>
            <w:r>
              <w:rPr>
                <w:rFonts w:hint="default" w:ascii="Times New Roman" w:hAnsi="Times New Roman" w:eastAsia="宋体" w:cs="Times New Roman"/>
                <w:i w:val="0"/>
                <w:iCs w:val="0"/>
                <w:color w:val="000000"/>
                <w:kern w:val="0"/>
                <w:sz w:val="21"/>
                <w:szCs w:val="21"/>
                <w:u w:val="none"/>
                <w:lang w:val="en-US" w:eastAsia="zh-CN" w:bidi="ar"/>
              </w:rPr>
              <w:t>E-03</w:t>
            </w:r>
          </w:p>
        </w:tc>
      </w:tr>
      <w:tr w14:paraId="326B7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687" w:type="dxa"/>
            <w:vMerge w:val="continue"/>
            <w:tcBorders>
              <w:left w:val="nil"/>
              <w:bottom w:val="single" w:color="000000" w:sz="8" w:space="0"/>
              <w:right w:val="single" w:color="000000" w:sz="8" w:space="0"/>
            </w:tcBorders>
            <w:shd w:val="clear" w:color="auto" w:fill="auto"/>
            <w:vAlign w:val="center"/>
          </w:tcPr>
          <w:p w14:paraId="55D0F7E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000000"/>
                <w:sz w:val="21"/>
                <w:szCs w:val="21"/>
                <w:u w:val="none"/>
              </w:rPr>
            </w:pPr>
          </w:p>
        </w:tc>
        <w:tc>
          <w:tcPr>
            <w:tcW w:w="2113" w:type="dxa"/>
            <w:tcBorders>
              <w:top w:val="nil"/>
              <w:left w:val="single" w:color="000000" w:sz="8" w:space="0"/>
              <w:bottom w:val="single" w:color="000000" w:sz="8" w:space="0"/>
              <w:right w:val="single" w:color="000000" w:sz="8" w:space="0"/>
            </w:tcBorders>
            <w:shd w:val="clear" w:color="auto" w:fill="auto"/>
            <w:vAlign w:val="center"/>
          </w:tcPr>
          <w:p w14:paraId="7E47F2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敷贴治疗（敷贴室1#、2#）</w:t>
            </w:r>
          </w:p>
        </w:tc>
        <w:tc>
          <w:tcPr>
            <w:tcW w:w="1100" w:type="dxa"/>
            <w:tcBorders>
              <w:top w:val="nil"/>
              <w:left w:val="single" w:color="000000" w:sz="8" w:space="0"/>
              <w:bottom w:val="single" w:color="000000" w:sz="8" w:space="0"/>
              <w:right w:val="single" w:color="000000" w:sz="8" w:space="0"/>
            </w:tcBorders>
            <w:shd w:val="clear" w:color="auto" w:fill="auto"/>
            <w:vAlign w:val="center"/>
          </w:tcPr>
          <w:p w14:paraId="180D64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A73DA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925" w:type="dxa"/>
            <w:tcBorders>
              <w:top w:val="nil"/>
              <w:left w:val="single" w:color="000000" w:sz="8" w:space="0"/>
              <w:bottom w:val="single" w:color="000000" w:sz="8" w:space="0"/>
              <w:right w:val="single" w:color="000000" w:sz="8" w:space="0"/>
            </w:tcBorders>
            <w:shd w:val="clear" w:color="auto" w:fill="auto"/>
            <w:vAlign w:val="center"/>
          </w:tcPr>
          <w:p w14:paraId="607D18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2250" w:type="dxa"/>
            <w:tcBorders>
              <w:top w:val="nil"/>
              <w:left w:val="single" w:color="000000" w:sz="8" w:space="0"/>
              <w:bottom w:val="single" w:color="000000" w:sz="8" w:space="0"/>
              <w:right w:val="single" w:color="000000" w:sz="8" w:space="0"/>
            </w:tcBorders>
            <w:shd w:val="clear" w:color="auto" w:fill="auto"/>
            <w:vAlign w:val="center"/>
          </w:tcPr>
          <w:p w14:paraId="3933D4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lang w:val="en-US"/>
              </w:rPr>
            </w:pPr>
            <w:r>
              <w:rPr>
                <w:rFonts w:hint="eastAsia" w:ascii="Times New Roman" w:hAnsi="Times New Roman" w:eastAsia="宋体" w:cs="Times New Roman"/>
                <w:i w:val="0"/>
                <w:iCs w:val="0"/>
                <w:color w:val="000000"/>
                <w:kern w:val="0"/>
                <w:sz w:val="21"/>
                <w:szCs w:val="21"/>
                <w:u w:val="none"/>
                <w:lang w:val="en-US" w:eastAsia="zh-CN" w:bidi="ar"/>
              </w:rPr>
              <w:t>2mmPb铅屏风+0.5mm</w:t>
            </w:r>
            <w:r>
              <w:rPr>
                <w:rFonts w:hint="default" w:ascii="Times New Roman" w:hAnsi="Times New Roman" w:eastAsia="宋体" w:cs="Times New Roman"/>
                <w:i w:val="0"/>
                <w:iCs w:val="0"/>
                <w:color w:val="000000"/>
                <w:kern w:val="0"/>
                <w:sz w:val="21"/>
                <w:szCs w:val="21"/>
                <w:u w:val="none"/>
                <w:lang w:val="en-US" w:eastAsia="zh-CN" w:bidi="ar"/>
              </w:rPr>
              <w:t>铅当量铅衣</w:t>
            </w:r>
          </w:p>
        </w:tc>
        <w:tc>
          <w:tcPr>
            <w:tcW w:w="1025" w:type="dxa"/>
            <w:tcBorders>
              <w:top w:val="nil"/>
              <w:left w:val="single" w:color="000000" w:sz="8" w:space="0"/>
              <w:bottom w:val="single" w:color="000000" w:sz="8" w:space="0"/>
              <w:right w:val="single" w:color="000000" w:sz="8" w:space="0"/>
            </w:tcBorders>
            <w:shd w:val="clear" w:color="auto" w:fill="auto"/>
            <w:vAlign w:val="center"/>
          </w:tcPr>
          <w:p w14:paraId="3D8E8D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top"/>
              <w:rPr>
                <w:rFonts w:hint="default" w:ascii="Times New Roman" w:hAnsi="Times New Roman" w:eastAsia="宋体" w:cs="Times New Roman"/>
                <w:i w:val="0"/>
                <w:iCs w:val="0"/>
                <w:color w:val="000000"/>
                <w:sz w:val="21"/>
                <w:szCs w:val="21"/>
                <w:u w:val="none"/>
              </w:rPr>
            </w:pPr>
            <w:r>
              <w:rPr>
                <w:rFonts w:hint="eastAsia" w:cs="Times New Roman"/>
                <w:i w:val="0"/>
                <w:iCs w:val="0"/>
                <w:color w:val="000000"/>
                <w:sz w:val="21"/>
                <w:szCs w:val="21"/>
                <w:u w:val="none"/>
                <w:lang w:val="en-US" w:eastAsia="zh-CN"/>
              </w:rPr>
              <w:t>6.29</w:t>
            </w:r>
            <w:r>
              <w:rPr>
                <w:rFonts w:hint="eastAsia" w:ascii="Times New Roman" w:hAnsi="Times New Roman" w:eastAsia="宋体" w:cs="Times New Roman"/>
                <w:i w:val="0"/>
                <w:iCs w:val="0"/>
                <w:color w:val="000000"/>
                <w:sz w:val="21"/>
                <w:szCs w:val="21"/>
                <w:u w:val="none"/>
                <w:lang w:val="en-US" w:eastAsia="zh-CN"/>
              </w:rPr>
              <w:t>E-01</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702D6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1.97E-03</w:t>
            </w:r>
          </w:p>
        </w:tc>
        <w:tc>
          <w:tcPr>
            <w:tcW w:w="1125" w:type="dxa"/>
            <w:tcBorders>
              <w:top w:val="nil"/>
              <w:left w:val="nil"/>
              <w:bottom w:val="single" w:color="000000" w:sz="8" w:space="0"/>
              <w:right w:val="nil"/>
            </w:tcBorders>
            <w:shd w:val="clear" w:color="auto" w:fill="auto"/>
            <w:vAlign w:val="center"/>
          </w:tcPr>
          <w:p w14:paraId="325883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637" w:type="dxa"/>
            <w:tcBorders>
              <w:top w:val="nil"/>
              <w:left w:val="single" w:color="000000" w:sz="8" w:space="0"/>
              <w:bottom w:val="single" w:color="000000" w:sz="8" w:space="0"/>
              <w:right w:val="single" w:color="000000" w:sz="8" w:space="0"/>
            </w:tcBorders>
            <w:shd w:val="clear" w:color="auto" w:fill="auto"/>
            <w:vAlign w:val="center"/>
          </w:tcPr>
          <w:p w14:paraId="56C852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72" w:type="dxa"/>
            <w:tcBorders>
              <w:top w:val="nil"/>
              <w:left w:val="single" w:color="000000" w:sz="8" w:space="0"/>
              <w:bottom w:val="single" w:color="000000" w:sz="8" w:space="0"/>
              <w:right w:val="nil"/>
            </w:tcBorders>
            <w:shd w:val="clear" w:color="auto" w:fill="auto"/>
            <w:vAlign w:val="center"/>
          </w:tcPr>
          <w:p w14:paraId="3A4609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9.83</w:t>
            </w:r>
            <w:r>
              <w:rPr>
                <w:rFonts w:hint="default" w:ascii="Times New Roman" w:hAnsi="Times New Roman" w:eastAsia="宋体" w:cs="Times New Roman"/>
                <w:i w:val="0"/>
                <w:iCs w:val="0"/>
                <w:color w:val="000000"/>
                <w:kern w:val="0"/>
                <w:sz w:val="21"/>
                <w:szCs w:val="21"/>
                <w:u w:val="none"/>
                <w:lang w:val="en-US" w:eastAsia="zh-CN" w:bidi="ar"/>
              </w:rPr>
              <w:t>E-0</w:t>
            </w:r>
            <w:r>
              <w:rPr>
                <w:rFonts w:hint="eastAsia" w:ascii="Times New Roman" w:hAnsi="Times New Roman" w:eastAsia="宋体" w:cs="Times New Roman"/>
                <w:i w:val="0"/>
                <w:iCs w:val="0"/>
                <w:color w:val="000000"/>
                <w:kern w:val="0"/>
                <w:sz w:val="21"/>
                <w:szCs w:val="21"/>
                <w:u w:val="none"/>
                <w:lang w:val="en-US" w:eastAsia="zh-CN" w:bidi="ar"/>
              </w:rPr>
              <w:t>3</w:t>
            </w:r>
          </w:p>
        </w:tc>
      </w:tr>
    </w:tbl>
    <w:p w14:paraId="66FCBA15">
      <w:pPr>
        <w:spacing w:line="240" w:lineRule="auto"/>
        <w:rPr>
          <w:rFonts w:eastAsia="黑体"/>
          <w:sz w:val="21"/>
          <w:szCs w:val="21"/>
        </w:rPr>
      </w:pPr>
      <w:r>
        <w:rPr>
          <w:rFonts w:eastAsia="黑体"/>
          <w:sz w:val="21"/>
          <w:szCs w:val="21"/>
          <w:lang w:bidi="ar"/>
        </w:rPr>
        <w:t>注：①</w:t>
      </w:r>
      <w:r>
        <w:rPr>
          <w:rFonts w:hint="eastAsia" w:eastAsia="黑体"/>
          <w:sz w:val="21"/>
          <w:szCs w:val="21"/>
          <w:highlight w:val="none"/>
          <w:lang w:val="en-US" w:eastAsia="zh-CN"/>
        </w:rPr>
        <w:t>分析时考虑核医学科内不涉及公众</w:t>
      </w:r>
      <w:r>
        <w:rPr>
          <w:rFonts w:eastAsia="黑体"/>
          <w:sz w:val="21"/>
          <w:szCs w:val="21"/>
          <w:highlight w:val="none"/>
          <w:lang w:bidi="ar"/>
        </w:rPr>
        <w:t>。</w:t>
      </w:r>
      <w:r>
        <w:rPr>
          <w:rFonts w:eastAsia="黑体"/>
          <w:sz w:val="21"/>
          <w:szCs w:val="21"/>
          <w:lang w:bidi="ar"/>
        </w:rPr>
        <w:t>②</w:t>
      </w:r>
      <w:r>
        <w:rPr>
          <w:rFonts w:hint="eastAsia" w:eastAsia="黑体"/>
          <w:sz w:val="21"/>
          <w:szCs w:val="21"/>
          <w:lang w:val="en-US" w:eastAsia="zh-CN" w:bidi="ar"/>
        </w:rPr>
        <w:t>分装室1#以使用频率更高的</w:t>
      </w:r>
      <w:r>
        <w:rPr>
          <w:rFonts w:hint="eastAsia" w:eastAsia="黑体"/>
          <w:sz w:val="21"/>
          <w:szCs w:val="21"/>
          <w:vertAlign w:val="superscript"/>
          <w:lang w:val="en-US" w:eastAsia="zh-CN" w:bidi="ar"/>
        </w:rPr>
        <w:t>18</w:t>
      </w:r>
      <w:r>
        <w:rPr>
          <w:rFonts w:hint="eastAsia" w:eastAsia="黑体"/>
          <w:sz w:val="21"/>
          <w:szCs w:val="21"/>
          <w:lang w:val="en-US" w:eastAsia="zh-CN" w:bidi="ar"/>
        </w:rPr>
        <w:t>F进行计算，同时考虑两种核素的操作时间。</w:t>
      </w:r>
      <w:r>
        <w:rPr>
          <w:rFonts w:hint="default" w:eastAsia="黑体"/>
          <w:sz w:val="21"/>
          <w:szCs w:val="21"/>
          <w:lang w:bidi="ar"/>
        </w:rPr>
        <w:t>③</w:t>
      </w:r>
      <w:r>
        <w:rPr>
          <w:rFonts w:hint="eastAsia" w:eastAsia="黑体"/>
          <w:sz w:val="21"/>
          <w:szCs w:val="21"/>
          <w:lang w:val="en-US" w:eastAsia="zh-CN" w:bidi="ar"/>
        </w:rPr>
        <w:t>负</w:t>
      </w:r>
      <w:r>
        <w:rPr>
          <w:rFonts w:eastAsia="黑体"/>
          <w:sz w:val="21"/>
          <w:szCs w:val="21"/>
          <w:lang w:bidi="ar"/>
        </w:rPr>
        <w:t>一层辐射工作区域对应楼</w:t>
      </w:r>
      <w:r>
        <w:rPr>
          <w:rFonts w:hint="eastAsia" w:eastAsia="黑体"/>
          <w:sz w:val="21"/>
          <w:szCs w:val="21"/>
          <w:lang w:val="en-US" w:eastAsia="zh-CN" w:bidi="ar"/>
        </w:rPr>
        <w:t>上</w:t>
      </w:r>
      <w:r>
        <w:rPr>
          <w:rFonts w:eastAsia="黑体"/>
          <w:sz w:val="21"/>
          <w:szCs w:val="21"/>
          <w:lang w:bidi="ar"/>
        </w:rPr>
        <w:t>位置为一层</w:t>
      </w:r>
      <w:r>
        <w:rPr>
          <w:rFonts w:hint="eastAsia" w:eastAsia="黑体"/>
          <w:sz w:val="21"/>
          <w:szCs w:val="21"/>
          <w:lang w:val="en-US" w:eastAsia="zh-CN" w:bidi="ar"/>
        </w:rPr>
        <w:t>放射科诊疗</w:t>
      </w:r>
      <w:r>
        <w:rPr>
          <w:rFonts w:eastAsia="黑体"/>
          <w:sz w:val="21"/>
          <w:szCs w:val="21"/>
          <w:lang w:bidi="ar"/>
        </w:rPr>
        <w:t>区域</w:t>
      </w:r>
      <w:r>
        <w:rPr>
          <w:rFonts w:hint="eastAsia" w:eastAsia="黑体"/>
          <w:sz w:val="21"/>
          <w:szCs w:val="21"/>
          <w:lang w:eastAsia="zh-CN" w:bidi="ar"/>
        </w:rPr>
        <w:t>，</w:t>
      </w:r>
      <w:r>
        <w:rPr>
          <w:rFonts w:hint="eastAsia" w:eastAsia="黑体"/>
          <w:sz w:val="21"/>
          <w:szCs w:val="21"/>
          <w:lang w:val="en-US" w:eastAsia="zh-CN" w:bidi="ar"/>
        </w:rPr>
        <w:t>楼下位置为负二层地下车库</w:t>
      </w:r>
      <w:r>
        <w:rPr>
          <w:rFonts w:eastAsia="黑体"/>
          <w:sz w:val="21"/>
          <w:szCs w:val="21"/>
          <w:lang w:bidi="ar"/>
        </w:rPr>
        <w:t>，</w:t>
      </w:r>
      <w:r>
        <w:rPr>
          <w:rFonts w:hint="eastAsia" w:eastAsia="黑体"/>
          <w:sz w:val="21"/>
          <w:szCs w:val="21"/>
          <w:lang w:val="en-US" w:eastAsia="zh-CN" w:bidi="ar"/>
        </w:rPr>
        <w:t>均不涉及本项目</w:t>
      </w:r>
      <w:r>
        <w:rPr>
          <w:rFonts w:eastAsia="黑体"/>
          <w:sz w:val="21"/>
          <w:szCs w:val="21"/>
          <w:lang w:bidi="ar"/>
        </w:rPr>
        <w:t>职业人员，</w:t>
      </w:r>
      <w:r>
        <w:rPr>
          <w:rFonts w:hint="eastAsia" w:eastAsia="黑体"/>
          <w:sz w:val="21"/>
          <w:szCs w:val="21"/>
          <w:lang w:val="en-US" w:eastAsia="zh-CN" w:bidi="ar"/>
        </w:rPr>
        <w:t>该处人员按照公众剂量限值进行控制</w:t>
      </w:r>
      <w:r>
        <w:rPr>
          <w:rFonts w:eastAsia="黑体"/>
          <w:sz w:val="21"/>
          <w:szCs w:val="21"/>
          <w:lang w:bidi="ar"/>
        </w:rPr>
        <w:t>。</w:t>
      </w:r>
    </w:p>
    <w:p w14:paraId="087B99A4">
      <w:pPr>
        <w:widowControl/>
        <w:spacing w:before="163" w:line="240" w:lineRule="auto"/>
        <w:jc w:val="center"/>
        <w:rPr>
          <w:rFonts w:eastAsia="黑体"/>
          <w:bCs/>
          <w:sz w:val="21"/>
          <w:szCs w:val="18"/>
        </w:rPr>
      </w:pPr>
      <w:r>
        <w:rPr>
          <w:rFonts w:eastAsia="黑体"/>
          <w:bCs/>
          <w:sz w:val="21"/>
          <w:szCs w:val="18"/>
        </w:rPr>
        <w:t>表11-</w:t>
      </w:r>
      <w:r>
        <w:rPr>
          <w:rFonts w:hint="eastAsia" w:eastAsia="黑体"/>
          <w:bCs/>
          <w:sz w:val="21"/>
          <w:szCs w:val="18"/>
          <w:lang w:val="en-US" w:eastAsia="zh-CN"/>
        </w:rPr>
        <w:t>8</w:t>
      </w:r>
      <w:r>
        <w:rPr>
          <w:rFonts w:eastAsia="黑体"/>
          <w:bCs/>
          <w:sz w:val="21"/>
          <w:szCs w:val="18"/>
        </w:rPr>
        <w:t xml:space="preserve">  负一层</w:t>
      </w:r>
      <w:r>
        <w:rPr>
          <w:rFonts w:hint="eastAsia" w:eastAsia="黑体"/>
          <w:bCs/>
          <w:sz w:val="21"/>
          <w:szCs w:val="18"/>
          <w:lang w:val="en-US" w:eastAsia="zh-CN"/>
        </w:rPr>
        <w:t>核医学科</w:t>
      </w:r>
      <w:r>
        <w:rPr>
          <w:rFonts w:eastAsia="黑体"/>
          <w:bCs/>
          <w:sz w:val="21"/>
          <w:szCs w:val="18"/>
        </w:rPr>
        <w:t>核素操作过程γ射线的影响计算（公众）</w:t>
      </w:r>
    </w:p>
    <w:tbl>
      <w:tblPr>
        <w:tblStyle w:val="57"/>
        <w:tblW w:w="14875"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80"/>
        <w:gridCol w:w="1590"/>
        <w:gridCol w:w="1245"/>
        <w:gridCol w:w="1110"/>
        <w:gridCol w:w="1080"/>
        <w:gridCol w:w="1710"/>
        <w:gridCol w:w="1785"/>
        <w:gridCol w:w="1170"/>
        <w:gridCol w:w="1335"/>
        <w:gridCol w:w="930"/>
        <w:gridCol w:w="825"/>
        <w:gridCol w:w="1215"/>
      </w:tblGrid>
      <w:tr w14:paraId="123B89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880" w:type="dxa"/>
            <w:shd w:val="clear" w:color="auto" w:fill="auto"/>
            <w:vAlign w:val="center"/>
          </w:tcPr>
          <w:p w14:paraId="783F28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核素</w:t>
            </w:r>
          </w:p>
        </w:tc>
        <w:tc>
          <w:tcPr>
            <w:tcW w:w="1590" w:type="dxa"/>
            <w:shd w:val="clear" w:color="auto" w:fill="auto"/>
            <w:vAlign w:val="center"/>
          </w:tcPr>
          <w:p w14:paraId="1D8573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关注点位置</w:t>
            </w:r>
          </w:p>
        </w:tc>
        <w:tc>
          <w:tcPr>
            <w:tcW w:w="1245" w:type="dxa"/>
            <w:shd w:val="clear" w:color="auto" w:fill="auto"/>
            <w:vAlign w:val="center"/>
          </w:tcPr>
          <w:p w14:paraId="5F891C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最近的辐射区域</w:t>
            </w:r>
          </w:p>
        </w:tc>
        <w:tc>
          <w:tcPr>
            <w:tcW w:w="1110" w:type="dxa"/>
            <w:shd w:val="clear" w:color="auto" w:fill="auto"/>
            <w:vAlign w:val="center"/>
          </w:tcPr>
          <w:p w14:paraId="2E92EA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辐射源强（MBq）</w:t>
            </w:r>
          </w:p>
        </w:tc>
        <w:tc>
          <w:tcPr>
            <w:tcW w:w="1080" w:type="dxa"/>
            <w:shd w:val="clear" w:color="auto" w:fill="auto"/>
            <w:vAlign w:val="center"/>
          </w:tcPr>
          <w:p w14:paraId="14C401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预测点距源强距离（m）</w:t>
            </w:r>
          </w:p>
        </w:tc>
        <w:tc>
          <w:tcPr>
            <w:tcW w:w="1710" w:type="dxa"/>
            <w:shd w:val="clear" w:color="auto" w:fill="auto"/>
            <w:vAlign w:val="center"/>
          </w:tcPr>
          <w:p w14:paraId="7C513E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周围剂量当量率常数(μSv·m</w:t>
            </w:r>
            <w:r>
              <w:rPr>
                <w:rFonts w:hint="default" w:ascii="Times New Roman" w:hAnsi="Times New Roman" w:eastAsia="宋体" w:cs="Times New Roman"/>
                <w:i w:val="0"/>
                <w:iCs w:val="0"/>
                <w:color w:val="000000"/>
                <w:kern w:val="0"/>
                <w:sz w:val="21"/>
                <w:szCs w:val="21"/>
                <w:u w:val="none"/>
                <w:vertAlign w:val="superscript"/>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/MBq·h)</w:t>
            </w:r>
          </w:p>
        </w:tc>
        <w:tc>
          <w:tcPr>
            <w:tcW w:w="1785" w:type="dxa"/>
            <w:shd w:val="clear" w:color="auto" w:fill="auto"/>
            <w:vAlign w:val="center"/>
          </w:tcPr>
          <w:p w14:paraId="07BD6C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屏蔽材料及厚度</w:t>
            </w:r>
          </w:p>
        </w:tc>
        <w:tc>
          <w:tcPr>
            <w:tcW w:w="1170" w:type="dxa"/>
            <w:shd w:val="clear" w:color="auto" w:fill="auto"/>
            <w:vAlign w:val="center"/>
          </w:tcPr>
          <w:p w14:paraId="7D351D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衰减系数η</w:t>
            </w:r>
          </w:p>
        </w:tc>
        <w:tc>
          <w:tcPr>
            <w:tcW w:w="1335" w:type="dxa"/>
            <w:shd w:val="clear" w:color="auto" w:fill="auto"/>
            <w:vAlign w:val="center"/>
          </w:tcPr>
          <w:p w14:paraId="4CDA63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关注点剂量率（(μSv/h)）</w:t>
            </w:r>
          </w:p>
        </w:tc>
        <w:tc>
          <w:tcPr>
            <w:tcW w:w="930" w:type="dxa"/>
            <w:shd w:val="clear" w:color="auto" w:fill="auto"/>
            <w:vAlign w:val="center"/>
          </w:tcPr>
          <w:p w14:paraId="7A0928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受照时间（h/a）</w:t>
            </w:r>
          </w:p>
        </w:tc>
        <w:tc>
          <w:tcPr>
            <w:tcW w:w="825" w:type="dxa"/>
            <w:shd w:val="clear" w:color="auto" w:fill="auto"/>
            <w:vAlign w:val="center"/>
          </w:tcPr>
          <w:p w14:paraId="7B2419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居留</w:t>
            </w:r>
          </w:p>
          <w:p w14:paraId="1A086A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因子</w:t>
            </w:r>
          </w:p>
        </w:tc>
        <w:tc>
          <w:tcPr>
            <w:tcW w:w="1215" w:type="dxa"/>
            <w:shd w:val="clear" w:color="auto" w:fill="auto"/>
            <w:vAlign w:val="center"/>
          </w:tcPr>
          <w:p w14:paraId="755F4B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年有效剂量（mSv/a）</w:t>
            </w:r>
          </w:p>
        </w:tc>
      </w:tr>
      <w:tr w14:paraId="6F8520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081A69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p>
        </w:tc>
        <w:tc>
          <w:tcPr>
            <w:tcW w:w="1590" w:type="dxa"/>
            <w:shd w:val="clear" w:color="auto" w:fill="auto"/>
            <w:vAlign w:val="center"/>
          </w:tcPr>
          <w:p w14:paraId="53A36E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东侧通道</w:t>
            </w:r>
          </w:p>
        </w:tc>
        <w:tc>
          <w:tcPr>
            <w:tcW w:w="1245" w:type="dxa"/>
            <w:shd w:val="clear" w:color="auto" w:fill="auto"/>
            <w:vAlign w:val="center"/>
          </w:tcPr>
          <w:p w14:paraId="7F4884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分装室1#</w:t>
            </w:r>
          </w:p>
        </w:tc>
        <w:tc>
          <w:tcPr>
            <w:tcW w:w="1110" w:type="dxa"/>
            <w:shd w:val="clear" w:color="auto" w:fill="auto"/>
            <w:vAlign w:val="center"/>
          </w:tcPr>
          <w:p w14:paraId="4F71CA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80" w:type="dxa"/>
            <w:shd w:val="clear" w:color="auto" w:fill="auto"/>
            <w:vAlign w:val="center"/>
          </w:tcPr>
          <w:p w14:paraId="014A1A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710" w:type="dxa"/>
            <w:shd w:val="clear" w:color="auto" w:fill="auto"/>
            <w:vAlign w:val="center"/>
          </w:tcPr>
          <w:p w14:paraId="0C0DF3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785" w:type="dxa"/>
            <w:shd w:val="clear" w:color="auto" w:fill="auto"/>
            <w:vAlign w:val="center"/>
          </w:tcPr>
          <w:p w14:paraId="72213B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370mm实心砖+10mmPb注射器防护套</w:t>
            </w:r>
          </w:p>
        </w:tc>
        <w:tc>
          <w:tcPr>
            <w:tcW w:w="1170" w:type="dxa"/>
            <w:shd w:val="clear" w:color="auto" w:fill="auto"/>
            <w:vAlign w:val="center"/>
          </w:tcPr>
          <w:p w14:paraId="32E0CA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9.79E-03</w:t>
            </w:r>
          </w:p>
        </w:tc>
        <w:tc>
          <w:tcPr>
            <w:tcW w:w="1335" w:type="dxa"/>
            <w:shd w:val="clear" w:color="auto" w:fill="auto"/>
            <w:vAlign w:val="center"/>
          </w:tcPr>
          <w:p w14:paraId="20998F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2.30E-01</w:t>
            </w:r>
          </w:p>
        </w:tc>
        <w:tc>
          <w:tcPr>
            <w:tcW w:w="930" w:type="dxa"/>
            <w:shd w:val="clear" w:color="auto" w:fill="auto"/>
            <w:vAlign w:val="center"/>
          </w:tcPr>
          <w:p w14:paraId="79C146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825" w:type="dxa"/>
            <w:shd w:val="clear" w:color="auto" w:fill="auto"/>
            <w:vAlign w:val="center"/>
          </w:tcPr>
          <w:p w14:paraId="2BBF0A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1215" w:type="dxa"/>
            <w:shd w:val="clear" w:color="auto" w:fill="auto"/>
            <w:vAlign w:val="center"/>
          </w:tcPr>
          <w:p w14:paraId="6559B1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1.02E-03</w:t>
            </w:r>
          </w:p>
        </w:tc>
      </w:tr>
      <w:tr w14:paraId="1F34AF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1A19E3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16D060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东侧通道</w:t>
            </w:r>
          </w:p>
        </w:tc>
        <w:tc>
          <w:tcPr>
            <w:tcW w:w="1245" w:type="dxa"/>
            <w:shd w:val="clear" w:color="auto" w:fill="auto"/>
            <w:vAlign w:val="center"/>
          </w:tcPr>
          <w:p w14:paraId="7506B7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分装室1#</w:t>
            </w:r>
          </w:p>
        </w:tc>
        <w:tc>
          <w:tcPr>
            <w:tcW w:w="1110" w:type="dxa"/>
            <w:shd w:val="clear" w:color="auto" w:fill="auto"/>
            <w:vAlign w:val="center"/>
          </w:tcPr>
          <w:p w14:paraId="20214B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80" w:type="dxa"/>
            <w:shd w:val="clear" w:color="auto" w:fill="auto"/>
            <w:vAlign w:val="center"/>
          </w:tcPr>
          <w:p w14:paraId="0B7D6E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710" w:type="dxa"/>
            <w:shd w:val="clear" w:color="auto" w:fill="auto"/>
            <w:vAlign w:val="center"/>
          </w:tcPr>
          <w:p w14:paraId="2763BA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1785" w:type="dxa"/>
            <w:shd w:val="clear" w:color="auto" w:fill="auto"/>
            <w:vAlign w:val="center"/>
          </w:tcPr>
          <w:p w14:paraId="01A821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370mm实心砖+5mmPb注射器防护套</w:t>
            </w:r>
          </w:p>
        </w:tc>
        <w:tc>
          <w:tcPr>
            <w:tcW w:w="1170" w:type="dxa"/>
            <w:shd w:val="clear" w:color="auto" w:fill="auto"/>
            <w:vAlign w:val="center"/>
          </w:tcPr>
          <w:p w14:paraId="4DBE52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4.87E-08</w:t>
            </w:r>
          </w:p>
        </w:tc>
        <w:tc>
          <w:tcPr>
            <w:tcW w:w="1335" w:type="dxa"/>
            <w:shd w:val="clear" w:color="auto" w:fill="auto"/>
            <w:vAlign w:val="center"/>
          </w:tcPr>
          <w:p w14:paraId="0381AC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4.85E-07</w:t>
            </w:r>
          </w:p>
        </w:tc>
        <w:tc>
          <w:tcPr>
            <w:tcW w:w="930" w:type="dxa"/>
            <w:shd w:val="clear" w:color="auto" w:fill="auto"/>
            <w:vAlign w:val="center"/>
          </w:tcPr>
          <w:p w14:paraId="31D60C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825" w:type="dxa"/>
            <w:shd w:val="clear" w:color="auto" w:fill="auto"/>
            <w:vAlign w:val="center"/>
          </w:tcPr>
          <w:p w14:paraId="1F5BE0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1215" w:type="dxa"/>
            <w:shd w:val="clear" w:color="auto" w:fill="auto"/>
            <w:vAlign w:val="center"/>
          </w:tcPr>
          <w:p w14:paraId="2EB5EC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2.15E-09</w:t>
            </w:r>
          </w:p>
        </w:tc>
      </w:tr>
      <w:tr w14:paraId="6AB30D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241B53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0706B0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北侧地下车库</w:t>
            </w:r>
          </w:p>
        </w:tc>
        <w:tc>
          <w:tcPr>
            <w:tcW w:w="1245" w:type="dxa"/>
            <w:shd w:val="clear" w:color="auto" w:fill="auto"/>
            <w:vAlign w:val="center"/>
          </w:tcPr>
          <w:p w14:paraId="49DD43D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PET注射后候诊室</w:t>
            </w:r>
          </w:p>
        </w:tc>
        <w:tc>
          <w:tcPr>
            <w:tcW w:w="1110" w:type="dxa"/>
            <w:shd w:val="clear" w:color="auto" w:fill="auto"/>
            <w:vAlign w:val="center"/>
          </w:tcPr>
          <w:p w14:paraId="05EE6D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1080" w:type="dxa"/>
            <w:shd w:val="clear" w:color="auto" w:fill="auto"/>
            <w:vAlign w:val="center"/>
          </w:tcPr>
          <w:p w14:paraId="4B2E97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710" w:type="dxa"/>
            <w:shd w:val="clear" w:color="auto" w:fill="auto"/>
            <w:vAlign w:val="center"/>
          </w:tcPr>
          <w:p w14:paraId="27D915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6A5D8D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370mm混凝土</w:t>
            </w:r>
          </w:p>
        </w:tc>
        <w:tc>
          <w:tcPr>
            <w:tcW w:w="1170" w:type="dxa"/>
            <w:shd w:val="clear" w:color="auto" w:fill="auto"/>
            <w:vAlign w:val="center"/>
          </w:tcPr>
          <w:p w14:paraId="74E8BB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7.90E-03</w:t>
            </w:r>
          </w:p>
        </w:tc>
        <w:tc>
          <w:tcPr>
            <w:tcW w:w="1335" w:type="dxa"/>
            <w:shd w:val="clear" w:color="auto" w:fill="auto"/>
            <w:vAlign w:val="center"/>
          </w:tcPr>
          <w:p w14:paraId="58179E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1.29E-01</w:t>
            </w:r>
          </w:p>
        </w:tc>
        <w:tc>
          <w:tcPr>
            <w:tcW w:w="930" w:type="dxa"/>
            <w:shd w:val="clear" w:color="auto" w:fill="auto"/>
            <w:vAlign w:val="center"/>
          </w:tcPr>
          <w:p w14:paraId="66782B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1416.7</w:t>
            </w:r>
          </w:p>
        </w:tc>
        <w:tc>
          <w:tcPr>
            <w:tcW w:w="825" w:type="dxa"/>
            <w:shd w:val="clear" w:color="auto" w:fill="auto"/>
            <w:vAlign w:val="center"/>
          </w:tcPr>
          <w:p w14:paraId="0B9AF1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11E686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4.57E-02</w:t>
            </w:r>
          </w:p>
        </w:tc>
      </w:tr>
      <w:tr w14:paraId="5FDC54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880" w:type="dxa"/>
            <w:shd w:val="clear" w:color="auto" w:fill="auto"/>
            <w:vAlign w:val="center"/>
          </w:tcPr>
          <w:p w14:paraId="50E157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532CC6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北侧地下车库</w:t>
            </w:r>
          </w:p>
        </w:tc>
        <w:tc>
          <w:tcPr>
            <w:tcW w:w="1245" w:type="dxa"/>
            <w:shd w:val="clear" w:color="auto" w:fill="auto"/>
            <w:vAlign w:val="center"/>
          </w:tcPr>
          <w:p w14:paraId="090B8C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PET留观室</w:t>
            </w:r>
          </w:p>
        </w:tc>
        <w:tc>
          <w:tcPr>
            <w:tcW w:w="1110" w:type="dxa"/>
            <w:shd w:val="clear" w:color="auto" w:fill="auto"/>
            <w:vAlign w:val="center"/>
          </w:tcPr>
          <w:p w14:paraId="621D90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1080" w:type="dxa"/>
            <w:shd w:val="clear" w:color="auto" w:fill="auto"/>
            <w:vAlign w:val="center"/>
          </w:tcPr>
          <w:p w14:paraId="5DFBD3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710" w:type="dxa"/>
            <w:shd w:val="clear" w:color="auto" w:fill="auto"/>
            <w:vAlign w:val="center"/>
          </w:tcPr>
          <w:p w14:paraId="3B0340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27ED110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370mm混凝土</w:t>
            </w:r>
          </w:p>
        </w:tc>
        <w:tc>
          <w:tcPr>
            <w:tcW w:w="1170" w:type="dxa"/>
            <w:shd w:val="clear" w:color="auto" w:fill="auto"/>
            <w:vAlign w:val="center"/>
          </w:tcPr>
          <w:p w14:paraId="521742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7.90E-03</w:t>
            </w:r>
          </w:p>
        </w:tc>
        <w:tc>
          <w:tcPr>
            <w:tcW w:w="1335" w:type="dxa"/>
            <w:shd w:val="clear" w:color="auto" w:fill="auto"/>
            <w:vAlign w:val="center"/>
          </w:tcPr>
          <w:p w14:paraId="620039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1.29E-01</w:t>
            </w:r>
          </w:p>
        </w:tc>
        <w:tc>
          <w:tcPr>
            <w:tcW w:w="930" w:type="dxa"/>
            <w:shd w:val="clear" w:color="auto" w:fill="auto"/>
            <w:vAlign w:val="center"/>
          </w:tcPr>
          <w:p w14:paraId="0FB89C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236.1</w:t>
            </w:r>
          </w:p>
        </w:tc>
        <w:tc>
          <w:tcPr>
            <w:tcW w:w="825" w:type="dxa"/>
            <w:shd w:val="clear" w:color="auto" w:fill="auto"/>
            <w:vAlign w:val="center"/>
          </w:tcPr>
          <w:p w14:paraId="59D08C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3A3940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7.62E-03</w:t>
            </w:r>
          </w:p>
        </w:tc>
      </w:tr>
      <w:tr w14:paraId="694B9F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010EFE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4EB4A4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北侧地下车库</w:t>
            </w:r>
          </w:p>
        </w:tc>
        <w:tc>
          <w:tcPr>
            <w:tcW w:w="1245" w:type="dxa"/>
            <w:shd w:val="clear" w:color="auto" w:fill="auto"/>
            <w:vAlign w:val="center"/>
          </w:tcPr>
          <w:p w14:paraId="5A038A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ECT注射后候诊室</w:t>
            </w:r>
          </w:p>
        </w:tc>
        <w:tc>
          <w:tcPr>
            <w:tcW w:w="1110" w:type="dxa"/>
            <w:shd w:val="clear" w:color="auto" w:fill="auto"/>
            <w:vAlign w:val="center"/>
          </w:tcPr>
          <w:p w14:paraId="4BB37A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0B8303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710" w:type="dxa"/>
            <w:shd w:val="clear" w:color="auto" w:fill="auto"/>
            <w:vAlign w:val="center"/>
          </w:tcPr>
          <w:p w14:paraId="516877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252F75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370mm混凝土</w:t>
            </w:r>
          </w:p>
        </w:tc>
        <w:tc>
          <w:tcPr>
            <w:tcW w:w="1170" w:type="dxa"/>
            <w:shd w:val="clear" w:color="auto" w:fill="auto"/>
            <w:noWrap/>
            <w:vAlign w:val="center"/>
          </w:tcPr>
          <w:p w14:paraId="78A7CC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4.33E-04</w:t>
            </w:r>
          </w:p>
        </w:tc>
        <w:tc>
          <w:tcPr>
            <w:tcW w:w="1335" w:type="dxa"/>
            <w:shd w:val="clear" w:color="auto" w:fill="auto"/>
            <w:vAlign w:val="center"/>
          </w:tcPr>
          <w:p w14:paraId="5956A9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3.18E-03</w:t>
            </w:r>
          </w:p>
        </w:tc>
        <w:tc>
          <w:tcPr>
            <w:tcW w:w="930" w:type="dxa"/>
            <w:shd w:val="clear" w:color="auto" w:fill="auto"/>
            <w:vAlign w:val="center"/>
          </w:tcPr>
          <w:p w14:paraId="4A6A50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w:t>
            </w:r>
          </w:p>
        </w:tc>
        <w:tc>
          <w:tcPr>
            <w:tcW w:w="825" w:type="dxa"/>
            <w:shd w:val="clear" w:color="auto" w:fill="auto"/>
            <w:vAlign w:val="center"/>
          </w:tcPr>
          <w:p w14:paraId="3B2557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3C3C46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9.95E-04</w:t>
            </w:r>
          </w:p>
        </w:tc>
      </w:tr>
      <w:tr w14:paraId="1920B6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462E64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542D89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北侧地下车库</w:t>
            </w:r>
          </w:p>
        </w:tc>
        <w:tc>
          <w:tcPr>
            <w:tcW w:w="1245" w:type="dxa"/>
            <w:shd w:val="clear" w:color="auto" w:fill="auto"/>
            <w:vAlign w:val="center"/>
          </w:tcPr>
          <w:p w14:paraId="36797B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ECT留观室</w:t>
            </w:r>
          </w:p>
        </w:tc>
        <w:tc>
          <w:tcPr>
            <w:tcW w:w="1110" w:type="dxa"/>
            <w:shd w:val="clear" w:color="auto" w:fill="auto"/>
            <w:vAlign w:val="center"/>
          </w:tcPr>
          <w:p w14:paraId="1146BF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674E4E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710" w:type="dxa"/>
            <w:shd w:val="clear" w:color="auto" w:fill="auto"/>
            <w:vAlign w:val="center"/>
          </w:tcPr>
          <w:p w14:paraId="7CF4B1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20DD63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370mm混凝土</w:t>
            </w:r>
          </w:p>
        </w:tc>
        <w:tc>
          <w:tcPr>
            <w:tcW w:w="1170" w:type="dxa"/>
            <w:shd w:val="clear" w:color="auto" w:fill="auto"/>
            <w:noWrap/>
            <w:vAlign w:val="center"/>
          </w:tcPr>
          <w:p w14:paraId="4C0770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4.33E-04</w:t>
            </w:r>
          </w:p>
        </w:tc>
        <w:tc>
          <w:tcPr>
            <w:tcW w:w="1335" w:type="dxa"/>
            <w:shd w:val="clear" w:color="auto" w:fill="auto"/>
            <w:vAlign w:val="center"/>
          </w:tcPr>
          <w:p w14:paraId="66DBE4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3.18E-03</w:t>
            </w:r>
          </w:p>
        </w:tc>
        <w:tc>
          <w:tcPr>
            <w:tcW w:w="930" w:type="dxa"/>
            <w:shd w:val="clear" w:color="auto" w:fill="auto"/>
            <w:vAlign w:val="center"/>
          </w:tcPr>
          <w:p w14:paraId="4F1B43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208.4</w:t>
            </w:r>
          </w:p>
        </w:tc>
        <w:tc>
          <w:tcPr>
            <w:tcW w:w="825" w:type="dxa"/>
            <w:shd w:val="clear" w:color="auto" w:fill="auto"/>
            <w:vAlign w:val="center"/>
          </w:tcPr>
          <w:p w14:paraId="4FA085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7FE322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1.66E-04</w:t>
            </w:r>
          </w:p>
        </w:tc>
      </w:tr>
      <w:tr w14:paraId="6F3AF3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6D9193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01CC05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楼上一层DR机房、控制室</w:t>
            </w:r>
          </w:p>
        </w:tc>
        <w:tc>
          <w:tcPr>
            <w:tcW w:w="1245" w:type="dxa"/>
            <w:shd w:val="clear" w:color="auto" w:fill="auto"/>
            <w:vAlign w:val="center"/>
          </w:tcPr>
          <w:p w14:paraId="593631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分装室1#</w:t>
            </w:r>
          </w:p>
        </w:tc>
        <w:tc>
          <w:tcPr>
            <w:tcW w:w="1110" w:type="dxa"/>
            <w:shd w:val="clear" w:color="auto" w:fill="auto"/>
            <w:vAlign w:val="center"/>
          </w:tcPr>
          <w:p w14:paraId="0E034C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80" w:type="dxa"/>
            <w:shd w:val="clear" w:color="auto" w:fill="auto"/>
            <w:vAlign w:val="center"/>
          </w:tcPr>
          <w:p w14:paraId="03741A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6497A4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785" w:type="dxa"/>
            <w:shd w:val="clear" w:color="auto" w:fill="auto"/>
            <w:vAlign w:val="center"/>
          </w:tcPr>
          <w:p w14:paraId="254EEB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250mm混凝土+10mmPb注射器防护套</w:t>
            </w:r>
          </w:p>
        </w:tc>
        <w:tc>
          <w:tcPr>
            <w:tcW w:w="1170" w:type="dxa"/>
            <w:shd w:val="clear" w:color="auto" w:fill="auto"/>
            <w:vAlign w:val="center"/>
          </w:tcPr>
          <w:p w14:paraId="6D3D12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4.93E-03</w:t>
            </w:r>
          </w:p>
        </w:tc>
        <w:tc>
          <w:tcPr>
            <w:tcW w:w="1335" w:type="dxa"/>
            <w:shd w:val="clear" w:color="auto" w:fill="auto"/>
            <w:vAlign w:val="center"/>
          </w:tcPr>
          <w:p w14:paraId="7679B3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1.18E-02</w:t>
            </w:r>
          </w:p>
        </w:tc>
        <w:tc>
          <w:tcPr>
            <w:tcW w:w="930" w:type="dxa"/>
            <w:shd w:val="clear" w:color="auto" w:fill="auto"/>
            <w:vAlign w:val="center"/>
          </w:tcPr>
          <w:p w14:paraId="4F064C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825" w:type="dxa"/>
            <w:shd w:val="clear" w:color="auto" w:fill="auto"/>
            <w:vAlign w:val="center"/>
          </w:tcPr>
          <w:p w14:paraId="02D468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2EF74A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8.36E-04</w:t>
            </w:r>
          </w:p>
        </w:tc>
      </w:tr>
      <w:tr w14:paraId="7DCBFA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2FB39E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45C71B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楼上一层DR机房、控制室</w:t>
            </w:r>
          </w:p>
        </w:tc>
        <w:tc>
          <w:tcPr>
            <w:tcW w:w="1245" w:type="dxa"/>
            <w:shd w:val="clear" w:color="auto" w:fill="auto"/>
            <w:vAlign w:val="center"/>
          </w:tcPr>
          <w:p w14:paraId="4BA1E9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分装室1#</w:t>
            </w:r>
          </w:p>
        </w:tc>
        <w:tc>
          <w:tcPr>
            <w:tcW w:w="1110" w:type="dxa"/>
            <w:shd w:val="clear" w:color="auto" w:fill="auto"/>
            <w:vAlign w:val="center"/>
          </w:tcPr>
          <w:p w14:paraId="4B6DBA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80" w:type="dxa"/>
            <w:shd w:val="clear" w:color="auto" w:fill="auto"/>
            <w:vAlign w:val="center"/>
          </w:tcPr>
          <w:p w14:paraId="593F1D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247928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1785" w:type="dxa"/>
            <w:shd w:val="clear" w:color="auto" w:fill="auto"/>
            <w:vAlign w:val="center"/>
          </w:tcPr>
          <w:p w14:paraId="0493EA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250mm混凝土+5mmPb注射器防护套</w:t>
            </w:r>
          </w:p>
        </w:tc>
        <w:tc>
          <w:tcPr>
            <w:tcW w:w="1170" w:type="dxa"/>
            <w:shd w:val="clear" w:color="auto" w:fill="auto"/>
            <w:vAlign w:val="center"/>
          </w:tcPr>
          <w:p w14:paraId="369F42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5.34E-08</w:t>
            </w:r>
          </w:p>
        </w:tc>
        <w:tc>
          <w:tcPr>
            <w:tcW w:w="1335" w:type="dxa"/>
            <w:shd w:val="clear" w:color="auto" w:fill="auto"/>
            <w:vAlign w:val="center"/>
          </w:tcPr>
          <w:p w14:paraId="08E7A6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5.42E-08</w:t>
            </w:r>
          </w:p>
        </w:tc>
        <w:tc>
          <w:tcPr>
            <w:tcW w:w="930" w:type="dxa"/>
            <w:shd w:val="clear" w:color="auto" w:fill="auto"/>
            <w:vAlign w:val="center"/>
          </w:tcPr>
          <w:p w14:paraId="1C5337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825" w:type="dxa"/>
            <w:shd w:val="clear" w:color="auto" w:fill="auto"/>
            <w:vAlign w:val="center"/>
          </w:tcPr>
          <w:p w14:paraId="146A70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02CB54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3.84E-09</w:t>
            </w:r>
          </w:p>
        </w:tc>
      </w:tr>
      <w:tr w14:paraId="79141C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1EB925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4D1070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楼上一层放射科机房控制室</w:t>
            </w:r>
          </w:p>
        </w:tc>
        <w:tc>
          <w:tcPr>
            <w:tcW w:w="1245" w:type="dxa"/>
            <w:shd w:val="clear" w:color="auto" w:fill="auto"/>
            <w:vAlign w:val="center"/>
          </w:tcPr>
          <w:p w14:paraId="6D234E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PET注射后候诊室</w:t>
            </w:r>
          </w:p>
        </w:tc>
        <w:tc>
          <w:tcPr>
            <w:tcW w:w="1110" w:type="dxa"/>
            <w:shd w:val="clear" w:color="auto" w:fill="auto"/>
            <w:vAlign w:val="center"/>
          </w:tcPr>
          <w:p w14:paraId="05887F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1080" w:type="dxa"/>
            <w:shd w:val="clear" w:color="auto" w:fill="auto"/>
            <w:vAlign w:val="center"/>
          </w:tcPr>
          <w:p w14:paraId="1EE309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327A52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0B6BBB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250mm混凝土+50mm硫酸钡</w:t>
            </w:r>
          </w:p>
        </w:tc>
        <w:tc>
          <w:tcPr>
            <w:tcW w:w="1170" w:type="dxa"/>
            <w:shd w:val="clear" w:color="auto" w:fill="auto"/>
            <w:vAlign w:val="center"/>
          </w:tcPr>
          <w:p w14:paraId="6382EE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1.20E-02</w:t>
            </w:r>
          </w:p>
        </w:tc>
        <w:tc>
          <w:tcPr>
            <w:tcW w:w="1335" w:type="dxa"/>
            <w:shd w:val="clear" w:color="auto" w:fill="auto"/>
            <w:vAlign w:val="center"/>
          </w:tcPr>
          <w:p w14:paraId="3647CC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5.55E-02</w:t>
            </w:r>
          </w:p>
        </w:tc>
        <w:tc>
          <w:tcPr>
            <w:tcW w:w="930" w:type="dxa"/>
            <w:shd w:val="clear" w:color="auto" w:fill="auto"/>
            <w:vAlign w:val="center"/>
          </w:tcPr>
          <w:p w14:paraId="7C0AD9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1416.7</w:t>
            </w:r>
          </w:p>
        </w:tc>
        <w:tc>
          <w:tcPr>
            <w:tcW w:w="825" w:type="dxa"/>
            <w:shd w:val="clear" w:color="auto" w:fill="auto"/>
            <w:vAlign w:val="center"/>
          </w:tcPr>
          <w:p w14:paraId="706F94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36C725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7.86E-02</w:t>
            </w:r>
          </w:p>
        </w:tc>
      </w:tr>
      <w:tr w14:paraId="06FD29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1B8CA0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24F239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楼上一层放射科机房控制室</w:t>
            </w:r>
          </w:p>
        </w:tc>
        <w:tc>
          <w:tcPr>
            <w:tcW w:w="1245" w:type="dxa"/>
            <w:shd w:val="clear" w:color="auto" w:fill="auto"/>
            <w:vAlign w:val="center"/>
          </w:tcPr>
          <w:p w14:paraId="577A9B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PET留观室</w:t>
            </w:r>
          </w:p>
        </w:tc>
        <w:tc>
          <w:tcPr>
            <w:tcW w:w="1110" w:type="dxa"/>
            <w:shd w:val="clear" w:color="auto" w:fill="auto"/>
            <w:vAlign w:val="center"/>
          </w:tcPr>
          <w:p w14:paraId="428B80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1080" w:type="dxa"/>
            <w:shd w:val="clear" w:color="auto" w:fill="auto"/>
            <w:vAlign w:val="center"/>
          </w:tcPr>
          <w:p w14:paraId="2A329B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1D7D70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64DE56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w:t>
            </w:r>
          </w:p>
        </w:tc>
        <w:tc>
          <w:tcPr>
            <w:tcW w:w="1170" w:type="dxa"/>
            <w:shd w:val="clear" w:color="auto" w:fill="auto"/>
            <w:vAlign w:val="center"/>
          </w:tcPr>
          <w:p w14:paraId="102C79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3.80E-02</w:t>
            </w:r>
          </w:p>
        </w:tc>
        <w:tc>
          <w:tcPr>
            <w:tcW w:w="1335" w:type="dxa"/>
            <w:shd w:val="clear" w:color="auto" w:fill="auto"/>
            <w:vAlign w:val="center"/>
          </w:tcPr>
          <w:p w14:paraId="74B3E8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1.76E-01</w:t>
            </w:r>
          </w:p>
        </w:tc>
        <w:tc>
          <w:tcPr>
            <w:tcW w:w="930" w:type="dxa"/>
            <w:shd w:val="clear" w:color="auto" w:fill="auto"/>
            <w:vAlign w:val="center"/>
          </w:tcPr>
          <w:p w14:paraId="4C2EBD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236.1</w:t>
            </w:r>
          </w:p>
        </w:tc>
        <w:tc>
          <w:tcPr>
            <w:tcW w:w="825" w:type="dxa"/>
            <w:shd w:val="clear" w:color="auto" w:fill="auto"/>
            <w:vAlign w:val="center"/>
          </w:tcPr>
          <w:p w14:paraId="536800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339A8B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4.15E-02</w:t>
            </w:r>
          </w:p>
        </w:tc>
      </w:tr>
      <w:tr w14:paraId="6B5DA2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0A8FA5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5B9ED2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楼上一层放射科机房控制室</w:t>
            </w:r>
          </w:p>
        </w:tc>
        <w:tc>
          <w:tcPr>
            <w:tcW w:w="1245" w:type="dxa"/>
            <w:shd w:val="clear" w:color="auto" w:fill="auto"/>
            <w:vAlign w:val="center"/>
          </w:tcPr>
          <w:p w14:paraId="4D0014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ECT注射后候诊室</w:t>
            </w:r>
          </w:p>
        </w:tc>
        <w:tc>
          <w:tcPr>
            <w:tcW w:w="1110" w:type="dxa"/>
            <w:shd w:val="clear" w:color="auto" w:fill="auto"/>
            <w:vAlign w:val="center"/>
          </w:tcPr>
          <w:p w14:paraId="7D5968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60B096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74A369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29DE8F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w:t>
            </w:r>
          </w:p>
        </w:tc>
        <w:tc>
          <w:tcPr>
            <w:tcW w:w="1170" w:type="dxa"/>
            <w:shd w:val="clear" w:color="auto" w:fill="auto"/>
            <w:vAlign w:val="center"/>
          </w:tcPr>
          <w:p w14:paraId="2EC823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35" w:type="dxa"/>
            <w:shd w:val="clear" w:color="auto" w:fill="auto"/>
            <w:vAlign w:val="center"/>
          </w:tcPr>
          <w:p w14:paraId="7BF84E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1.11E-02</w:t>
            </w:r>
          </w:p>
        </w:tc>
        <w:tc>
          <w:tcPr>
            <w:tcW w:w="930" w:type="dxa"/>
            <w:shd w:val="clear" w:color="auto" w:fill="auto"/>
            <w:vAlign w:val="center"/>
          </w:tcPr>
          <w:p w14:paraId="01E66F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w:t>
            </w:r>
          </w:p>
        </w:tc>
        <w:tc>
          <w:tcPr>
            <w:tcW w:w="825" w:type="dxa"/>
            <w:shd w:val="clear" w:color="auto" w:fill="auto"/>
            <w:vAlign w:val="center"/>
          </w:tcPr>
          <w:p w14:paraId="1E36D6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7418D0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1.39E-02</w:t>
            </w:r>
          </w:p>
        </w:tc>
      </w:tr>
      <w:tr w14:paraId="63F9F7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880" w:type="dxa"/>
            <w:shd w:val="clear" w:color="auto" w:fill="auto"/>
            <w:vAlign w:val="center"/>
          </w:tcPr>
          <w:p w14:paraId="54CFB1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6A83A75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楼上一层放射科机房控制室</w:t>
            </w:r>
          </w:p>
        </w:tc>
        <w:tc>
          <w:tcPr>
            <w:tcW w:w="1245" w:type="dxa"/>
            <w:shd w:val="clear" w:color="auto" w:fill="auto"/>
            <w:vAlign w:val="center"/>
          </w:tcPr>
          <w:p w14:paraId="70F336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ECT留观室</w:t>
            </w:r>
          </w:p>
        </w:tc>
        <w:tc>
          <w:tcPr>
            <w:tcW w:w="1110" w:type="dxa"/>
            <w:shd w:val="clear" w:color="auto" w:fill="auto"/>
            <w:vAlign w:val="center"/>
          </w:tcPr>
          <w:p w14:paraId="5B468D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27E29F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365AAB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62C5E5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w:t>
            </w:r>
          </w:p>
        </w:tc>
        <w:tc>
          <w:tcPr>
            <w:tcW w:w="1170" w:type="dxa"/>
            <w:shd w:val="clear" w:color="auto" w:fill="auto"/>
            <w:vAlign w:val="center"/>
          </w:tcPr>
          <w:p w14:paraId="1F38BD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35" w:type="dxa"/>
            <w:shd w:val="clear" w:color="auto" w:fill="auto"/>
            <w:vAlign w:val="center"/>
          </w:tcPr>
          <w:p w14:paraId="5E5113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1.11E-02</w:t>
            </w:r>
          </w:p>
        </w:tc>
        <w:tc>
          <w:tcPr>
            <w:tcW w:w="930" w:type="dxa"/>
            <w:shd w:val="clear" w:color="auto" w:fill="auto"/>
            <w:vAlign w:val="center"/>
          </w:tcPr>
          <w:p w14:paraId="75F463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208.4</w:t>
            </w:r>
          </w:p>
        </w:tc>
        <w:tc>
          <w:tcPr>
            <w:tcW w:w="825" w:type="dxa"/>
            <w:shd w:val="clear" w:color="auto" w:fill="auto"/>
            <w:vAlign w:val="center"/>
          </w:tcPr>
          <w:p w14:paraId="0538BC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3DEEDB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2.32E-03</w:t>
            </w:r>
          </w:p>
        </w:tc>
      </w:tr>
      <w:tr w14:paraId="3B8B88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183A9C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06F30E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楼上一层放射科机房、患者通道</w:t>
            </w:r>
          </w:p>
        </w:tc>
        <w:tc>
          <w:tcPr>
            <w:tcW w:w="1245" w:type="dxa"/>
            <w:shd w:val="clear" w:color="auto" w:fill="auto"/>
            <w:vAlign w:val="center"/>
          </w:tcPr>
          <w:p w14:paraId="0AB41C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PET/CT机房</w:t>
            </w:r>
          </w:p>
        </w:tc>
        <w:tc>
          <w:tcPr>
            <w:tcW w:w="1110" w:type="dxa"/>
            <w:shd w:val="clear" w:color="auto" w:fill="auto"/>
            <w:vAlign w:val="center"/>
          </w:tcPr>
          <w:p w14:paraId="650AA9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80" w:type="dxa"/>
            <w:shd w:val="clear" w:color="auto" w:fill="auto"/>
            <w:vAlign w:val="center"/>
          </w:tcPr>
          <w:p w14:paraId="4B61B8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0C0132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5F0468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w:t>
            </w:r>
          </w:p>
        </w:tc>
        <w:tc>
          <w:tcPr>
            <w:tcW w:w="1170" w:type="dxa"/>
            <w:shd w:val="clear" w:color="auto" w:fill="auto"/>
            <w:vAlign w:val="center"/>
          </w:tcPr>
          <w:p w14:paraId="23528E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3.80E-02</w:t>
            </w:r>
          </w:p>
        </w:tc>
        <w:tc>
          <w:tcPr>
            <w:tcW w:w="1335" w:type="dxa"/>
            <w:shd w:val="clear" w:color="auto" w:fill="auto"/>
            <w:vAlign w:val="center"/>
          </w:tcPr>
          <w:p w14:paraId="3F2B28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5.86E-02</w:t>
            </w:r>
          </w:p>
        </w:tc>
        <w:tc>
          <w:tcPr>
            <w:tcW w:w="930" w:type="dxa"/>
            <w:shd w:val="clear" w:color="auto" w:fill="auto"/>
            <w:vAlign w:val="center"/>
          </w:tcPr>
          <w:p w14:paraId="664C9D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2975</w:t>
            </w:r>
          </w:p>
        </w:tc>
        <w:tc>
          <w:tcPr>
            <w:tcW w:w="825" w:type="dxa"/>
            <w:shd w:val="clear" w:color="auto" w:fill="auto"/>
            <w:vAlign w:val="center"/>
          </w:tcPr>
          <w:p w14:paraId="5F8F5B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07FDA5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4.36E-02</w:t>
            </w:r>
          </w:p>
        </w:tc>
      </w:tr>
      <w:tr w14:paraId="60D22C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35FFEE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47FDE1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楼上一层放射科机房、患者通道</w:t>
            </w:r>
          </w:p>
        </w:tc>
        <w:tc>
          <w:tcPr>
            <w:tcW w:w="1245" w:type="dxa"/>
            <w:shd w:val="clear" w:color="auto" w:fill="auto"/>
            <w:vAlign w:val="center"/>
          </w:tcPr>
          <w:p w14:paraId="63B8F6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SPECT/CT机房</w:t>
            </w:r>
          </w:p>
        </w:tc>
        <w:tc>
          <w:tcPr>
            <w:tcW w:w="1110" w:type="dxa"/>
            <w:shd w:val="clear" w:color="auto" w:fill="auto"/>
            <w:vAlign w:val="center"/>
          </w:tcPr>
          <w:p w14:paraId="74A06A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80" w:type="dxa"/>
            <w:shd w:val="clear" w:color="auto" w:fill="auto"/>
            <w:vAlign w:val="center"/>
          </w:tcPr>
          <w:p w14:paraId="7FFE72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4BB604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1363BA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w:t>
            </w:r>
          </w:p>
        </w:tc>
        <w:tc>
          <w:tcPr>
            <w:tcW w:w="1170" w:type="dxa"/>
            <w:shd w:val="clear" w:color="auto" w:fill="auto"/>
            <w:vAlign w:val="center"/>
          </w:tcPr>
          <w:p w14:paraId="1FE844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35" w:type="dxa"/>
            <w:shd w:val="clear" w:color="auto" w:fill="auto"/>
            <w:vAlign w:val="center"/>
          </w:tcPr>
          <w:p w14:paraId="162659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3.70E-03</w:t>
            </w:r>
          </w:p>
        </w:tc>
        <w:tc>
          <w:tcPr>
            <w:tcW w:w="930" w:type="dxa"/>
            <w:shd w:val="clear" w:color="auto" w:fill="auto"/>
            <w:vAlign w:val="center"/>
          </w:tcPr>
          <w:p w14:paraId="6451A1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2625</w:t>
            </w:r>
          </w:p>
        </w:tc>
        <w:tc>
          <w:tcPr>
            <w:tcW w:w="825" w:type="dxa"/>
            <w:shd w:val="clear" w:color="auto" w:fill="auto"/>
            <w:vAlign w:val="center"/>
          </w:tcPr>
          <w:p w14:paraId="704AFD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1F9FDD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2.43E-03</w:t>
            </w:r>
          </w:p>
        </w:tc>
      </w:tr>
      <w:tr w14:paraId="04D515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044FBF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89</w:t>
            </w:r>
            <w:r>
              <w:rPr>
                <w:rFonts w:hint="default" w:ascii="Times New Roman" w:hAnsi="Times New Roman" w:eastAsia="宋体" w:cs="Times New Roman"/>
                <w:i w:val="0"/>
                <w:iCs w:val="0"/>
                <w:color w:val="000000"/>
                <w:kern w:val="0"/>
                <w:sz w:val="21"/>
                <w:szCs w:val="21"/>
                <w:u w:val="none"/>
                <w:lang w:val="en-US" w:eastAsia="zh-CN" w:bidi="ar"/>
              </w:rPr>
              <w:t>Sr</w:t>
            </w:r>
          </w:p>
        </w:tc>
        <w:tc>
          <w:tcPr>
            <w:tcW w:w="1590" w:type="dxa"/>
            <w:shd w:val="clear" w:color="auto" w:fill="auto"/>
            <w:vAlign w:val="center"/>
          </w:tcPr>
          <w:p w14:paraId="70DD43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楼上一层市政设施用房、患者通道</w:t>
            </w:r>
          </w:p>
        </w:tc>
        <w:tc>
          <w:tcPr>
            <w:tcW w:w="1245" w:type="dxa"/>
            <w:shd w:val="clear" w:color="auto" w:fill="auto"/>
            <w:vAlign w:val="center"/>
          </w:tcPr>
          <w:p w14:paraId="753A95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分装室2#</w:t>
            </w:r>
          </w:p>
        </w:tc>
        <w:tc>
          <w:tcPr>
            <w:tcW w:w="1110" w:type="dxa"/>
            <w:shd w:val="clear" w:color="auto" w:fill="auto"/>
            <w:vAlign w:val="center"/>
          </w:tcPr>
          <w:p w14:paraId="7857AD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1080" w:type="dxa"/>
            <w:shd w:val="clear" w:color="auto" w:fill="auto"/>
            <w:vAlign w:val="center"/>
          </w:tcPr>
          <w:p w14:paraId="33C9C1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04A9E5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85" w:type="dxa"/>
            <w:shd w:val="clear" w:color="auto" w:fill="auto"/>
            <w:vAlign w:val="center"/>
          </w:tcPr>
          <w:p w14:paraId="4DC17C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180mm混凝土</w:t>
            </w:r>
          </w:p>
        </w:tc>
        <w:tc>
          <w:tcPr>
            <w:tcW w:w="1170" w:type="dxa"/>
            <w:shd w:val="clear" w:color="auto" w:fill="auto"/>
            <w:vAlign w:val="center"/>
          </w:tcPr>
          <w:p w14:paraId="4FA4B2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6.70E-03</w:t>
            </w:r>
          </w:p>
        </w:tc>
        <w:tc>
          <w:tcPr>
            <w:tcW w:w="1335" w:type="dxa"/>
            <w:shd w:val="clear" w:color="auto" w:fill="auto"/>
            <w:vAlign w:val="center"/>
          </w:tcPr>
          <w:p w14:paraId="22F878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5.56E-06</w:t>
            </w:r>
          </w:p>
        </w:tc>
        <w:tc>
          <w:tcPr>
            <w:tcW w:w="930" w:type="dxa"/>
            <w:shd w:val="clear" w:color="auto" w:fill="auto"/>
            <w:vAlign w:val="center"/>
          </w:tcPr>
          <w:p w14:paraId="17F49B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825" w:type="dxa"/>
            <w:shd w:val="clear" w:color="auto" w:fill="auto"/>
            <w:vAlign w:val="center"/>
          </w:tcPr>
          <w:p w14:paraId="252611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5AA402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5.78E-08</w:t>
            </w:r>
          </w:p>
        </w:tc>
      </w:tr>
      <w:tr w14:paraId="66930C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03F567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89</w:t>
            </w:r>
            <w:r>
              <w:rPr>
                <w:rFonts w:hint="default" w:ascii="Times New Roman" w:hAnsi="Times New Roman" w:eastAsia="宋体" w:cs="Times New Roman"/>
                <w:i w:val="0"/>
                <w:iCs w:val="0"/>
                <w:color w:val="000000"/>
                <w:kern w:val="0"/>
                <w:sz w:val="21"/>
                <w:szCs w:val="21"/>
                <w:u w:val="none"/>
                <w:lang w:val="en-US" w:eastAsia="zh-CN" w:bidi="ar"/>
              </w:rPr>
              <w:t>Sr</w:t>
            </w:r>
          </w:p>
        </w:tc>
        <w:tc>
          <w:tcPr>
            <w:tcW w:w="1590" w:type="dxa"/>
            <w:shd w:val="clear" w:color="auto" w:fill="auto"/>
            <w:vAlign w:val="center"/>
          </w:tcPr>
          <w:p w14:paraId="7630BB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楼上一层休息室、患者通道</w:t>
            </w:r>
          </w:p>
        </w:tc>
        <w:tc>
          <w:tcPr>
            <w:tcW w:w="1245" w:type="dxa"/>
            <w:shd w:val="clear" w:color="auto" w:fill="auto"/>
            <w:vAlign w:val="center"/>
          </w:tcPr>
          <w:p w14:paraId="6F7610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Sr-89注射室</w:t>
            </w:r>
          </w:p>
        </w:tc>
        <w:tc>
          <w:tcPr>
            <w:tcW w:w="1110" w:type="dxa"/>
            <w:shd w:val="clear" w:color="auto" w:fill="auto"/>
            <w:vAlign w:val="center"/>
          </w:tcPr>
          <w:p w14:paraId="6CB60E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1080" w:type="dxa"/>
            <w:shd w:val="clear" w:color="auto" w:fill="auto"/>
            <w:vAlign w:val="center"/>
          </w:tcPr>
          <w:p w14:paraId="41B096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066714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85" w:type="dxa"/>
            <w:shd w:val="clear" w:color="auto" w:fill="auto"/>
            <w:vAlign w:val="center"/>
          </w:tcPr>
          <w:p w14:paraId="496D5A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180mm混凝土</w:t>
            </w:r>
          </w:p>
        </w:tc>
        <w:tc>
          <w:tcPr>
            <w:tcW w:w="1170" w:type="dxa"/>
            <w:shd w:val="clear" w:color="auto" w:fill="auto"/>
            <w:vAlign w:val="center"/>
          </w:tcPr>
          <w:p w14:paraId="094D78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6.70E-03</w:t>
            </w:r>
          </w:p>
        </w:tc>
        <w:tc>
          <w:tcPr>
            <w:tcW w:w="1335" w:type="dxa"/>
            <w:shd w:val="clear" w:color="auto" w:fill="auto"/>
            <w:vAlign w:val="center"/>
          </w:tcPr>
          <w:p w14:paraId="3A0B2C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5.56E-06</w:t>
            </w:r>
          </w:p>
        </w:tc>
        <w:tc>
          <w:tcPr>
            <w:tcW w:w="930" w:type="dxa"/>
            <w:shd w:val="clear" w:color="auto" w:fill="auto"/>
            <w:vAlign w:val="center"/>
          </w:tcPr>
          <w:p w14:paraId="4683A7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825" w:type="dxa"/>
            <w:shd w:val="clear" w:color="auto" w:fill="auto"/>
            <w:vAlign w:val="center"/>
          </w:tcPr>
          <w:p w14:paraId="4A5E29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24AD73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5.78E-08</w:t>
            </w:r>
          </w:p>
        </w:tc>
      </w:tr>
      <w:tr w14:paraId="695CBF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616E94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590" w:type="dxa"/>
            <w:shd w:val="clear" w:color="auto" w:fill="auto"/>
            <w:vAlign w:val="center"/>
          </w:tcPr>
          <w:p w14:paraId="5A6319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楼上一层休息室</w:t>
            </w:r>
          </w:p>
        </w:tc>
        <w:tc>
          <w:tcPr>
            <w:tcW w:w="1245" w:type="dxa"/>
            <w:shd w:val="clear" w:color="auto" w:fill="auto"/>
            <w:vAlign w:val="center"/>
          </w:tcPr>
          <w:p w14:paraId="53B83C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I-131服药室</w:t>
            </w:r>
          </w:p>
        </w:tc>
        <w:tc>
          <w:tcPr>
            <w:tcW w:w="1110" w:type="dxa"/>
            <w:shd w:val="clear" w:color="auto" w:fill="auto"/>
            <w:vAlign w:val="center"/>
          </w:tcPr>
          <w:p w14:paraId="332689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80" w:type="dxa"/>
            <w:shd w:val="clear" w:color="auto" w:fill="auto"/>
            <w:vAlign w:val="center"/>
          </w:tcPr>
          <w:p w14:paraId="3B5B0C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217D77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785" w:type="dxa"/>
            <w:shd w:val="clear" w:color="auto" w:fill="auto"/>
            <w:vAlign w:val="center"/>
          </w:tcPr>
          <w:p w14:paraId="2361A8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180mm混凝土</w:t>
            </w:r>
          </w:p>
        </w:tc>
        <w:tc>
          <w:tcPr>
            <w:tcW w:w="1170" w:type="dxa"/>
            <w:shd w:val="clear" w:color="auto" w:fill="auto"/>
            <w:vAlign w:val="center"/>
          </w:tcPr>
          <w:p w14:paraId="26612E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8.73E-02</w:t>
            </w:r>
          </w:p>
        </w:tc>
        <w:tc>
          <w:tcPr>
            <w:tcW w:w="1335" w:type="dxa"/>
            <w:shd w:val="clear" w:color="auto" w:fill="auto"/>
            <w:vAlign w:val="center"/>
          </w:tcPr>
          <w:p w14:paraId="3E49C5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1.74E-01</w:t>
            </w:r>
          </w:p>
        </w:tc>
        <w:tc>
          <w:tcPr>
            <w:tcW w:w="930" w:type="dxa"/>
            <w:shd w:val="clear" w:color="auto" w:fill="auto"/>
            <w:vAlign w:val="center"/>
          </w:tcPr>
          <w:p w14:paraId="643B18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825" w:type="dxa"/>
            <w:shd w:val="clear" w:color="auto" w:fill="auto"/>
            <w:vAlign w:val="center"/>
          </w:tcPr>
          <w:p w14:paraId="31A2B3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7F104F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7.24E-03</w:t>
            </w:r>
          </w:p>
        </w:tc>
      </w:tr>
      <w:tr w14:paraId="28C761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76EF6E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590" w:type="dxa"/>
            <w:shd w:val="clear" w:color="auto" w:fill="auto"/>
            <w:vAlign w:val="center"/>
          </w:tcPr>
          <w:p w14:paraId="4B7FD3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楼上一层休息室</w:t>
            </w:r>
          </w:p>
        </w:tc>
        <w:tc>
          <w:tcPr>
            <w:tcW w:w="1245" w:type="dxa"/>
            <w:shd w:val="clear" w:color="auto" w:fill="auto"/>
            <w:vAlign w:val="center"/>
          </w:tcPr>
          <w:p w14:paraId="3E62C3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日间留观室</w:t>
            </w:r>
          </w:p>
        </w:tc>
        <w:tc>
          <w:tcPr>
            <w:tcW w:w="1110" w:type="dxa"/>
            <w:shd w:val="clear" w:color="auto" w:fill="auto"/>
            <w:vAlign w:val="center"/>
          </w:tcPr>
          <w:p w14:paraId="486597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493B80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1612CE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785" w:type="dxa"/>
            <w:shd w:val="clear" w:color="auto" w:fill="auto"/>
            <w:vAlign w:val="center"/>
          </w:tcPr>
          <w:p w14:paraId="1872B3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180mm混凝土+50mm硫酸钡</w:t>
            </w:r>
          </w:p>
        </w:tc>
        <w:tc>
          <w:tcPr>
            <w:tcW w:w="1170" w:type="dxa"/>
            <w:shd w:val="clear" w:color="auto" w:fill="auto"/>
            <w:vAlign w:val="center"/>
          </w:tcPr>
          <w:p w14:paraId="7ECAD4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2.07E-02</w:t>
            </w:r>
          </w:p>
        </w:tc>
        <w:tc>
          <w:tcPr>
            <w:tcW w:w="1335" w:type="dxa"/>
            <w:shd w:val="clear" w:color="auto" w:fill="auto"/>
            <w:vAlign w:val="center"/>
          </w:tcPr>
          <w:p w14:paraId="7E1A55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1.21E-01</w:t>
            </w:r>
          </w:p>
        </w:tc>
        <w:tc>
          <w:tcPr>
            <w:tcW w:w="930" w:type="dxa"/>
            <w:shd w:val="clear" w:color="auto" w:fill="auto"/>
            <w:vAlign w:val="center"/>
          </w:tcPr>
          <w:p w14:paraId="5BD3D7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416.7</w:t>
            </w:r>
          </w:p>
        </w:tc>
        <w:tc>
          <w:tcPr>
            <w:tcW w:w="825" w:type="dxa"/>
            <w:shd w:val="clear" w:color="auto" w:fill="auto"/>
            <w:vAlign w:val="center"/>
          </w:tcPr>
          <w:p w14:paraId="046E19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15" w:type="dxa"/>
            <w:shd w:val="clear" w:color="auto" w:fill="auto"/>
            <w:vAlign w:val="center"/>
          </w:tcPr>
          <w:p w14:paraId="633F00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5.05E-02</w:t>
            </w:r>
          </w:p>
        </w:tc>
      </w:tr>
      <w:tr w14:paraId="43AED3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880" w:type="dxa"/>
            <w:shd w:val="clear" w:color="auto" w:fill="auto"/>
            <w:vAlign w:val="center"/>
          </w:tcPr>
          <w:p w14:paraId="22D166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01334C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5859E6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分装室1#</w:t>
            </w:r>
          </w:p>
        </w:tc>
        <w:tc>
          <w:tcPr>
            <w:tcW w:w="1110" w:type="dxa"/>
            <w:shd w:val="clear" w:color="auto" w:fill="auto"/>
            <w:vAlign w:val="center"/>
          </w:tcPr>
          <w:p w14:paraId="70C09C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80" w:type="dxa"/>
            <w:shd w:val="clear" w:color="auto" w:fill="auto"/>
            <w:vAlign w:val="center"/>
          </w:tcPr>
          <w:p w14:paraId="6CD0C8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532AAB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0.143</w:t>
            </w:r>
          </w:p>
        </w:tc>
        <w:tc>
          <w:tcPr>
            <w:tcW w:w="1785" w:type="dxa"/>
            <w:shd w:val="clear" w:color="auto" w:fill="auto"/>
            <w:vAlign w:val="center"/>
          </w:tcPr>
          <w:p w14:paraId="660D58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200mm混凝土+10mmPb注射器防护套</w:t>
            </w:r>
          </w:p>
        </w:tc>
        <w:tc>
          <w:tcPr>
            <w:tcW w:w="1170" w:type="dxa"/>
            <w:shd w:val="clear" w:color="auto" w:fill="auto"/>
            <w:vAlign w:val="center"/>
          </w:tcPr>
          <w:p w14:paraId="37997F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1.82E-02</w:t>
            </w:r>
          </w:p>
        </w:tc>
        <w:tc>
          <w:tcPr>
            <w:tcW w:w="1335" w:type="dxa"/>
            <w:shd w:val="clear" w:color="auto" w:fill="auto"/>
            <w:vAlign w:val="center"/>
          </w:tcPr>
          <w:p w14:paraId="1A9EA0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4.36E-02</w:t>
            </w:r>
          </w:p>
        </w:tc>
        <w:tc>
          <w:tcPr>
            <w:tcW w:w="930" w:type="dxa"/>
            <w:shd w:val="clear" w:color="auto" w:fill="auto"/>
            <w:vAlign w:val="center"/>
          </w:tcPr>
          <w:p w14:paraId="4BDA4E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825" w:type="dxa"/>
            <w:shd w:val="clear" w:color="auto" w:fill="auto"/>
            <w:vAlign w:val="center"/>
          </w:tcPr>
          <w:p w14:paraId="377D48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7C2972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7.72E-04</w:t>
            </w:r>
          </w:p>
        </w:tc>
      </w:tr>
      <w:tr w14:paraId="10F2F1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1233ED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04AFD6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0C3390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分装室1#</w:t>
            </w:r>
          </w:p>
        </w:tc>
        <w:tc>
          <w:tcPr>
            <w:tcW w:w="1110" w:type="dxa"/>
            <w:shd w:val="clear" w:color="auto" w:fill="auto"/>
            <w:vAlign w:val="center"/>
          </w:tcPr>
          <w:p w14:paraId="509689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80" w:type="dxa"/>
            <w:shd w:val="clear" w:color="auto" w:fill="auto"/>
            <w:vAlign w:val="center"/>
          </w:tcPr>
          <w:p w14:paraId="2C2960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6ECF2D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w:t>
            </w:r>
          </w:p>
        </w:tc>
        <w:tc>
          <w:tcPr>
            <w:tcW w:w="1785" w:type="dxa"/>
            <w:shd w:val="clear" w:color="auto" w:fill="auto"/>
            <w:vAlign w:val="center"/>
          </w:tcPr>
          <w:p w14:paraId="73ED64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200mm混凝土+5mmPb注射器防护套</w:t>
            </w:r>
          </w:p>
        </w:tc>
        <w:tc>
          <w:tcPr>
            <w:tcW w:w="1170" w:type="dxa"/>
            <w:shd w:val="clear" w:color="auto" w:fill="auto"/>
            <w:vAlign w:val="center"/>
          </w:tcPr>
          <w:p w14:paraId="66929D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1.52E-07</w:t>
            </w:r>
          </w:p>
        </w:tc>
        <w:tc>
          <w:tcPr>
            <w:tcW w:w="1335" w:type="dxa"/>
            <w:shd w:val="clear" w:color="auto" w:fill="auto"/>
            <w:vAlign w:val="center"/>
          </w:tcPr>
          <w:p w14:paraId="37EDC2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1.54E-07</w:t>
            </w:r>
          </w:p>
        </w:tc>
        <w:tc>
          <w:tcPr>
            <w:tcW w:w="930" w:type="dxa"/>
            <w:shd w:val="clear" w:color="auto" w:fill="auto"/>
            <w:vAlign w:val="center"/>
          </w:tcPr>
          <w:p w14:paraId="704ACC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w:t>
            </w:r>
          </w:p>
        </w:tc>
        <w:tc>
          <w:tcPr>
            <w:tcW w:w="825" w:type="dxa"/>
            <w:shd w:val="clear" w:color="auto" w:fill="auto"/>
            <w:vAlign w:val="center"/>
          </w:tcPr>
          <w:p w14:paraId="5AE2B6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5A72A6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2.73E-09</w:t>
            </w:r>
          </w:p>
        </w:tc>
      </w:tr>
      <w:tr w14:paraId="439361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58BBDA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2410E9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39BD9D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PET注射后候诊室</w:t>
            </w:r>
          </w:p>
        </w:tc>
        <w:tc>
          <w:tcPr>
            <w:tcW w:w="1110" w:type="dxa"/>
            <w:shd w:val="clear" w:color="auto" w:fill="auto"/>
            <w:vAlign w:val="center"/>
          </w:tcPr>
          <w:p w14:paraId="09C132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1080" w:type="dxa"/>
            <w:shd w:val="clear" w:color="auto" w:fill="auto"/>
            <w:vAlign w:val="center"/>
          </w:tcPr>
          <w:p w14:paraId="2B2657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3D3BC5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6CD2F7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200mm混凝土+50mm硫酸钡</w:t>
            </w:r>
          </w:p>
        </w:tc>
        <w:tc>
          <w:tcPr>
            <w:tcW w:w="1170" w:type="dxa"/>
            <w:shd w:val="clear" w:color="auto" w:fill="auto"/>
            <w:vAlign w:val="center"/>
          </w:tcPr>
          <w:p w14:paraId="253DEB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2.31E-02</w:t>
            </w:r>
          </w:p>
        </w:tc>
        <w:tc>
          <w:tcPr>
            <w:tcW w:w="1335" w:type="dxa"/>
            <w:shd w:val="clear" w:color="auto" w:fill="auto"/>
            <w:vAlign w:val="center"/>
          </w:tcPr>
          <w:p w14:paraId="7D5033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1.07E-01</w:t>
            </w:r>
          </w:p>
        </w:tc>
        <w:tc>
          <w:tcPr>
            <w:tcW w:w="930" w:type="dxa"/>
            <w:shd w:val="clear" w:color="auto" w:fill="auto"/>
            <w:vAlign w:val="center"/>
          </w:tcPr>
          <w:p w14:paraId="5029FE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1416.7</w:t>
            </w:r>
          </w:p>
        </w:tc>
        <w:tc>
          <w:tcPr>
            <w:tcW w:w="825" w:type="dxa"/>
            <w:shd w:val="clear" w:color="auto" w:fill="auto"/>
            <w:vAlign w:val="center"/>
          </w:tcPr>
          <w:p w14:paraId="2AD9D8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7291E4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3.78E-02</w:t>
            </w:r>
          </w:p>
        </w:tc>
      </w:tr>
      <w:tr w14:paraId="53E435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7369BC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7728A3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562963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PET留观室</w:t>
            </w:r>
          </w:p>
        </w:tc>
        <w:tc>
          <w:tcPr>
            <w:tcW w:w="1110" w:type="dxa"/>
            <w:shd w:val="clear" w:color="auto" w:fill="auto"/>
            <w:vAlign w:val="center"/>
          </w:tcPr>
          <w:p w14:paraId="29EDEF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1080" w:type="dxa"/>
            <w:shd w:val="clear" w:color="auto" w:fill="auto"/>
            <w:vAlign w:val="center"/>
          </w:tcPr>
          <w:p w14:paraId="62410D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3B0DFD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4B4D38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200mm混凝土</w:t>
            </w:r>
          </w:p>
        </w:tc>
        <w:tc>
          <w:tcPr>
            <w:tcW w:w="1170" w:type="dxa"/>
            <w:shd w:val="clear" w:color="auto" w:fill="auto"/>
            <w:vAlign w:val="center"/>
          </w:tcPr>
          <w:p w14:paraId="3CB4D0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7.31E-02</w:t>
            </w:r>
          </w:p>
        </w:tc>
        <w:tc>
          <w:tcPr>
            <w:tcW w:w="1335" w:type="dxa"/>
            <w:shd w:val="clear" w:color="auto" w:fill="auto"/>
            <w:vAlign w:val="center"/>
          </w:tcPr>
          <w:p w14:paraId="656B69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3.38E-01</w:t>
            </w:r>
          </w:p>
        </w:tc>
        <w:tc>
          <w:tcPr>
            <w:tcW w:w="930" w:type="dxa"/>
            <w:shd w:val="clear" w:color="auto" w:fill="auto"/>
            <w:vAlign w:val="center"/>
          </w:tcPr>
          <w:p w14:paraId="110FC9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236.1</w:t>
            </w:r>
          </w:p>
        </w:tc>
        <w:tc>
          <w:tcPr>
            <w:tcW w:w="825" w:type="dxa"/>
            <w:shd w:val="clear" w:color="auto" w:fill="auto"/>
            <w:vAlign w:val="center"/>
          </w:tcPr>
          <w:p w14:paraId="32EF26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049BAD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1.99E-02</w:t>
            </w:r>
          </w:p>
        </w:tc>
      </w:tr>
      <w:tr w14:paraId="79F403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880" w:type="dxa"/>
            <w:shd w:val="clear" w:color="auto" w:fill="auto"/>
            <w:vAlign w:val="center"/>
          </w:tcPr>
          <w:p w14:paraId="61677F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3F8843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5DF599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ECT注射后候诊室</w:t>
            </w:r>
          </w:p>
        </w:tc>
        <w:tc>
          <w:tcPr>
            <w:tcW w:w="1110" w:type="dxa"/>
            <w:shd w:val="clear" w:color="auto" w:fill="auto"/>
            <w:vAlign w:val="center"/>
          </w:tcPr>
          <w:p w14:paraId="470540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59B0D4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287A81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5156D2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200mm混凝土</w:t>
            </w:r>
          </w:p>
        </w:tc>
        <w:tc>
          <w:tcPr>
            <w:tcW w:w="1170" w:type="dxa"/>
            <w:shd w:val="clear" w:color="auto" w:fill="auto"/>
            <w:vAlign w:val="center"/>
          </w:tcPr>
          <w:p w14:paraId="04FCC5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1.52E-02</w:t>
            </w:r>
          </w:p>
        </w:tc>
        <w:tc>
          <w:tcPr>
            <w:tcW w:w="1335" w:type="dxa"/>
            <w:shd w:val="clear" w:color="auto" w:fill="auto"/>
            <w:vAlign w:val="center"/>
          </w:tcPr>
          <w:p w14:paraId="515654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3.16E-02</w:t>
            </w:r>
          </w:p>
        </w:tc>
        <w:tc>
          <w:tcPr>
            <w:tcW w:w="930" w:type="dxa"/>
            <w:shd w:val="clear" w:color="auto" w:fill="auto"/>
            <w:vAlign w:val="center"/>
          </w:tcPr>
          <w:p w14:paraId="0B09E7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w:t>
            </w:r>
          </w:p>
        </w:tc>
        <w:tc>
          <w:tcPr>
            <w:tcW w:w="825" w:type="dxa"/>
            <w:shd w:val="clear" w:color="auto" w:fill="auto"/>
            <w:vAlign w:val="center"/>
          </w:tcPr>
          <w:p w14:paraId="20C91B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0EA1CD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9.88E-03</w:t>
            </w:r>
          </w:p>
        </w:tc>
      </w:tr>
      <w:tr w14:paraId="7F6025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1A2853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052048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0272EE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ECT留观室</w:t>
            </w:r>
          </w:p>
        </w:tc>
        <w:tc>
          <w:tcPr>
            <w:tcW w:w="1110" w:type="dxa"/>
            <w:shd w:val="clear" w:color="auto" w:fill="auto"/>
            <w:vAlign w:val="center"/>
          </w:tcPr>
          <w:p w14:paraId="5B2144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45A519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3863BE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15073A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200mm混凝土</w:t>
            </w:r>
          </w:p>
        </w:tc>
        <w:tc>
          <w:tcPr>
            <w:tcW w:w="1170" w:type="dxa"/>
            <w:shd w:val="clear" w:color="auto" w:fill="auto"/>
            <w:vAlign w:val="center"/>
          </w:tcPr>
          <w:p w14:paraId="62C9B5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1.52E-02</w:t>
            </w:r>
          </w:p>
        </w:tc>
        <w:tc>
          <w:tcPr>
            <w:tcW w:w="1335" w:type="dxa"/>
            <w:shd w:val="clear" w:color="auto" w:fill="auto"/>
            <w:vAlign w:val="center"/>
          </w:tcPr>
          <w:p w14:paraId="59CE8A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3.16E-02</w:t>
            </w:r>
          </w:p>
        </w:tc>
        <w:tc>
          <w:tcPr>
            <w:tcW w:w="930" w:type="dxa"/>
            <w:shd w:val="clear" w:color="auto" w:fill="auto"/>
            <w:vAlign w:val="center"/>
          </w:tcPr>
          <w:p w14:paraId="5A4867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208.4</w:t>
            </w:r>
          </w:p>
        </w:tc>
        <w:tc>
          <w:tcPr>
            <w:tcW w:w="825" w:type="dxa"/>
            <w:shd w:val="clear" w:color="auto" w:fill="auto"/>
            <w:vAlign w:val="center"/>
          </w:tcPr>
          <w:p w14:paraId="11A7B7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025262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1.65E-03</w:t>
            </w:r>
          </w:p>
        </w:tc>
      </w:tr>
      <w:tr w14:paraId="7907B3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2E0F60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18</w:t>
            </w:r>
            <w:r>
              <w:rPr>
                <w:rFonts w:hint="default" w:ascii="Times New Roman" w:hAnsi="Times New Roman" w:eastAsia="宋体" w:cs="Times New Roman"/>
                <w:i w:val="0"/>
                <w:iCs w:val="0"/>
                <w:color w:val="000000"/>
                <w:kern w:val="0"/>
                <w:sz w:val="21"/>
                <w:szCs w:val="21"/>
                <w:u w:val="none"/>
                <w:lang w:val="en-US" w:eastAsia="zh-CN" w:bidi="ar"/>
              </w:rPr>
              <w:t>F、</w:t>
            </w:r>
            <w:r>
              <w:rPr>
                <w:rFonts w:hint="default" w:ascii="Times New Roman" w:hAnsi="Times New Roman" w:eastAsia="宋体" w:cs="Times New Roman"/>
                <w:i w:val="0"/>
                <w:iCs w:val="0"/>
                <w:color w:val="000000"/>
                <w:kern w:val="0"/>
                <w:sz w:val="21"/>
                <w:szCs w:val="21"/>
                <w:u w:val="none"/>
                <w:vertAlign w:val="superscript"/>
                <w:lang w:val="en-US" w:eastAsia="zh-CN" w:bidi="ar"/>
              </w:rPr>
              <w:t>68</w:t>
            </w:r>
            <w:r>
              <w:rPr>
                <w:rFonts w:hint="default" w:ascii="Times New Roman" w:hAnsi="Times New Roman" w:eastAsia="宋体" w:cs="Times New Roman"/>
                <w:i w:val="0"/>
                <w:iCs w:val="0"/>
                <w:color w:val="000000"/>
                <w:kern w:val="0"/>
                <w:sz w:val="21"/>
                <w:szCs w:val="21"/>
                <w:u w:val="none"/>
                <w:lang w:val="en-US" w:eastAsia="zh-CN" w:bidi="ar"/>
              </w:rPr>
              <w:t>Ga</w:t>
            </w:r>
          </w:p>
        </w:tc>
        <w:tc>
          <w:tcPr>
            <w:tcW w:w="1590" w:type="dxa"/>
            <w:shd w:val="clear" w:color="auto" w:fill="auto"/>
            <w:vAlign w:val="center"/>
          </w:tcPr>
          <w:p w14:paraId="2EF1E3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3F5210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PET/CT机房</w:t>
            </w:r>
          </w:p>
        </w:tc>
        <w:tc>
          <w:tcPr>
            <w:tcW w:w="1110" w:type="dxa"/>
            <w:shd w:val="clear" w:color="auto" w:fill="auto"/>
            <w:vAlign w:val="center"/>
          </w:tcPr>
          <w:p w14:paraId="747535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w:t>
            </w:r>
          </w:p>
        </w:tc>
        <w:tc>
          <w:tcPr>
            <w:tcW w:w="1080" w:type="dxa"/>
            <w:shd w:val="clear" w:color="auto" w:fill="auto"/>
            <w:vAlign w:val="center"/>
          </w:tcPr>
          <w:p w14:paraId="2356D9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60869D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0.092</w:t>
            </w:r>
          </w:p>
        </w:tc>
        <w:tc>
          <w:tcPr>
            <w:tcW w:w="1785" w:type="dxa"/>
            <w:shd w:val="clear" w:color="auto" w:fill="auto"/>
            <w:vAlign w:val="center"/>
          </w:tcPr>
          <w:p w14:paraId="6A72B5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300mm混凝土</w:t>
            </w:r>
          </w:p>
        </w:tc>
        <w:tc>
          <w:tcPr>
            <w:tcW w:w="1170" w:type="dxa"/>
            <w:shd w:val="clear" w:color="auto" w:fill="auto"/>
            <w:vAlign w:val="center"/>
          </w:tcPr>
          <w:p w14:paraId="2672A2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1.97E-02</w:t>
            </w:r>
          </w:p>
        </w:tc>
        <w:tc>
          <w:tcPr>
            <w:tcW w:w="1335" w:type="dxa"/>
            <w:shd w:val="clear" w:color="auto" w:fill="auto"/>
            <w:vAlign w:val="center"/>
          </w:tcPr>
          <w:p w14:paraId="3A1927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3.04E-02</w:t>
            </w:r>
          </w:p>
        </w:tc>
        <w:tc>
          <w:tcPr>
            <w:tcW w:w="930" w:type="dxa"/>
            <w:shd w:val="clear" w:color="auto" w:fill="auto"/>
            <w:vAlign w:val="center"/>
          </w:tcPr>
          <w:p w14:paraId="3C3EBD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2975</w:t>
            </w:r>
          </w:p>
        </w:tc>
        <w:tc>
          <w:tcPr>
            <w:tcW w:w="825" w:type="dxa"/>
            <w:shd w:val="clear" w:color="auto" w:fill="auto"/>
            <w:vAlign w:val="center"/>
          </w:tcPr>
          <w:p w14:paraId="02AAD6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313BAD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2.26E-02</w:t>
            </w:r>
          </w:p>
        </w:tc>
      </w:tr>
      <w:tr w14:paraId="5E8F38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017A78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99m</w:t>
            </w:r>
            <w:r>
              <w:rPr>
                <w:rFonts w:hint="default" w:ascii="Times New Roman" w:hAnsi="Times New Roman" w:eastAsia="宋体" w:cs="Times New Roman"/>
                <w:i w:val="0"/>
                <w:iCs w:val="0"/>
                <w:color w:val="000000"/>
                <w:kern w:val="0"/>
                <w:sz w:val="21"/>
                <w:szCs w:val="21"/>
                <w:u w:val="none"/>
                <w:lang w:val="en-US" w:eastAsia="zh-CN" w:bidi="ar"/>
              </w:rPr>
              <w:t>Tc</w:t>
            </w:r>
          </w:p>
        </w:tc>
        <w:tc>
          <w:tcPr>
            <w:tcW w:w="1590" w:type="dxa"/>
            <w:shd w:val="clear" w:color="auto" w:fill="auto"/>
            <w:vAlign w:val="center"/>
          </w:tcPr>
          <w:p w14:paraId="0C13B2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23FFD7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SPECT/CT机房</w:t>
            </w:r>
          </w:p>
        </w:tc>
        <w:tc>
          <w:tcPr>
            <w:tcW w:w="1110" w:type="dxa"/>
            <w:shd w:val="clear" w:color="auto" w:fill="auto"/>
            <w:vAlign w:val="center"/>
          </w:tcPr>
          <w:p w14:paraId="09B842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80" w:type="dxa"/>
            <w:shd w:val="clear" w:color="auto" w:fill="auto"/>
            <w:vAlign w:val="center"/>
          </w:tcPr>
          <w:p w14:paraId="41EA76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742609C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w:t>
            </w:r>
          </w:p>
        </w:tc>
        <w:tc>
          <w:tcPr>
            <w:tcW w:w="1785" w:type="dxa"/>
            <w:shd w:val="clear" w:color="auto" w:fill="auto"/>
            <w:vAlign w:val="center"/>
          </w:tcPr>
          <w:p w14:paraId="6C957C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250mm混凝土</w:t>
            </w:r>
          </w:p>
        </w:tc>
        <w:tc>
          <w:tcPr>
            <w:tcW w:w="1170" w:type="dxa"/>
            <w:shd w:val="clear" w:color="auto" w:fill="auto"/>
            <w:vAlign w:val="center"/>
          </w:tcPr>
          <w:p w14:paraId="4C1350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5.34E-03</w:t>
            </w:r>
          </w:p>
        </w:tc>
        <w:tc>
          <w:tcPr>
            <w:tcW w:w="1335" w:type="dxa"/>
            <w:shd w:val="clear" w:color="auto" w:fill="auto"/>
            <w:vAlign w:val="center"/>
          </w:tcPr>
          <w:p w14:paraId="4326C1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3.70E-03</w:t>
            </w:r>
          </w:p>
        </w:tc>
        <w:tc>
          <w:tcPr>
            <w:tcW w:w="930" w:type="dxa"/>
            <w:shd w:val="clear" w:color="auto" w:fill="auto"/>
            <w:vAlign w:val="center"/>
          </w:tcPr>
          <w:p w14:paraId="3D3F4F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2625</w:t>
            </w:r>
          </w:p>
        </w:tc>
        <w:tc>
          <w:tcPr>
            <w:tcW w:w="825" w:type="dxa"/>
            <w:shd w:val="clear" w:color="auto" w:fill="auto"/>
            <w:vAlign w:val="center"/>
          </w:tcPr>
          <w:p w14:paraId="65F70D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125E8A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2.43E-03</w:t>
            </w:r>
          </w:p>
        </w:tc>
      </w:tr>
      <w:tr w14:paraId="1392EE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1D5662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89</w:t>
            </w:r>
            <w:r>
              <w:rPr>
                <w:rFonts w:hint="default" w:ascii="Times New Roman" w:hAnsi="Times New Roman" w:eastAsia="宋体" w:cs="Times New Roman"/>
                <w:i w:val="0"/>
                <w:iCs w:val="0"/>
                <w:color w:val="000000"/>
                <w:kern w:val="0"/>
                <w:sz w:val="21"/>
                <w:szCs w:val="21"/>
                <w:u w:val="none"/>
                <w:lang w:val="en-US" w:eastAsia="zh-CN" w:bidi="ar"/>
              </w:rPr>
              <w:t>Sr</w:t>
            </w:r>
          </w:p>
        </w:tc>
        <w:tc>
          <w:tcPr>
            <w:tcW w:w="1590" w:type="dxa"/>
            <w:shd w:val="clear" w:color="auto" w:fill="auto"/>
            <w:vAlign w:val="center"/>
          </w:tcPr>
          <w:p w14:paraId="0E8446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413F5A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分装室2#</w:t>
            </w:r>
          </w:p>
        </w:tc>
        <w:tc>
          <w:tcPr>
            <w:tcW w:w="1110" w:type="dxa"/>
            <w:shd w:val="clear" w:color="auto" w:fill="auto"/>
            <w:vAlign w:val="center"/>
          </w:tcPr>
          <w:p w14:paraId="0C74A7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1080" w:type="dxa"/>
            <w:shd w:val="clear" w:color="auto" w:fill="auto"/>
            <w:vAlign w:val="center"/>
          </w:tcPr>
          <w:p w14:paraId="77C71B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469AFB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85" w:type="dxa"/>
            <w:shd w:val="clear" w:color="auto" w:fill="auto"/>
            <w:vAlign w:val="center"/>
          </w:tcPr>
          <w:p w14:paraId="0CCCFC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120mm混凝土</w:t>
            </w:r>
          </w:p>
        </w:tc>
        <w:tc>
          <w:tcPr>
            <w:tcW w:w="1170" w:type="dxa"/>
            <w:shd w:val="clear" w:color="auto" w:fill="auto"/>
            <w:vAlign w:val="center"/>
          </w:tcPr>
          <w:p w14:paraId="038425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3.55E-02</w:t>
            </w:r>
          </w:p>
        </w:tc>
        <w:tc>
          <w:tcPr>
            <w:tcW w:w="1335" w:type="dxa"/>
            <w:shd w:val="clear" w:color="auto" w:fill="auto"/>
            <w:vAlign w:val="center"/>
          </w:tcPr>
          <w:p w14:paraId="07EE54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2.95E-05</w:t>
            </w:r>
          </w:p>
        </w:tc>
        <w:tc>
          <w:tcPr>
            <w:tcW w:w="930" w:type="dxa"/>
            <w:shd w:val="clear" w:color="auto" w:fill="auto"/>
            <w:vAlign w:val="center"/>
          </w:tcPr>
          <w:p w14:paraId="3010DF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825" w:type="dxa"/>
            <w:shd w:val="clear" w:color="auto" w:fill="auto"/>
            <w:vAlign w:val="center"/>
          </w:tcPr>
          <w:p w14:paraId="5C6CE5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40B9EA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7.67E-08</w:t>
            </w:r>
          </w:p>
        </w:tc>
      </w:tr>
      <w:tr w14:paraId="57F2FF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67708C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89</w:t>
            </w:r>
            <w:r>
              <w:rPr>
                <w:rFonts w:hint="default" w:ascii="Times New Roman" w:hAnsi="Times New Roman" w:eastAsia="宋体" w:cs="Times New Roman"/>
                <w:i w:val="0"/>
                <w:iCs w:val="0"/>
                <w:color w:val="000000"/>
                <w:kern w:val="0"/>
                <w:sz w:val="21"/>
                <w:szCs w:val="21"/>
                <w:u w:val="none"/>
                <w:lang w:val="en-US" w:eastAsia="zh-CN" w:bidi="ar"/>
              </w:rPr>
              <w:t>Sr</w:t>
            </w:r>
          </w:p>
        </w:tc>
        <w:tc>
          <w:tcPr>
            <w:tcW w:w="1590" w:type="dxa"/>
            <w:shd w:val="clear" w:color="auto" w:fill="auto"/>
            <w:vAlign w:val="center"/>
          </w:tcPr>
          <w:p w14:paraId="2D77F2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62E602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Sr-89注射室</w:t>
            </w:r>
          </w:p>
        </w:tc>
        <w:tc>
          <w:tcPr>
            <w:tcW w:w="1110" w:type="dxa"/>
            <w:shd w:val="clear" w:color="auto" w:fill="auto"/>
            <w:vAlign w:val="center"/>
          </w:tcPr>
          <w:p w14:paraId="27B191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1080" w:type="dxa"/>
            <w:shd w:val="clear" w:color="auto" w:fill="auto"/>
            <w:vAlign w:val="center"/>
          </w:tcPr>
          <w:p w14:paraId="7CDBFC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0843F8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85" w:type="dxa"/>
            <w:shd w:val="clear" w:color="auto" w:fill="auto"/>
            <w:vAlign w:val="center"/>
          </w:tcPr>
          <w:p w14:paraId="4E20F8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120mm混凝土</w:t>
            </w:r>
          </w:p>
        </w:tc>
        <w:tc>
          <w:tcPr>
            <w:tcW w:w="1170" w:type="dxa"/>
            <w:shd w:val="clear" w:color="auto" w:fill="auto"/>
            <w:vAlign w:val="center"/>
          </w:tcPr>
          <w:p w14:paraId="4E0A0C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3.55E-02</w:t>
            </w:r>
          </w:p>
        </w:tc>
        <w:tc>
          <w:tcPr>
            <w:tcW w:w="1335" w:type="dxa"/>
            <w:shd w:val="clear" w:color="auto" w:fill="auto"/>
            <w:vAlign w:val="center"/>
          </w:tcPr>
          <w:p w14:paraId="2FF106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2.95E-05</w:t>
            </w:r>
          </w:p>
        </w:tc>
        <w:tc>
          <w:tcPr>
            <w:tcW w:w="930" w:type="dxa"/>
            <w:shd w:val="clear" w:color="auto" w:fill="auto"/>
            <w:vAlign w:val="center"/>
          </w:tcPr>
          <w:p w14:paraId="306075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825" w:type="dxa"/>
            <w:shd w:val="clear" w:color="auto" w:fill="auto"/>
            <w:vAlign w:val="center"/>
          </w:tcPr>
          <w:p w14:paraId="26886D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2BCE9E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7.67E-08</w:t>
            </w:r>
          </w:p>
        </w:tc>
      </w:tr>
      <w:tr w14:paraId="7564C0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 w:type="dxa"/>
            <w:shd w:val="clear" w:color="auto" w:fill="auto"/>
            <w:vAlign w:val="center"/>
          </w:tcPr>
          <w:p w14:paraId="41C99D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590" w:type="dxa"/>
            <w:shd w:val="clear" w:color="auto" w:fill="auto"/>
            <w:vAlign w:val="center"/>
          </w:tcPr>
          <w:p w14:paraId="1A8080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2B20D7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I-131服药室</w:t>
            </w:r>
          </w:p>
        </w:tc>
        <w:tc>
          <w:tcPr>
            <w:tcW w:w="1110" w:type="dxa"/>
            <w:shd w:val="clear" w:color="auto" w:fill="auto"/>
            <w:vAlign w:val="center"/>
          </w:tcPr>
          <w:p w14:paraId="0E6BEA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080" w:type="dxa"/>
            <w:shd w:val="clear" w:color="auto" w:fill="auto"/>
            <w:vAlign w:val="center"/>
          </w:tcPr>
          <w:p w14:paraId="6F9EA6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43A16A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0.0595</w:t>
            </w:r>
          </w:p>
        </w:tc>
        <w:tc>
          <w:tcPr>
            <w:tcW w:w="1785" w:type="dxa"/>
            <w:shd w:val="clear" w:color="auto" w:fill="auto"/>
            <w:vAlign w:val="center"/>
          </w:tcPr>
          <w:p w14:paraId="6FB3B0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120mm混凝土</w:t>
            </w:r>
          </w:p>
        </w:tc>
        <w:tc>
          <w:tcPr>
            <w:tcW w:w="1170" w:type="dxa"/>
            <w:shd w:val="clear" w:color="auto" w:fill="auto"/>
            <w:vAlign w:val="center"/>
          </w:tcPr>
          <w:p w14:paraId="5816E8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1.97E-01</w:t>
            </w:r>
          </w:p>
        </w:tc>
        <w:tc>
          <w:tcPr>
            <w:tcW w:w="1335" w:type="dxa"/>
            <w:shd w:val="clear" w:color="auto" w:fill="auto"/>
            <w:vAlign w:val="center"/>
          </w:tcPr>
          <w:p w14:paraId="7896F7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3.93E-01</w:t>
            </w:r>
          </w:p>
        </w:tc>
        <w:tc>
          <w:tcPr>
            <w:tcW w:w="930" w:type="dxa"/>
            <w:shd w:val="clear" w:color="auto" w:fill="auto"/>
            <w:vAlign w:val="center"/>
          </w:tcPr>
          <w:p w14:paraId="07A14A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825" w:type="dxa"/>
            <w:shd w:val="clear" w:color="auto" w:fill="auto"/>
            <w:vAlign w:val="center"/>
          </w:tcPr>
          <w:p w14:paraId="1E19E6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7D6858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4.08E-03</w:t>
            </w:r>
          </w:p>
        </w:tc>
      </w:tr>
      <w:tr w14:paraId="701837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880" w:type="dxa"/>
            <w:shd w:val="clear" w:color="auto" w:fill="auto"/>
            <w:vAlign w:val="center"/>
          </w:tcPr>
          <w:p w14:paraId="6CC0F28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vertAlign w:val="superscript"/>
                <w:lang w:val="en-US" w:eastAsia="zh-CN" w:bidi="ar"/>
              </w:rPr>
              <w:t>131</w:t>
            </w:r>
            <w:r>
              <w:rPr>
                <w:rFonts w:hint="default" w:ascii="Times New Roman" w:hAnsi="Times New Roman" w:eastAsia="宋体" w:cs="Times New Roman"/>
                <w:i w:val="0"/>
                <w:iCs w:val="0"/>
                <w:color w:val="000000"/>
                <w:kern w:val="0"/>
                <w:sz w:val="21"/>
                <w:szCs w:val="21"/>
                <w:u w:val="none"/>
                <w:lang w:val="en-US" w:eastAsia="zh-CN" w:bidi="ar"/>
              </w:rPr>
              <w:t>I</w:t>
            </w:r>
          </w:p>
        </w:tc>
        <w:tc>
          <w:tcPr>
            <w:tcW w:w="1590" w:type="dxa"/>
            <w:shd w:val="clear" w:color="auto" w:fill="auto"/>
            <w:vAlign w:val="center"/>
          </w:tcPr>
          <w:p w14:paraId="3029E9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楼下负二层地下车库</w:t>
            </w:r>
          </w:p>
        </w:tc>
        <w:tc>
          <w:tcPr>
            <w:tcW w:w="1245" w:type="dxa"/>
            <w:shd w:val="clear" w:color="auto" w:fill="auto"/>
            <w:vAlign w:val="center"/>
          </w:tcPr>
          <w:p w14:paraId="785BDF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日间留观室</w:t>
            </w:r>
          </w:p>
        </w:tc>
        <w:tc>
          <w:tcPr>
            <w:tcW w:w="1110" w:type="dxa"/>
            <w:shd w:val="clear" w:color="auto" w:fill="auto"/>
            <w:vAlign w:val="center"/>
          </w:tcPr>
          <w:p w14:paraId="704A83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2220</w:t>
            </w:r>
          </w:p>
        </w:tc>
        <w:tc>
          <w:tcPr>
            <w:tcW w:w="1080" w:type="dxa"/>
            <w:shd w:val="clear" w:color="auto" w:fill="auto"/>
            <w:vAlign w:val="center"/>
          </w:tcPr>
          <w:p w14:paraId="5DF34A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1710" w:type="dxa"/>
            <w:shd w:val="clear" w:color="auto" w:fill="auto"/>
            <w:vAlign w:val="center"/>
          </w:tcPr>
          <w:p w14:paraId="7DE511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0.0583</w:t>
            </w:r>
          </w:p>
        </w:tc>
        <w:tc>
          <w:tcPr>
            <w:tcW w:w="1785" w:type="dxa"/>
            <w:shd w:val="clear" w:color="auto" w:fill="auto"/>
            <w:vAlign w:val="center"/>
          </w:tcPr>
          <w:p w14:paraId="7EFA3F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120mm混凝土</w:t>
            </w:r>
          </w:p>
        </w:tc>
        <w:tc>
          <w:tcPr>
            <w:tcW w:w="1170" w:type="dxa"/>
            <w:shd w:val="clear" w:color="auto" w:fill="auto"/>
            <w:vAlign w:val="center"/>
          </w:tcPr>
          <w:p w14:paraId="004E36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4.67E-02</w:t>
            </w:r>
          </w:p>
        </w:tc>
        <w:tc>
          <w:tcPr>
            <w:tcW w:w="1335" w:type="dxa"/>
            <w:shd w:val="clear" w:color="auto" w:fill="auto"/>
            <w:vAlign w:val="center"/>
          </w:tcPr>
          <w:p w14:paraId="080871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2.74E-01</w:t>
            </w:r>
          </w:p>
        </w:tc>
        <w:tc>
          <w:tcPr>
            <w:tcW w:w="930" w:type="dxa"/>
            <w:shd w:val="clear" w:color="auto" w:fill="auto"/>
            <w:vAlign w:val="center"/>
          </w:tcPr>
          <w:p w14:paraId="2B0435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416.7</w:t>
            </w:r>
          </w:p>
        </w:tc>
        <w:tc>
          <w:tcPr>
            <w:tcW w:w="825" w:type="dxa"/>
            <w:shd w:val="clear" w:color="auto" w:fill="auto"/>
            <w:vAlign w:val="center"/>
          </w:tcPr>
          <w:p w14:paraId="67472B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215" w:type="dxa"/>
            <w:shd w:val="clear" w:color="auto" w:fill="auto"/>
            <w:vAlign w:val="center"/>
          </w:tcPr>
          <w:p w14:paraId="116BEE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9.50E-03</w:t>
            </w:r>
          </w:p>
        </w:tc>
      </w:tr>
    </w:tbl>
    <w:p w14:paraId="74B75E4F">
      <w:pPr>
        <w:spacing w:line="240" w:lineRule="auto"/>
        <w:rPr>
          <w:sz w:val="21"/>
          <w:szCs w:val="21"/>
        </w:rPr>
        <w:sectPr>
          <w:pgSz w:w="16839" w:h="11907" w:orient="landscape"/>
          <w:pgMar w:top="1440" w:right="1106" w:bottom="1440" w:left="1276" w:header="851" w:footer="567" w:gutter="0"/>
          <w:pgBorders>
            <w:top w:val="none" w:sz="0" w:space="0"/>
            <w:left w:val="none" w:sz="0" w:space="0"/>
            <w:bottom w:val="none" w:sz="0" w:space="0"/>
            <w:right w:val="none" w:sz="0" w:space="0"/>
          </w:pgBorders>
          <w:cols w:space="720" w:num="1"/>
          <w:docGrid w:linePitch="360" w:charSpace="0"/>
        </w:sectPr>
      </w:pPr>
      <w:r>
        <w:rPr>
          <w:rFonts w:eastAsia="黑体"/>
          <w:sz w:val="21"/>
          <w:szCs w:val="21"/>
          <w:highlight w:val="none"/>
          <w:lang w:bidi="ar"/>
        </w:rPr>
        <w:t>注：</w:t>
      </w:r>
      <w:r>
        <w:rPr>
          <w:rFonts w:eastAsia="黑体"/>
          <w:sz w:val="21"/>
          <w:szCs w:val="21"/>
          <w:highlight w:val="none"/>
        </w:rPr>
        <w:t>①</w:t>
      </w:r>
      <w:r>
        <w:rPr>
          <w:rFonts w:eastAsia="黑体"/>
          <w:bCs/>
          <w:sz w:val="21"/>
          <w:szCs w:val="21"/>
          <w:highlight w:val="none"/>
        </w:rPr>
        <w:t>负一层</w:t>
      </w:r>
      <w:r>
        <w:rPr>
          <w:rFonts w:hint="eastAsia" w:eastAsia="黑体"/>
          <w:bCs/>
          <w:sz w:val="21"/>
          <w:szCs w:val="21"/>
          <w:highlight w:val="none"/>
          <w:lang w:val="en-US" w:eastAsia="zh-CN"/>
        </w:rPr>
        <w:t>核医学科</w:t>
      </w:r>
      <w:r>
        <w:rPr>
          <w:rFonts w:eastAsia="黑体"/>
          <w:bCs/>
          <w:sz w:val="21"/>
          <w:szCs w:val="21"/>
          <w:highlight w:val="none"/>
        </w:rPr>
        <w:t>楼下区域为</w:t>
      </w:r>
      <w:r>
        <w:rPr>
          <w:rFonts w:hint="eastAsia" w:eastAsia="黑体"/>
          <w:bCs/>
          <w:sz w:val="21"/>
          <w:szCs w:val="21"/>
          <w:highlight w:val="none"/>
          <w:lang w:val="en-US" w:eastAsia="zh-CN"/>
        </w:rPr>
        <w:t>地下车库，楼上为放射科诊疗项目，不存在本项目职业人员</w:t>
      </w:r>
      <w:r>
        <w:rPr>
          <w:rFonts w:eastAsia="黑体"/>
          <w:bCs/>
          <w:sz w:val="21"/>
          <w:szCs w:val="21"/>
          <w:highlight w:val="none"/>
        </w:rPr>
        <w:t>，考虑为</w:t>
      </w:r>
      <w:r>
        <w:rPr>
          <w:rFonts w:eastAsia="黑体"/>
          <w:sz w:val="21"/>
          <w:szCs w:val="21"/>
          <w:highlight w:val="none"/>
        </w:rPr>
        <w:t>公众。②楼上一层</w:t>
      </w:r>
      <w:r>
        <w:rPr>
          <w:rFonts w:hint="eastAsia" w:eastAsia="黑体"/>
          <w:sz w:val="21"/>
          <w:szCs w:val="21"/>
          <w:highlight w:val="none"/>
          <w:lang w:val="en-US" w:eastAsia="zh-CN"/>
        </w:rPr>
        <w:t>放射科机房、患者通道、候诊厅等</w:t>
      </w:r>
      <w:r>
        <w:rPr>
          <w:rFonts w:eastAsia="黑体"/>
          <w:sz w:val="21"/>
          <w:szCs w:val="21"/>
          <w:highlight w:val="none"/>
        </w:rPr>
        <w:t>公众一般为单次诊疗或陪同，不会长期停留，因此居留因子取</w:t>
      </w:r>
      <w:r>
        <w:rPr>
          <w:rFonts w:eastAsia="黑体"/>
          <w:sz w:val="21"/>
          <w:szCs w:val="21"/>
          <w:highlight w:val="none"/>
          <w:lang w:bidi="ar"/>
        </w:rPr>
        <w:t>1/</w:t>
      </w:r>
      <w:r>
        <w:rPr>
          <w:rFonts w:hint="eastAsia" w:eastAsia="黑体"/>
          <w:sz w:val="21"/>
          <w:szCs w:val="21"/>
          <w:highlight w:val="none"/>
          <w:lang w:val="en-US" w:eastAsia="zh-CN" w:bidi="ar"/>
        </w:rPr>
        <w:t>4；楼下负二层地下停车科公众一般停留时间较短，因此居留因子取1/4</w:t>
      </w:r>
      <w:r>
        <w:rPr>
          <w:rFonts w:eastAsia="黑体"/>
          <w:sz w:val="21"/>
          <w:szCs w:val="21"/>
          <w:highlight w:val="none"/>
          <w:lang w:bidi="ar"/>
        </w:rPr>
        <w:t>。</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2"/>
      </w:tblGrid>
      <w:tr w14:paraId="27E3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9172" w:type="dxa"/>
          </w:tcPr>
          <w:p w14:paraId="39A9F748">
            <w:pPr>
              <w:ind w:firstLine="482"/>
              <w:rPr>
                <w:b/>
                <w:bCs/>
              </w:rPr>
            </w:pPr>
            <w:r>
              <w:rPr>
                <w:b/>
                <w:bCs/>
              </w:rPr>
              <w:fldChar w:fldCharType="begin"/>
            </w:r>
            <w:r>
              <w:rPr>
                <w:b/>
                <w:bCs/>
              </w:rPr>
              <w:instrText xml:space="preserve"> = 1 \* GB3 \* MERGEFORMAT </w:instrText>
            </w:r>
            <w:r>
              <w:rPr>
                <w:b/>
                <w:bCs/>
              </w:rPr>
              <w:fldChar w:fldCharType="separate"/>
            </w:r>
            <w:r>
              <w:rPr>
                <w:b/>
                <w:bCs/>
              </w:rPr>
              <w:t>①</w:t>
            </w:r>
            <w:r>
              <w:rPr>
                <w:b/>
                <w:bCs/>
              </w:rPr>
              <w:fldChar w:fldCharType="end"/>
            </w:r>
            <w:r>
              <w:rPr>
                <w:b/>
                <w:bCs/>
              </w:rPr>
              <w:t>职业人员</w:t>
            </w:r>
          </w:p>
          <w:p w14:paraId="4880654A">
            <w:pPr>
              <w:ind w:firstLine="480"/>
            </w:pPr>
            <w:r>
              <w:t>负一层</w:t>
            </w:r>
            <w:r>
              <w:rPr>
                <w:rFonts w:hint="eastAsia"/>
                <w:lang w:val="en-US" w:eastAsia="zh-CN"/>
              </w:rPr>
              <w:t>核医学科</w:t>
            </w:r>
            <w:r>
              <w:rPr>
                <w:lang w:bidi="ar"/>
              </w:rPr>
              <w:t>分药、测量活度</w:t>
            </w:r>
            <w:r>
              <w:rPr>
                <w:bCs/>
                <w:lang w:bidi="ar"/>
              </w:rPr>
              <w:t>、注射、摆位、显像过程需考虑职业人员照射</w:t>
            </w:r>
            <w:r>
              <w:t>。</w:t>
            </w:r>
          </w:p>
          <w:p w14:paraId="00BAA373">
            <w:pPr>
              <w:widowControl/>
              <w:spacing w:before="163" w:line="240" w:lineRule="auto"/>
              <w:jc w:val="center"/>
              <w:rPr>
                <w:rFonts w:eastAsia="黑体"/>
                <w:bCs/>
                <w:sz w:val="21"/>
                <w:szCs w:val="18"/>
              </w:rPr>
            </w:pPr>
            <w:r>
              <w:rPr>
                <w:rFonts w:eastAsia="黑体"/>
                <w:bCs/>
                <w:sz w:val="21"/>
                <w:szCs w:val="18"/>
              </w:rPr>
              <w:t>表11-</w:t>
            </w:r>
            <w:r>
              <w:rPr>
                <w:rFonts w:hint="eastAsia" w:eastAsia="黑体"/>
                <w:bCs/>
                <w:sz w:val="21"/>
                <w:szCs w:val="18"/>
                <w:lang w:val="en-US" w:eastAsia="zh-CN"/>
              </w:rPr>
              <w:t>9</w:t>
            </w:r>
            <w:r>
              <w:rPr>
                <w:rFonts w:eastAsia="黑体"/>
                <w:bCs/>
                <w:sz w:val="21"/>
                <w:szCs w:val="18"/>
              </w:rPr>
              <w:t xml:space="preserve">  负一层</w:t>
            </w:r>
            <w:r>
              <w:rPr>
                <w:rFonts w:hint="eastAsia" w:eastAsia="黑体"/>
                <w:bCs/>
                <w:sz w:val="21"/>
                <w:szCs w:val="18"/>
                <w:lang w:val="en-US" w:eastAsia="zh-CN"/>
              </w:rPr>
              <w:t>核医学科</w:t>
            </w:r>
            <w:r>
              <w:rPr>
                <w:rFonts w:eastAsia="黑体"/>
                <w:bCs/>
                <w:sz w:val="21"/>
                <w:szCs w:val="18"/>
              </w:rPr>
              <w:t>职业人员年受照剂量计算表</w:t>
            </w:r>
          </w:p>
          <w:tbl>
            <w:tblPr>
              <w:tblStyle w:val="57"/>
              <w:tblW w:w="503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2872"/>
              <w:gridCol w:w="701"/>
              <w:gridCol w:w="1374"/>
              <w:gridCol w:w="1116"/>
              <w:gridCol w:w="1650"/>
            </w:tblGrid>
            <w:tr w14:paraId="54B430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23" w:type="pct"/>
                  <w:vAlign w:val="center"/>
                </w:tcPr>
                <w:p w14:paraId="131D24E8">
                  <w:pPr>
                    <w:keepNext w:val="0"/>
                    <w:keepLines w:val="0"/>
                    <w:pageBreakBefore w:val="0"/>
                    <w:kinsoku/>
                    <w:wordWrap/>
                    <w:overflowPunct/>
                    <w:topLinePunct w:val="0"/>
                    <w:autoSpaceDE/>
                    <w:autoSpaceDN/>
                    <w:bidi w:val="0"/>
                    <w:adjustRightInd/>
                    <w:snapToGrid/>
                    <w:spacing w:line="360" w:lineRule="exact"/>
                    <w:jc w:val="center"/>
                    <w:rPr>
                      <w:b/>
                      <w:bCs w:val="0"/>
                      <w:sz w:val="21"/>
                      <w:szCs w:val="21"/>
                    </w:rPr>
                  </w:pPr>
                  <w:r>
                    <w:rPr>
                      <w:b/>
                      <w:bCs w:val="0"/>
                      <w:sz w:val="21"/>
                      <w:szCs w:val="21"/>
                    </w:rPr>
                    <w:t>保护目标</w:t>
                  </w:r>
                </w:p>
              </w:tc>
              <w:tc>
                <w:tcPr>
                  <w:tcW w:w="1592" w:type="pct"/>
                  <w:vAlign w:val="center"/>
                </w:tcPr>
                <w:p w14:paraId="601D9F9D">
                  <w:pPr>
                    <w:keepNext w:val="0"/>
                    <w:keepLines w:val="0"/>
                    <w:pageBreakBefore w:val="0"/>
                    <w:kinsoku/>
                    <w:wordWrap/>
                    <w:overflowPunct/>
                    <w:topLinePunct w:val="0"/>
                    <w:autoSpaceDE/>
                    <w:autoSpaceDN/>
                    <w:bidi w:val="0"/>
                    <w:adjustRightInd/>
                    <w:snapToGrid/>
                    <w:spacing w:line="360" w:lineRule="exact"/>
                    <w:jc w:val="center"/>
                    <w:rPr>
                      <w:b/>
                      <w:bCs w:val="0"/>
                      <w:sz w:val="21"/>
                      <w:szCs w:val="21"/>
                    </w:rPr>
                  </w:pPr>
                  <w:r>
                    <w:rPr>
                      <w:b/>
                      <w:bCs w:val="0"/>
                      <w:sz w:val="21"/>
                      <w:szCs w:val="21"/>
                    </w:rPr>
                    <w:t>操作项目</w:t>
                  </w:r>
                </w:p>
              </w:tc>
              <w:tc>
                <w:tcPr>
                  <w:tcW w:w="388" w:type="pct"/>
                  <w:vAlign w:val="center"/>
                </w:tcPr>
                <w:p w14:paraId="6B812C60">
                  <w:pPr>
                    <w:keepNext w:val="0"/>
                    <w:keepLines w:val="0"/>
                    <w:pageBreakBefore w:val="0"/>
                    <w:kinsoku/>
                    <w:wordWrap/>
                    <w:overflowPunct/>
                    <w:topLinePunct w:val="0"/>
                    <w:autoSpaceDE/>
                    <w:autoSpaceDN/>
                    <w:bidi w:val="0"/>
                    <w:adjustRightInd/>
                    <w:snapToGrid/>
                    <w:spacing w:line="360" w:lineRule="exact"/>
                    <w:jc w:val="center"/>
                    <w:rPr>
                      <w:b/>
                      <w:bCs w:val="0"/>
                      <w:sz w:val="21"/>
                      <w:szCs w:val="21"/>
                    </w:rPr>
                  </w:pPr>
                  <w:r>
                    <w:rPr>
                      <w:b/>
                      <w:bCs w:val="0"/>
                      <w:sz w:val="21"/>
                      <w:szCs w:val="21"/>
                    </w:rPr>
                    <w:t>核素</w:t>
                  </w:r>
                </w:p>
              </w:tc>
              <w:tc>
                <w:tcPr>
                  <w:tcW w:w="761" w:type="pct"/>
                  <w:vAlign w:val="center"/>
                </w:tcPr>
                <w:p w14:paraId="55905B68">
                  <w:pPr>
                    <w:keepNext w:val="0"/>
                    <w:keepLines w:val="0"/>
                    <w:pageBreakBefore w:val="0"/>
                    <w:kinsoku/>
                    <w:wordWrap/>
                    <w:overflowPunct/>
                    <w:topLinePunct w:val="0"/>
                    <w:autoSpaceDE/>
                    <w:autoSpaceDN/>
                    <w:bidi w:val="0"/>
                    <w:adjustRightInd/>
                    <w:snapToGrid/>
                    <w:spacing w:line="360" w:lineRule="exact"/>
                    <w:jc w:val="center"/>
                    <w:rPr>
                      <w:b/>
                      <w:bCs w:val="0"/>
                      <w:sz w:val="21"/>
                      <w:szCs w:val="21"/>
                    </w:rPr>
                  </w:pPr>
                  <w:r>
                    <w:rPr>
                      <w:b/>
                      <w:bCs w:val="0"/>
                      <w:sz w:val="21"/>
                      <w:szCs w:val="21"/>
                    </w:rPr>
                    <w:t>年受照剂量（mSv/a）</w:t>
                  </w:r>
                </w:p>
              </w:tc>
              <w:tc>
                <w:tcPr>
                  <w:tcW w:w="618" w:type="pct"/>
                  <w:vAlign w:val="center"/>
                </w:tcPr>
                <w:p w14:paraId="1E0F7A6D">
                  <w:pPr>
                    <w:keepNext w:val="0"/>
                    <w:keepLines w:val="0"/>
                    <w:pageBreakBefore w:val="0"/>
                    <w:kinsoku/>
                    <w:wordWrap/>
                    <w:overflowPunct/>
                    <w:topLinePunct w:val="0"/>
                    <w:autoSpaceDE/>
                    <w:autoSpaceDN/>
                    <w:bidi w:val="0"/>
                    <w:adjustRightInd/>
                    <w:snapToGrid/>
                    <w:spacing w:line="360" w:lineRule="exact"/>
                    <w:jc w:val="center"/>
                    <w:rPr>
                      <w:b/>
                      <w:bCs w:val="0"/>
                      <w:sz w:val="21"/>
                      <w:szCs w:val="21"/>
                    </w:rPr>
                  </w:pPr>
                  <w:r>
                    <w:rPr>
                      <w:b/>
                      <w:bCs w:val="0"/>
                      <w:sz w:val="21"/>
                      <w:szCs w:val="21"/>
                    </w:rPr>
                    <w:t>操作人数（人）</w:t>
                  </w:r>
                </w:p>
              </w:tc>
              <w:tc>
                <w:tcPr>
                  <w:tcW w:w="914" w:type="pct"/>
                  <w:vAlign w:val="center"/>
                </w:tcPr>
                <w:p w14:paraId="52D872AD">
                  <w:pPr>
                    <w:keepNext w:val="0"/>
                    <w:keepLines w:val="0"/>
                    <w:pageBreakBefore w:val="0"/>
                    <w:kinsoku/>
                    <w:wordWrap/>
                    <w:overflowPunct/>
                    <w:topLinePunct w:val="0"/>
                    <w:autoSpaceDE/>
                    <w:autoSpaceDN/>
                    <w:bidi w:val="0"/>
                    <w:adjustRightInd/>
                    <w:snapToGrid/>
                    <w:spacing w:line="360" w:lineRule="exact"/>
                    <w:jc w:val="center"/>
                    <w:rPr>
                      <w:b/>
                      <w:bCs w:val="0"/>
                      <w:sz w:val="21"/>
                      <w:szCs w:val="21"/>
                    </w:rPr>
                  </w:pPr>
                  <w:r>
                    <w:rPr>
                      <w:b/>
                      <w:bCs w:val="0"/>
                      <w:sz w:val="21"/>
                      <w:szCs w:val="21"/>
                    </w:rPr>
                    <w:t>年受照</w:t>
                  </w:r>
                  <w:r>
                    <w:rPr>
                      <w:rFonts w:hint="eastAsia"/>
                      <w:b/>
                      <w:bCs w:val="0"/>
                      <w:sz w:val="21"/>
                      <w:szCs w:val="21"/>
                      <w:lang w:val="en-US" w:eastAsia="zh-CN"/>
                    </w:rPr>
                    <w:t>总</w:t>
                  </w:r>
                  <w:r>
                    <w:rPr>
                      <w:b/>
                      <w:bCs w:val="0"/>
                      <w:sz w:val="21"/>
                      <w:szCs w:val="21"/>
                    </w:rPr>
                    <w:t>剂量（mSv/a）</w:t>
                  </w:r>
                </w:p>
              </w:tc>
            </w:tr>
            <w:tr w14:paraId="0C7676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restart"/>
                  <w:vAlign w:val="center"/>
                </w:tcPr>
                <w:p w14:paraId="1FC2615A">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bCs/>
                      <w:sz w:val="21"/>
                      <w:szCs w:val="21"/>
                    </w:rPr>
                    <w:t>分装室</w:t>
                  </w:r>
                  <w:r>
                    <w:rPr>
                      <w:rFonts w:hint="eastAsia"/>
                      <w:bCs/>
                      <w:sz w:val="21"/>
                      <w:szCs w:val="21"/>
                      <w:lang w:val="en-US" w:eastAsia="zh-CN"/>
                    </w:rPr>
                    <w:t>1#</w:t>
                  </w:r>
                  <w:r>
                    <w:rPr>
                      <w:bCs/>
                      <w:sz w:val="21"/>
                      <w:szCs w:val="21"/>
                    </w:rPr>
                    <w:t>工作人员</w:t>
                  </w:r>
                </w:p>
              </w:tc>
              <w:tc>
                <w:tcPr>
                  <w:tcW w:w="1592" w:type="pct"/>
                  <w:shd w:val="clear" w:color="auto" w:fill="auto"/>
                  <w:vAlign w:val="center"/>
                </w:tcPr>
                <w:p w14:paraId="7F1D8AD7">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分药、测量活度（分装室</w:t>
                  </w:r>
                  <w:r>
                    <w:rPr>
                      <w:rFonts w:hint="eastAsia"/>
                      <w:bCs/>
                      <w:spacing w:val="-6"/>
                      <w:sz w:val="21"/>
                      <w:szCs w:val="21"/>
                      <w:lang w:val="en-US" w:eastAsia="zh-CN"/>
                    </w:rPr>
                    <w:t>1#</w:t>
                  </w:r>
                  <w:r>
                    <w:rPr>
                      <w:bCs/>
                      <w:spacing w:val="-6"/>
                      <w:sz w:val="21"/>
                      <w:szCs w:val="21"/>
                    </w:rPr>
                    <w:t>）</w:t>
                  </w:r>
                </w:p>
              </w:tc>
              <w:tc>
                <w:tcPr>
                  <w:tcW w:w="388" w:type="pct"/>
                  <w:vMerge w:val="restart"/>
                  <w:vAlign w:val="center"/>
                </w:tcPr>
                <w:p w14:paraId="2B644F72">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bCs/>
                      <w:sz w:val="21"/>
                      <w:szCs w:val="21"/>
                      <w:vertAlign w:val="superscript"/>
                    </w:rPr>
                    <w:t>18</w:t>
                  </w:r>
                  <w:r>
                    <w:rPr>
                      <w:bCs/>
                      <w:sz w:val="21"/>
                      <w:szCs w:val="21"/>
                    </w:rPr>
                    <w:t>F</w:t>
                  </w:r>
                </w:p>
              </w:tc>
              <w:tc>
                <w:tcPr>
                  <w:tcW w:w="761" w:type="pct"/>
                  <w:vAlign w:val="center"/>
                </w:tcPr>
                <w:p w14:paraId="42488D46">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r>
                    <w:rPr>
                      <w:sz w:val="21"/>
                      <w:szCs w:val="21"/>
                      <w:lang w:bidi="ar"/>
                    </w:rPr>
                    <w:t>1.04</w:t>
                  </w:r>
                </w:p>
              </w:tc>
              <w:tc>
                <w:tcPr>
                  <w:tcW w:w="618" w:type="pct"/>
                  <w:vMerge w:val="restart"/>
                  <w:vAlign w:val="center"/>
                </w:tcPr>
                <w:p w14:paraId="74608D7E">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bCs/>
                      <w:sz w:val="21"/>
                      <w:szCs w:val="21"/>
                    </w:rPr>
                    <w:t>2</w:t>
                  </w:r>
                </w:p>
              </w:tc>
              <w:tc>
                <w:tcPr>
                  <w:tcW w:w="914" w:type="pct"/>
                  <w:vMerge w:val="restart"/>
                  <w:vAlign w:val="center"/>
                </w:tcPr>
                <w:p w14:paraId="37211D86">
                  <w:pPr>
                    <w:keepNext w:val="0"/>
                    <w:keepLines w:val="0"/>
                    <w:pageBreakBefore w:val="0"/>
                    <w:widowControl/>
                    <w:kinsoku/>
                    <w:wordWrap/>
                    <w:overflowPunct/>
                    <w:topLinePunct w:val="0"/>
                    <w:autoSpaceDE/>
                    <w:autoSpaceDN/>
                    <w:bidi w:val="0"/>
                    <w:adjustRightInd/>
                    <w:snapToGrid/>
                    <w:spacing w:line="360" w:lineRule="exact"/>
                    <w:jc w:val="center"/>
                    <w:textAlignment w:val="center"/>
                    <w:rPr>
                      <w:sz w:val="21"/>
                      <w:szCs w:val="21"/>
                    </w:rPr>
                  </w:pPr>
                  <w:r>
                    <w:rPr>
                      <w:sz w:val="21"/>
                      <w:szCs w:val="21"/>
                      <w:lang w:bidi="ar"/>
                    </w:rPr>
                    <w:t>5.58E-01</w:t>
                  </w:r>
                </w:p>
              </w:tc>
            </w:tr>
            <w:tr w14:paraId="36EFDD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37A03D51">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2C29A6DF">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注射（</w:t>
                  </w:r>
                  <w:r>
                    <w:rPr>
                      <w:rFonts w:hint="eastAsia"/>
                      <w:bCs/>
                      <w:spacing w:val="-6"/>
                      <w:sz w:val="21"/>
                      <w:szCs w:val="21"/>
                      <w:lang w:val="en-US" w:eastAsia="zh-CN"/>
                    </w:rPr>
                    <w:t>PET</w:t>
                  </w:r>
                  <w:r>
                    <w:rPr>
                      <w:bCs/>
                      <w:spacing w:val="-6"/>
                      <w:sz w:val="21"/>
                      <w:szCs w:val="21"/>
                    </w:rPr>
                    <w:t>注射室）</w:t>
                  </w:r>
                </w:p>
              </w:tc>
              <w:tc>
                <w:tcPr>
                  <w:tcW w:w="388" w:type="pct"/>
                  <w:vMerge w:val="continue"/>
                  <w:vAlign w:val="center"/>
                </w:tcPr>
                <w:p w14:paraId="251ED58D">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761" w:type="pct"/>
                  <w:vAlign w:val="center"/>
                </w:tcPr>
                <w:p w14:paraId="2AF340A4">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r>
                    <w:rPr>
                      <w:sz w:val="21"/>
                      <w:szCs w:val="21"/>
                      <w:lang w:bidi="ar"/>
                    </w:rPr>
                    <w:t>1.04E-02</w:t>
                  </w:r>
                </w:p>
              </w:tc>
              <w:tc>
                <w:tcPr>
                  <w:tcW w:w="618" w:type="pct"/>
                  <w:vMerge w:val="continue"/>
                  <w:vAlign w:val="center"/>
                </w:tcPr>
                <w:p w14:paraId="510392D1">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914" w:type="pct"/>
                  <w:vMerge w:val="continue"/>
                  <w:vAlign w:val="center"/>
                </w:tcPr>
                <w:p w14:paraId="11244175">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0C3A4D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2B18FEB6">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1EFC720E">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分药、测量活度（分装室</w:t>
                  </w:r>
                  <w:r>
                    <w:rPr>
                      <w:rFonts w:hint="eastAsia"/>
                      <w:bCs/>
                      <w:spacing w:val="-6"/>
                      <w:sz w:val="21"/>
                      <w:szCs w:val="21"/>
                      <w:lang w:val="en-US" w:eastAsia="zh-CN"/>
                    </w:rPr>
                    <w:t>1#</w:t>
                  </w:r>
                  <w:r>
                    <w:rPr>
                      <w:bCs/>
                      <w:spacing w:val="-6"/>
                      <w:sz w:val="21"/>
                      <w:szCs w:val="21"/>
                    </w:rPr>
                    <w:t>）</w:t>
                  </w:r>
                </w:p>
              </w:tc>
              <w:tc>
                <w:tcPr>
                  <w:tcW w:w="388" w:type="pct"/>
                  <w:vMerge w:val="restart"/>
                  <w:vAlign w:val="center"/>
                </w:tcPr>
                <w:p w14:paraId="35094D47">
                  <w:pPr>
                    <w:keepNext w:val="0"/>
                    <w:keepLines w:val="0"/>
                    <w:pageBreakBefore w:val="0"/>
                    <w:kinsoku/>
                    <w:wordWrap/>
                    <w:overflowPunct/>
                    <w:topLinePunct w:val="0"/>
                    <w:autoSpaceDE/>
                    <w:autoSpaceDN/>
                    <w:bidi w:val="0"/>
                    <w:adjustRightInd/>
                    <w:snapToGrid/>
                    <w:spacing w:line="360" w:lineRule="exact"/>
                    <w:jc w:val="center"/>
                    <w:rPr>
                      <w:bCs/>
                      <w:sz w:val="21"/>
                      <w:szCs w:val="21"/>
                      <w:vertAlign w:val="superscript"/>
                    </w:rPr>
                  </w:pPr>
                  <w:r>
                    <w:rPr>
                      <w:rFonts w:hint="eastAsia"/>
                      <w:bCs/>
                      <w:sz w:val="21"/>
                      <w:szCs w:val="21"/>
                      <w:vertAlign w:val="superscript"/>
                      <w:lang w:val="en-US" w:eastAsia="zh-CN"/>
                    </w:rPr>
                    <w:t>99m</w:t>
                  </w:r>
                  <w:r>
                    <w:rPr>
                      <w:rFonts w:hint="eastAsia"/>
                      <w:bCs/>
                      <w:sz w:val="21"/>
                      <w:szCs w:val="21"/>
                      <w:vertAlign w:val="baseline"/>
                      <w:lang w:val="en-US" w:eastAsia="zh-CN"/>
                    </w:rPr>
                    <w:t>Tc</w:t>
                  </w:r>
                </w:p>
              </w:tc>
              <w:tc>
                <w:tcPr>
                  <w:tcW w:w="761" w:type="pct"/>
                  <w:vAlign w:val="center"/>
                </w:tcPr>
                <w:p w14:paraId="40E670F0">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r>
                    <w:rPr>
                      <w:sz w:val="21"/>
                      <w:szCs w:val="21"/>
                      <w:lang w:bidi="ar"/>
                    </w:rPr>
                    <w:t>5.97E-02</w:t>
                  </w:r>
                </w:p>
              </w:tc>
              <w:tc>
                <w:tcPr>
                  <w:tcW w:w="618" w:type="pct"/>
                  <w:vMerge w:val="continue"/>
                  <w:vAlign w:val="center"/>
                </w:tcPr>
                <w:p w14:paraId="6387805A">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914" w:type="pct"/>
                  <w:vMerge w:val="continue"/>
                  <w:vAlign w:val="center"/>
                </w:tcPr>
                <w:p w14:paraId="6053DC61">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4A4A06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33B666EA">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7796E417">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注射（</w:t>
                  </w:r>
                  <w:r>
                    <w:rPr>
                      <w:rFonts w:hint="eastAsia"/>
                      <w:bCs/>
                      <w:spacing w:val="-6"/>
                      <w:sz w:val="21"/>
                      <w:szCs w:val="21"/>
                      <w:lang w:val="en-US" w:eastAsia="zh-CN"/>
                    </w:rPr>
                    <w:t>ECT</w:t>
                  </w:r>
                  <w:r>
                    <w:rPr>
                      <w:bCs/>
                      <w:spacing w:val="-6"/>
                      <w:sz w:val="21"/>
                      <w:szCs w:val="21"/>
                    </w:rPr>
                    <w:t>注射室）</w:t>
                  </w:r>
                </w:p>
              </w:tc>
              <w:tc>
                <w:tcPr>
                  <w:tcW w:w="388" w:type="pct"/>
                  <w:vMerge w:val="continue"/>
                  <w:vAlign w:val="center"/>
                </w:tcPr>
                <w:p w14:paraId="72B93253">
                  <w:pPr>
                    <w:keepNext w:val="0"/>
                    <w:keepLines w:val="0"/>
                    <w:pageBreakBefore w:val="0"/>
                    <w:kinsoku/>
                    <w:wordWrap/>
                    <w:overflowPunct/>
                    <w:topLinePunct w:val="0"/>
                    <w:autoSpaceDE/>
                    <w:autoSpaceDN/>
                    <w:bidi w:val="0"/>
                    <w:adjustRightInd/>
                    <w:snapToGrid/>
                    <w:spacing w:line="360" w:lineRule="exact"/>
                    <w:jc w:val="center"/>
                    <w:rPr>
                      <w:bCs/>
                      <w:sz w:val="21"/>
                      <w:szCs w:val="21"/>
                      <w:vertAlign w:val="superscript"/>
                    </w:rPr>
                  </w:pPr>
                </w:p>
              </w:tc>
              <w:tc>
                <w:tcPr>
                  <w:tcW w:w="761" w:type="pct"/>
                  <w:vAlign w:val="center"/>
                </w:tcPr>
                <w:p w14:paraId="45CC909D">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r>
                    <w:rPr>
                      <w:sz w:val="21"/>
                      <w:szCs w:val="21"/>
                      <w:lang w:bidi="ar"/>
                    </w:rPr>
                    <w:t>5.97E-03</w:t>
                  </w:r>
                </w:p>
              </w:tc>
              <w:tc>
                <w:tcPr>
                  <w:tcW w:w="618" w:type="pct"/>
                  <w:vMerge w:val="continue"/>
                  <w:vAlign w:val="center"/>
                </w:tcPr>
                <w:p w14:paraId="53D4B79E">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914" w:type="pct"/>
                  <w:vMerge w:val="continue"/>
                  <w:vAlign w:val="center"/>
                </w:tcPr>
                <w:p w14:paraId="22950769">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51CDEE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01D2C432">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3FF10F48">
                  <w:pPr>
                    <w:keepNext w:val="0"/>
                    <w:keepLines w:val="0"/>
                    <w:pageBreakBefore w:val="0"/>
                    <w:kinsoku/>
                    <w:wordWrap/>
                    <w:overflowPunct/>
                    <w:topLinePunct w:val="0"/>
                    <w:autoSpaceDE/>
                    <w:autoSpaceDN/>
                    <w:bidi w:val="0"/>
                    <w:adjustRightInd/>
                    <w:snapToGrid/>
                    <w:spacing w:line="360" w:lineRule="exact"/>
                    <w:jc w:val="center"/>
                    <w:rPr>
                      <w:bCs/>
                      <w:spacing w:val="-6"/>
                      <w:sz w:val="21"/>
                      <w:szCs w:val="21"/>
                    </w:rPr>
                  </w:pPr>
                  <w:r>
                    <w:rPr>
                      <w:rFonts w:hint="eastAsia"/>
                      <w:bCs/>
                      <w:spacing w:val="-6"/>
                      <w:sz w:val="21"/>
                      <w:szCs w:val="21"/>
                      <w:lang w:val="en-US" w:eastAsia="zh-CN"/>
                    </w:rPr>
                    <w:t>制作敷贴器（分装室1#）</w:t>
                  </w:r>
                </w:p>
              </w:tc>
              <w:tc>
                <w:tcPr>
                  <w:tcW w:w="388" w:type="pct"/>
                  <w:vAlign w:val="center"/>
                </w:tcPr>
                <w:p w14:paraId="3200DC47">
                  <w:pPr>
                    <w:keepNext w:val="0"/>
                    <w:keepLines w:val="0"/>
                    <w:pageBreakBefore w:val="0"/>
                    <w:kinsoku/>
                    <w:wordWrap/>
                    <w:overflowPunct/>
                    <w:topLinePunct w:val="0"/>
                    <w:autoSpaceDE/>
                    <w:autoSpaceDN/>
                    <w:bidi w:val="0"/>
                    <w:adjustRightInd/>
                    <w:snapToGrid/>
                    <w:spacing w:line="360" w:lineRule="exact"/>
                    <w:jc w:val="center"/>
                    <w:rPr>
                      <w:rFonts w:hint="default" w:eastAsia="宋体"/>
                      <w:bCs/>
                      <w:sz w:val="21"/>
                      <w:szCs w:val="21"/>
                      <w:vertAlign w:val="superscript"/>
                      <w:lang w:val="en-US" w:eastAsia="zh-CN"/>
                    </w:rPr>
                  </w:pPr>
                  <w:r>
                    <w:rPr>
                      <w:rFonts w:hint="eastAsia"/>
                      <w:bCs/>
                      <w:sz w:val="21"/>
                      <w:szCs w:val="21"/>
                      <w:vertAlign w:val="superscript"/>
                      <w:lang w:val="en-US" w:eastAsia="zh-CN"/>
                    </w:rPr>
                    <w:t>32</w:t>
                  </w:r>
                  <w:r>
                    <w:rPr>
                      <w:rFonts w:hint="eastAsia"/>
                      <w:bCs/>
                      <w:sz w:val="21"/>
                      <w:szCs w:val="21"/>
                      <w:vertAlign w:val="baseline"/>
                      <w:lang w:val="en-US" w:eastAsia="zh-CN"/>
                    </w:rPr>
                    <w:t>P</w:t>
                  </w:r>
                </w:p>
              </w:tc>
              <w:tc>
                <w:tcPr>
                  <w:tcW w:w="761" w:type="pct"/>
                  <w:vAlign w:val="center"/>
                </w:tcPr>
                <w:p w14:paraId="708D14BD">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r>
                    <w:rPr>
                      <w:rFonts w:hint="eastAsia" w:ascii="Times New Roman" w:hAnsi="Times New Roman" w:eastAsia="宋体" w:cs="Times New Roman"/>
                      <w:i w:val="0"/>
                      <w:iCs w:val="0"/>
                      <w:color w:val="000000"/>
                      <w:kern w:val="0"/>
                      <w:sz w:val="21"/>
                      <w:szCs w:val="21"/>
                      <w:u w:val="none"/>
                      <w:lang w:val="en-US" w:eastAsia="zh-CN" w:bidi="ar"/>
                    </w:rPr>
                    <w:t>5.70</w:t>
                  </w:r>
                  <w:r>
                    <w:rPr>
                      <w:rFonts w:hint="default" w:ascii="Times New Roman" w:hAnsi="Times New Roman" w:eastAsia="宋体" w:cs="Times New Roman"/>
                      <w:i w:val="0"/>
                      <w:iCs w:val="0"/>
                      <w:color w:val="000000"/>
                      <w:kern w:val="0"/>
                      <w:sz w:val="21"/>
                      <w:szCs w:val="21"/>
                      <w:u w:val="none"/>
                      <w:lang w:val="en-US" w:eastAsia="zh-CN" w:bidi="ar"/>
                    </w:rPr>
                    <w:t>E-03</w:t>
                  </w:r>
                </w:p>
              </w:tc>
              <w:tc>
                <w:tcPr>
                  <w:tcW w:w="618" w:type="pct"/>
                  <w:vMerge w:val="restart"/>
                  <w:vAlign w:val="center"/>
                </w:tcPr>
                <w:p w14:paraId="686C8A8D">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1</w:t>
                  </w:r>
                </w:p>
              </w:tc>
              <w:tc>
                <w:tcPr>
                  <w:tcW w:w="914" w:type="pct"/>
                  <w:vMerge w:val="restart"/>
                  <w:vAlign w:val="center"/>
                </w:tcPr>
                <w:p w14:paraId="67BD469A">
                  <w:pPr>
                    <w:keepNext w:val="0"/>
                    <w:keepLines w:val="0"/>
                    <w:pageBreakBefore w:val="0"/>
                    <w:widowControl/>
                    <w:kinsoku/>
                    <w:wordWrap/>
                    <w:overflowPunct/>
                    <w:topLinePunct w:val="0"/>
                    <w:autoSpaceDE/>
                    <w:autoSpaceDN/>
                    <w:bidi w:val="0"/>
                    <w:adjustRightInd/>
                    <w:snapToGrid/>
                    <w:spacing w:line="360" w:lineRule="exact"/>
                    <w:jc w:val="center"/>
                    <w:rPr>
                      <w:rFonts w:hint="default" w:eastAsia="宋体"/>
                      <w:sz w:val="21"/>
                      <w:szCs w:val="21"/>
                      <w:lang w:val="en-US" w:eastAsia="zh-CN" w:bidi="ar"/>
                    </w:rPr>
                  </w:pPr>
                  <w:r>
                    <w:rPr>
                      <w:rFonts w:hint="eastAsia"/>
                      <w:sz w:val="21"/>
                      <w:szCs w:val="21"/>
                      <w:lang w:val="en-US" w:eastAsia="zh-CN" w:bidi="ar"/>
                    </w:rPr>
                    <w:t>1.55E-02</w:t>
                  </w:r>
                </w:p>
              </w:tc>
            </w:tr>
            <w:tr w14:paraId="7EE5BD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shd w:val="clear" w:color="auto" w:fill="auto"/>
                  <w:vAlign w:val="center"/>
                </w:tcPr>
                <w:p w14:paraId="455D7EA5">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Cs/>
                      <w:sz w:val="21"/>
                      <w:szCs w:val="21"/>
                      <w:lang w:val="en-US" w:eastAsia="zh-CN" w:bidi="ar-SA"/>
                    </w:rPr>
                  </w:pPr>
                  <w:r>
                    <w:rPr>
                      <w:rFonts w:hint="eastAsia"/>
                      <w:bCs/>
                      <w:spacing w:val="-6"/>
                      <w:sz w:val="21"/>
                      <w:szCs w:val="21"/>
                      <w:lang w:val="en-US" w:eastAsia="zh-CN"/>
                    </w:rPr>
                    <w:t>敷贴室1#、2#工作人员</w:t>
                  </w:r>
                </w:p>
              </w:tc>
              <w:tc>
                <w:tcPr>
                  <w:tcW w:w="1592" w:type="pct"/>
                  <w:shd w:val="clear" w:color="auto" w:fill="auto"/>
                  <w:vAlign w:val="center"/>
                </w:tcPr>
                <w:p w14:paraId="37D05370">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敷贴治疗（敷贴室1#、2#）</w:t>
                  </w:r>
                </w:p>
              </w:tc>
              <w:tc>
                <w:tcPr>
                  <w:tcW w:w="388" w:type="pct"/>
                  <w:shd w:val="clear" w:color="auto" w:fill="auto"/>
                  <w:vAlign w:val="center"/>
                </w:tcPr>
                <w:p w14:paraId="150159A8">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bCs/>
                      <w:sz w:val="21"/>
                      <w:szCs w:val="21"/>
                      <w:lang w:val="en-US" w:eastAsia="zh-CN" w:bidi="ar-SA"/>
                    </w:rPr>
                  </w:pPr>
                  <w:r>
                    <w:rPr>
                      <w:rFonts w:hint="eastAsia"/>
                      <w:bCs/>
                      <w:sz w:val="21"/>
                      <w:szCs w:val="21"/>
                      <w:vertAlign w:val="superscript"/>
                      <w:lang w:val="en-US" w:eastAsia="zh-CN"/>
                    </w:rPr>
                    <w:t>32</w:t>
                  </w:r>
                  <w:r>
                    <w:rPr>
                      <w:rFonts w:hint="eastAsia"/>
                      <w:bCs/>
                      <w:sz w:val="21"/>
                      <w:szCs w:val="21"/>
                      <w:vertAlign w:val="baseline"/>
                      <w:lang w:val="en-US" w:eastAsia="zh-CN"/>
                    </w:rPr>
                    <w:t>P</w:t>
                  </w:r>
                </w:p>
              </w:tc>
              <w:tc>
                <w:tcPr>
                  <w:tcW w:w="761" w:type="pct"/>
                  <w:shd w:val="clear" w:color="auto" w:fill="auto"/>
                  <w:vAlign w:val="center"/>
                </w:tcPr>
                <w:p w14:paraId="38C27E1F">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9.83</w:t>
                  </w:r>
                  <w:r>
                    <w:rPr>
                      <w:rFonts w:hint="default" w:ascii="Times New Roman" w:hAnsi="Times New Roman" w:eastAsia="宋体" w:cs="Times New Roman"/>
                      <w:i w:val="0"/>
                      <w:iCs w:val="0"/>
                      <w:color w:val="000000"/>
                      <w:kern w:val="0"/>
                      <w:sz w:val="21"/>
                      <w:szCs w:val="21"/>
                      <w:u w:val="none"/>
                      <w:lang w:val="en-US" w:eastAsia="zh-CN" w:bidi="ar"/>
                    </w:rPr>
                    <w:t>E-0</w:t>
                  </w:r>
                  <w:r>
                    <w:rPr>
                      <w:rFonts w:hint="eastAsia" w:ascii="Times New Roman" w:hAnsi="Times New Roman" w:eastAsia="宋体" w:cs="Times New Roman"/>
                      <w:i w:val="0"/>
                      <w:iCs w:val="0"/>
                      <w:color w:val="000000"/>
                      <w:kern w:val="0"/>
                      <w:sz w:val="21"/>
                      <w:szCs w:val="21"/>
                      <w:u w:val="none"/>
                      <w:lang w:val="en-US" w:eastAsia="zh-CN" w:bidi="ar"/>
                    </w:rPr>
                    <w:t>3</w:t>
                  </w:r>
                </w:p>
              </w:tc>
              <w:tc>
                <w:tcPr>
                  <w:tcW w:w="618" w:type="pct"/>
                  <w:vMerge w:val="continue"/>
                  <w:shd w:val="clear" w:color="auto" w:fill="auto"/>
                  <w:vAlign w:val="center"/>
                </w:tcPr>
                <w:p w14:paraId="54BD3094">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bCs/>
                      <w:sz w:val="21"/>
                      <w:szCs w:val="21"/>
                      <w:lang w:val="en-US" w:eastAsia="zh-CN" w:bidi="ar-SA"/>
                    </w:rPr>
                  </w:pPr>
                </w:p>
              </w:tc>
              <w:tc>
                <w:tcPr>
                  <w:tcW w:w="914" w:type="pct"/>
                  <w:vMerge w:val="continue"/>
                  <w:vAlign w:val="center"/>
                </w:tcPr>
                <w:p w14:paraId="09BD4808">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1DEE2B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restart"/>
                  <w:vAlign w:val="center"/>
                </w:tcPr>
                <w:p w14:paraId="0F733E20">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rFonts w:hint="eastAsia"/>
                      <w:bCs/>
                      <w:sz w:val="21"/>
                      <w:szCs w:val="21"/>
                      <w:lang w:val="en-US" w:eastAsia="zh-CN"/>
                    </w:rPr>
                    <w:t>共用</w:t>
                  </w:r>
                  <w:r>
                    <w:rPr>
                      <w:bCs/>
                      <w:sz w:val="21"/>
                      <w:szCs w:val="21"/>
                    </w:rPr>
                    <w:t>控制室工作人员</w:t>
                  </w:r>
                </w:p>
              </w:tc>
              <w:tc>
                <w:tcPr>
                  <w:tcW w:w="1592" w:type="pct"/>
                  <w:shd w:val="clear" w:color="auto" w:fill="auto"/>
                  <w:vAlign w:val="center"/>
                </w:tcPr>
                <w:p w14:paraId="755B031B">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摆位（</w:t>
                  </w:r>
                  <w:r>
                    <w:rPr>
                      <w:rFonts w:hint="eastAsia"/>
                      <w:bCs/>
                      <w:spacing w:val="-6"/>
                      <w:sz w:val="21"/>
                      <w:szCs w:val="21"/>
                      <w:lang w:val="en-US" w:eastAsia="zh-CN"/>
                    </w:rPr>
                    <w:t>S</w:t>
                  </w:r>
                  <w:r>
                    <w:rPr>
                      <w:bCs/>
                      <w:spacing w:val="-6"/>
                      <w:sz w:val="21"/>
                      <w:szCs w:val="21"/>
                    </w:rPr>
                    <w:t>PE</w:t>
                  </w:r>
                  <w:r>
                    <w:rPr>
                      <w:rFonts w:hint="eastAsia"/>
                      <w:bCs/>
                      <w:spacing w:val="-6"/>
                      <w:sz w:val="21"/>
                      <w:szCs w:val="21"/>
                      <w:lang w:val="en-US" w:eastAsia="zh-CN"/>
                    </w:rPr>
                    <w:t>C</w:t>
                  </w:r>
                  <w:r>
                    <w:rPr>
                      <w:bCs/>
                      <w:spacing w:val="-6"/>
                      <w:sz w:val="21"/>
                      <w:szCs w:val="21"/>
                    </w:rPr>
                    <w:t>T/CT机房）</w:t>
                  </w:r>
                </w:p>
              </w:tc>
              <w:tc>
                <w:tcPr>
                  <w:tcW w:w="388" w:type="pct"/>
                  <w:vMerge w:val="restart"/>
                  <w:vAlign w:val="center"/>
                </w:tcPr>
                <w:p w14:paraId="74B611A4">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rFonts w:hint="eastAsia"/>
                      <w:bCs/>
                      <w:sz w:val="21"/>
                      <w:szCs w:val="21"/>
                      <w:vertAlign w:val="superscript"/>
                      <w:lang w:val="en-US" w:eastAsia="zh-CN"/>
                    </w:rPr>
                    <w:t>99m</w:t>
                  </w:r>
                  <w:r>
                    <w:rPr>
                      <w:rFonts w:hint="eastAsia"/>
                      <w:bCs/>
                      <w:sz w:val="21"/>
                      <w:szCs w:val="21"/>
                      <w:vertAlign w:val="baseline"/>
                      <w:lang w:val="en-US" w:eastAsia="zh-CN"/>
                    </w:rPr>
                    <w:t>Tc</w:t>
                  </w:r>
                </w:p>
              </w:tc>
              <w:tc>
                <w:tcPr>
                  <w:tcW w:w="761" w:type="pct"/>
                  <w:vAlign w:val="center"/>
                </w:tcPr>
                <w:p w14:paraId="4D4AEEDA">
                  <w:pPr>
                    <w:keepNext w:val="0"/>
                    <w:keepLines w:val="0"/>
                    <w:pageBreakBefore w:val="0"/>
                    <w:kinsoku/>
                    <w:wordWrap/>
                    <w:overflowPunct/>
                    <w:topLinePunct w:val="0"/>
                    <w:autoSpaceDE/>
                    <w:autoSpaceDN/>
                    <w:bidi w:val="0"/>
                    <w:adjustRightInd/>
                    <w:snapToGrid/>
                    <w:spacing w:line="360" w:lineRule="exact"/>
                    <w:jc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1.51E-04</w:t>
                  </w:r>
                </w:p>
              </w:tc>
              <w:tc>
                <w:tcPr>
                  <w:tcW w:w="618" w:type="pct"/>
                  <w:vMerge w:val="restart"/>
                  <w:vAlign w:val="center"/>
                </w:tcPr>
                <w:p w14:paraId="3C2360E0">
                  <w:pPr>
                    <w:keepNext w:val="0"/>
                    <w:keepLines w:val="0"/>
                    <w:pageBreakBefore w:val="0"/>
                    <w:kinsoku/>
                    <w:wordWrap/>
                    <w:overflowPunct/>
                    <w:topLinePunct w:val="0"/>
                    <w:autoSpaceDE/>
                    <w:autoSpaceDN/>
                    <w:bidi w:val="0"/>
                    <w:adjustRightInd/>
                    <w:snapToGrid/>
                    <w:spacing w:line="360" w:lineRule="exact"/>
                    <w:jc w:val="center"/>
                    <w:rPr>
                      <w:rFonts w:hint="eastAsia" w:eastAsia="宋体"/>
                      <w:bCs/>
                      <w:sz w:val="21"/>
                      <w:szCs w:val="21"/>
                      <w:lang w:val="en-US" w:eastAsia="zh-CN"/>
                    </w:rPr>
                  </w:pPr>
                  <w:r>
                    <w:rPr>
                      <w:rFonts w:hint="eastAsia"/>
                      <w:bCs/>
                      <w:sz w:val="21"/>
                      <w:szCs w:val="21"/>
                      <w:lang w:val="en-US" w:eastAsia="zh-CN"/>
                    </w:rPr>
                    <w:t>2</w:t>
                  </w:r>
                </w:p>
              </w:tc>
              <w:tc>
                <w:tcPr>
                  <w:tcW w:w="914" w:type="pct"/>
                  <w:vMerge w:val="restart"/>
                  <w:vAlign w:val="center"/>
                </w:tcPr>
                <w:p w14:paraId="1871AA4A">
                  <w:pPr>
                    <w:keepNext w:val="0"/>
                    <w:keepLines w:val="0"/>
                    <w:pageBreakBefore w:val="0"/>
                    <w:widowControl/>
                    <w:kinsoku/>
                    <w:wordWrap/>
                    <w:overflowPunct/>
                    <w:topLinePunct w:val="0"/>
                    <w:autoSpaceDE/>
                    <w:autoSpaceDN/>
                    <w:bidi w:val="0"/>
                    <w:adjustRightInd/>
                    <w:snapToGrid/>
                    <w:spacing w:line="360" w:lineRule="exact"/>
                    <w:jc w:val="center"/>
                    <w:rPr>
                      <w:rFonts w:hint="default" w:eastAsia="宋体"/>
                      <w:sz w:val="21"/>
                      <w:szCs w:val="21"/>
                      <w:lang w:val="en-US" w:eastAsia="zh-CN" w:bidi="ar"/>
                    </w:rPr>
                  </w:pPr>
                  <w:r>
                    <w:rPr>
                      <w:rFonts w:hint="eastAsia"/>
                      <w:sz w:val="21"/>
                      <w:szCs w:val="21"/>
                      <w:lang w:val="en-US" w:eastAsia="zh-CN" w:bidi="ar"/>
                    </w:rPr>
                    <w:t>4.00E+00</w:t>
                  </w:r>
                </w:p>
              </w:tc>
            </w:tr>
            <w:tr w14:paraId="7F76F0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0E0076F3">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6A989921">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显像（</w:t>
                  </w:r>
                  <w:r>
                    <w:rPr>
                      <w:rFonts w:hint="eastAsia"/>
                      <w:bCs/>
                      <w:spacing w:val="-6"/>
                      <w:sz w:val="21"/>
                      <w:szCs w:val="21"/>
                      <w:lang w:val="en-US" w:eastAsia="zh-CN"/>
                    </w:rPr>
                    <w:t>S</w:t>
                  </w:r>
                  <w:r>
                    <w:rPr>
                      <w:bCs/>
                      <w:spacing w:val="-6"/>
                      <w:sz w:val="21"/>
                      <w:szCs w:val="21"/>
                    </w:rPr>
                    <w:t>PE</w:t>
                  </w:r>
                  <w:r>
                    <w:rPr>
                      <w:rFonts w:hint="eastAsia"/>
                      <w:bCs/>
                      <w:spacing w:val="-6"/>
                      <w:sz w:val="21"/>
                      <w:szCs w:val="21"/>
                      <w:lang w:val="en-US" w:eastAsia="zh-CN"/>
                    </w:rPr>
                    <w:t>C</w:t>
                  </w:r>
                  <w:r>
                    <w:rPr>
                      <w:bCs/>
                      <w:spacing w:val="-6"/>
                      <w:sz w:val="21"/>
                      <w:szCs w:val="21"/>
                    </w:rPr>
                    <w:t>T/CT机房）</w:t>
                  </w:r>
                </w:p>
              </w:tc>
              <w:tc>
                <w:tcPr>
                  <w:tcW w:w="388" w:type="pct"/>
                  <w:vMerge w:val="continue"/>
                  <w:vAlign w:val="center"/>
                </w:tcPr>
                <w:p w14:paraId="09A14B97">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761" w:type="pct"/>
                  <w:vAlign w:val="center"/>
                </w:tcPr>
                <w:p w14:paraId="44027405">
                  <w:pPr>
                    <w:keepNext w:val="0"/>
                    <w:keepLines w:val="0"/>
                    <w:pageBreakBefore w:val="0"/>
                    <w:kinsoku/>
                    <w:wordWrap/>
                    <w:overflowPunct/>
                    <w:topLinePunct w:val="0"/>
                    <w:autoSpaceDE/>
                    <w:autoSpaceDN/>
                    <w:bidi w:val="0"/>
                    <w:adjustRightInd/>
                    <w:snapToGrid/>
                    <w:spacing w:line="360" w:lineRule="exact"/>
                    <w:jc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3.36E-04</w:t>
                  </w:r>
                </w:p>
              </w:tc>
              <w:tc>
                <w:tcPr>
                  <w:tcW w:w="618" w:type="pct"/>
                  <w:vMerge w:val="continue"/>
                  <w:vAlign w:val="center"/>
                </w:tcPr>
                <w:p w14:paraId="47FB1C73">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914" w:type="pct"/>
                  <w:vMerge w:val="continue"/>
                  <w:vAlign w:val="center"/>
                </w:tcPr>
                <w:p w14:paraId="72FA9EDC">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527A3B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7D05B0B7">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7F368FF2">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摆位（PET/CT机房）</w:t>
                  </w:r>
                </w:p>
              </w:tc>
              <w:tc>
                <w:tcPr>
                  <w:tcW w:w="388" w:type="pct"/>
                  <w:vMerge w:val="restart"/>
                  <w:vAlign w:val="center"/>
                </w:tcPr>
                <w:p w14:paraId="728D7428">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bCs/>
                      <w:sz w:val="21"/>
                      <w:szCs w:val="21"/>
                      <w:vertAlign w:val="superscript"/>
                    </w:rPr>
                    <w:t>18</w:t>
                  </w:r>
                  <w:r>
                    <w:rPr>
                      <w:bCs/>
                      <w:sz w:val="21"/>
                      <w:szCs w:val="21"/>
                    </w:rPr>
                    <w:t>F</w:t>
                  </w:r>
                </w:p>
              </w:tc>
              <w:tc>
                <w:tcPr>
                  <w:tcW w:w="761" w:type="pct"/>
                  <w:vAlign w:val="center"/>
                </w:tcPr>
                <w:p w14:paraId="7A3E1D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1.49E+00</w:t>
                  </w:r>
                </w:p>
              </w:tc>
              <w:tc>
                <w:tcPr>
                  <w:tcW w:w="618" w:type="pct"/>
                  <w:vMerge w:val="restart"/>
                  <w:vAlign w:val="center"/>
                </w:tcPr>
                <w:p w14:paraId="0905A88A">
                  <w:pPr>
                    <w:keepNext w:val="0"/>
                    <w:keepLines w:val="0"/>
                    <w:pageBreakBefore w:val="0"/>
                    <w:kinsoku/>
                    <w:wordWrap/>
                    <w:overflowPunct/>
                    <w:topLinePunct w:val="0"/>
                    <w:autoSpaceDE/>
                    <w:autoSpaceDN/>
                    <w:bidi w:val="0"/>
                    <w:adjustRightInd/>
                    <w:snapToGrid/>
                    <w:spacing w:line="360" w:lineRule="exact"/>
                    <w:jc w:val="center"/>
                    <w:rPr>
                      <w:rFonts w:hint="eastAsia" w:eastAsia="宋体"/>
                      <w:bCs/>
                      <w:sz w:val="21"/>
                      <w:szCs w:val="21"/>
                      <w:lang w:val="en-US" w:eastAsia="zh-CN"/>
                    </w:rPr>
                  </w:pPr>
                  <w:r>
                    <w:rPr>
                      <w:rFonts w:hint="eastAsia"/>
                      <w:bCs/>
                      <w:sz w:val="21"/>
                      <w:szCs w:val="21"/>
                      <w:lang w:val="en-US" w:eastAsia="zh-CN"/>
                    </w:rPr>
                    <w:t>2</w:t>
                  </w:r>
                </w:p>
              </w:tc>
              <w:tc>
                <w:tcPr>
                  <w:tcW w:w="914" w:type="pct"/>
                  <w:vMerge w:val="restart"/>
                  <w:vAlign w:val="center"/>
                </w:tcPr>
                <w:p w14:paraId="7F6246A6">
                  <w:pPr>
                    <w:keepNext w:val="0"/>
                    <w:keepLines w:val="0"/>
                    <w:pageBreakBefore w:val="0"/>
                    <w:widowControl/>
                    <w:kinsoku/>
                    <w:wordWrap/>
                    <w:overflowPunct/>
                    <w:topLinePunct w:val="0"/>
                    <w:autoSpaceDE/>
                    <w:autoSpaceDN/>
                    <w:bidi w:val="0"/>
                    <w:adjustRightInd/>
                    <w:snapToGrid/>
                    <w:spacing w:line="360" w:lineRule="exact"/>
                    <w:jc w:val="center"/>
                    <w:rPr>
                      <w:rFonts w:hint="default" w:eastAsia="宋体"/>
                      <w:sz w:val="21"/>
                      <w:szCs w:val="21"/>
                      <w:lang w:val="en-US" w:eastAsia="zh-CN" w:bidi="ar"/>
                    </w:rPr>
                  </w:pPr>
                  <w:r>
                    <w:rPr>
                      <w:rFonts w:hint="eastAsia"/>
                      <w:sz w:val="21"/>
                      <w:szCs w:val="21"/>
                      <w:lang w:val="en-US" w:eastAsia="zh-CN" w:bidi="ar"/>
                    </w:rPr>
                    <w:t>4.00E+00</w:t>
                  </w:r>
                </w:p>
              </w:tc>
            </w:tr>
            <w:tr w14:paraId="686AA6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6FD23338">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3F468F7F">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显像（PET/CT机房）</w:t>
                  </w:r>
                </w:p>
              </w:tc>
              <w:tc>
                <w:tcPr>
                  <w:tcW w:w="388" w:type="pct"/>
                  <w:vMerge w:val="continue"/>
                  <w:vAlign w:val="center"/>
                </w:tcPr>
                <w:p w14:paraId="008E3E5C">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761" w:type="pct"/>
                  <w:vAlign w:val="center"/>
                </w:tcPr>
                <w:p w14:paraId="590E10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2.50E+00</w:t>
                  </w:r>
                </w:p>
              </w:tc>
              <w:tc>
                <w:tcPr>
                  <w:tcW w:w="618" w:type="pct"/>
                  <w:vMerge w:val="continue"/>
                  <w:vAlign w:val="center"/>
                </w:tcPr>
                <w:p w14:paraId="20C7194F">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914" w:type="pct"/>
                  <w:vMerge w:val="continue"/>
                  <w:vAlign w:val="center"/>
                </w:tcPr>
                <w:p w14:paraId="0332A245">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6353C1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3" w:type="pct"/>
                  <w:vMerge w:val="restart"/>
                  <w:vAlign w:val="center"/>
                </w:tcPr>
                <w:p w14:paraId="0D1B51D6">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bCs/>
                      <w:sz w:val="21"/>
                      <w:szCs w:val="21"/>
                    </w:rPr>
                    <w:t>分装室</w:t>
                  </w:r>
                  <w:r>
                    <w:rPr>
                      <w:rFonts w:hint="eastAsia"/>
                      <w:bCs/>
                      <w:sz w:val="21"/>
                      <w:szCs w:val="21"/>
                      <w:lang w:val="en-US" w:eastAsia="zh-CN"/>
                    </w:rPr>
                    <w:t>2#</w:t>
                  </w:r>
                  <w:r>
                    <w:rPr>
                      <w:bCs/>
                      <w:sz w:val="21"/>
                      <w:szCs w:val="21"/>
                    </w:rPr>
                    <w:t>工作人员</w:t>
                  </w:r>
                </w:p>
              </w:tc>
              <w:tc>
                <w:tcPr>
                  <w:tcW w:w="1592" w:type="pct"/>
                  <w:shd w:val="clear" w:color="auto" w:fill="auto"/>
                  <w:vAlign w:val="center"/>
                </w:tcPr>
                <w:p w14:paraId="5DAB4F8E">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bCs/>
                      <w:spacing w:val="-6"/>
                      <w:sz w:val="21"/>
                      <w:szCs w:val="21"/>
                      <w:lang w:val="en-US" w:eastAsia="zh-CN" w:bidi="ar-SA"/>
                    </w:rPr>
                  </w:pPr>
                  <w:r>
                    <w:rPr>
                      <w:rFonts w:hint="eastAsia"/>
                      <w:sz w:val="21"/>
                      <w:szCs w:val="21"/>
                      <w:lang w:val="en-US" w:eastAsia="zh-CN" w:bidi="ar"/>
                    </w:rPr>
                    <w:t>甲吸</w:t>
                  </w:r>
                  <w:r>
                    <w:rPr>
                      <w:sz w:val="21"/>
                      <w:szCs w:val="21"/>
                      <w:lang w:bidi="ar"/>
                    </w:rPr>
                    <w:t>分药、服药（</w:t>
                  </w:r>
                  <w:r>
                    <w:rPr>
                      <w:rFonts w:hint="eastAsia"/>
                      <w:sz w:val="21"/>
                      <w:szCs w:val="21"/>
                      <w:lang w:val="en-US" w:eastAsia="zh-CN" w:bidi="ar"/>
                    </w:rPr>
                    <w:t>分装室2#、I-131</w:t>
                  </w:r>
                  <w:r>
                    <w:rPr>
                      <w:bCs/>
                      <w:sz w:val="21"/>
                      <w:szCs w:val="21"/>
                      <w:lang w:bidi="ar"/>
                    </w:rPr>
                    <w:t>服药室</w:t>
                  </w:r>
                  <w:r>
                    <w:rPr>
                      <w:sz w:val="21"/>
                      <w:szCs w:val="21"/>
                      <w:lang w:bidi="ar"/>
                    </w:rPr>
                    <w:t>）</w:t>
                  </w:r>
                </w:p>
              </w:tc>
              <w:tc>
                <w:tcPr>
                  <w:tcW w:w="388" w:type="pct"/>
                  <w:vMerge w:val="restart"/>
                  <w:vAlign w:val="center"/>
                </w:tcPr>
                <w:p w14:paraId="6976494B">
                  <w:pPr>
                    <w:keepNext w:val="0"/>
                    <w:keepLines w:val="0"/>
                    <w:pageBreakBefore w:val="0"/>
                    <w:kinsoku/>
                    <w:wordWrap/>
                    <w:overflowPunct/>
                    <w:topLinePunct w:val="0"/>
                    <w:autoSpaceDE/>
                    <w:autoSpaceDN/>
                    <w:bidi w:val="0"/>
                    <w:adjustRightInd/>
                    <w:snapToGrid/>
                    <w:spacing w:line="360" w:lineRule="exact"/>
                    <w:jc w:val="center"/>
                    <w:rPr>
                      <w:rFonts w:hint="default" w:eastAsia="宋体"/>
                      <w:bCs/>
                      <w:sz w:val="21"/>
                      <w:szCs w:val="21"/>
                      <w:lang w:val="en-US" w:eastAsia="zh-CN"/>
                    </w:rPr>
                  </w:pPr>
                  <w:r>
                    <w:rPr>
                      <w:rFonts w:hint="eastAsia"/>
                      <w:bCs/>
                      <w:sz w:val="21"/>
                      <w:szCs w:val="21"/>
                      <w:vertAlign w:val="superscript"/>
                      <w:lang w:val="en-US" w:eastAsia="zh-CN"/>
                    </w:rPr>
                    <w:t>131</w:t>
                  </w:r>
                  <w:r>
                    <w:rPr>
                      <w:rFonts w:hint="eastAsia"/>
                      <w:bCs/>
                      <w:sz w:val="21"/>
                      <w:szCs w:val="21"/>
                      <w:lang w:val="en-US" w:eastAsia="zh-CN"/>
                    </w:rPr>
                    <w:t>I</w:t>
                  </w:r>
                </w:p>
              </w:tc>
              <w:tc>
                <w:tcPr>
                  <w:tcW w:w="761" w:type="pct"/>
                  <w:vAlign w:val="center"/>
                </w:tcPr>
                <w:p w14:paraId="4320EDFC">
                  <w:pPr>
                    <w:keepNext w:val="0"/>
                    <w:keepLines w:val="0"/>
                    <w:pageBreakBefore w:val="0"/>
                    <w:kinsoku/>
                    <w:wordWrap/>
                    <w:overflowPunct/>
                    <w:topLinePunct w:val="0"/>
                    <w:autoSpaceDE/>
                    <w:autoSpaceDN/>
                    <w:bidi w:val="0"/>
                    <w:adjustRightInd/>
                    <w:snapToGrid/>
                    <w:spacing w:line="360" w:lineRule="exact"/>
                    <w:jc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5.71E-07</w:t>
                  </w:r>
                </w:p>
              </w:tc>
              <w:tc>
                <w:tcPr>
                  <w:tcW w:w="618" w:type="pct"/>
                  <w:vMerge w:val="restart"/>
                  <w:vAlign w:val="center"/>
                </w:tcPr>
                <w:p w14:paraId="7FF55307">
                  <w:pPr>
                    <w:keepNext w:val="0"/>
                    <w:keepLines w:val="0"/>
                    <w:pageBreakBefore w:val="0"/>
                    <w:kinsoku/>
                    <w:wordWrap/>
                    <w:overflowPunct/>
                    <w:topLinePunct w:val="0"/>
                    <w:autoSpaceDE/>
                    <w:autoSpaceDN/>
                    <w:bidi w:val="0"/>
                    <w:adjustRightInd/>
                    <w:snapToGrid/>
                    <w:spacing w:line="360" w:lineRule="exact"/>
                    <w:jc w:val="center"/>
                    <w:rPr>
                      <w:rFonts w:hint="eastAsia" w:eastAsia="宋体"/>
                      <w:bCs/>
                      <w:sz w:val="21"/>
                      <w:szCs w:val="21"/>
                      <w:lang w:val="en-US" w:eastAsia="zh-CN"/>
                    </w:rPr>
                  </w:pPr>
                  <w:r>
                    <w:rPr>
                      <w:rFonts w:hint="eastAsia"/>
                      <w:bCs/>
                      <w:sz w:val="21"/>
                      <w:szCs w:val="21"/>
                      <w:lang w:val="en-US" w:eastAsia="zh-CN"/>
                    </w:rPr>
                    <w:t>1</w:t>
                  </w:r>
                </w:p>
              </w:tc>
              <w:tc>
                <w:tcPr>
                  <w:tcW w:w="914" w:type="pct"/>
                  <w:vMerge w:val="restart"/>
                  <w:shd w:val="clear" w:color="auto" w:fill="auto"/>
                  <w:vAlign w:val="center"/>
                </w:tcPr>
                <w:p w14:paraId="6F87E850">
                  <w:pPr>
                    <w:keepNext w:val="0"/>
                    <w:keepLines w:val="0"/>
                    <w:pageBreakBefore w:val="0"/>
                    <w:widowControl/>
                    <w:kinsoku/>
                    <w:wordWrap/>
                    <w:overflowPunct/>
                    <w:topLinePunct w:val="0"/>
                    <w:autoSpaceDE/>
                    <w:autoSpaceDN/>
                    <w:bidi w:val="0"/>
                    <w:adjustRightInd/>
                    <w:snapToGrid/>
                    <w:spacing w:line="360" w:lineRule="exact"/>
                    <w:jc w:val="center"/>
                    <w:rPr>
                      <w:rFonts w:hint="eastAsia"/>
                      <w:sz w:val="21"/>
                      <w:szCs w:val="21"/>
                      <w:lang w:val="en-US" w:eastAsia="zh-CN" w:bidi="ar"/>
                    </w:rPr>
                  </w:pPr>
                  <w:r>
                    <w:rPr>
                      <w:rFonts w:hint="eastAsia"/>
                      <w:sz w:val="21"/>
                      <w:szCs w:val="21"/>
                      <w:lang w:val="en-US" w:eastAsia="zh-CN" w:bidi="ar"/>
                    </w:rPr>
                    <w:t>7.63E-04</w:t>
                  </w:r>
                </w:p>
              </w:tc>
            </w:tr>
            <w:tr w14:paraId="39C379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3" w:type="pct"/>
                  <w:vMerge w:val="continue"/>
                  <w:vAlign w:val="center"/>
                </w:tcPr>
                <w:p w14:paraId="07E3537A">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1DACED13">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rFonts w:hint="eastAsia"/>
                      <w:sz w:val="21"/>
                      <w:szCs w:val="21"/>
                      <w:lang w:val="en-US" w:eastAsia="zh-CN" w:bidi="ar"/>
                    </w:rPr>
                    <w:t>甲亢</w:t>
                  </w:r>
                  <w:r>
                    <w:rPr>
                      <w:sz w:val="21"/>
                      <w:szCs w:val="21"/>
                      <w:lang w:bidi="ar"/>
                    </w:rPr>
                    <w:t>分药、服药（</w:t>
                  </w:r>
                  <w:r>
                    <w:rPr>
                      <w:rFonts w:hint="eastAsia"/>
                      <w:sz w:val="21"/>
                      <w:szCs w:val="21"/>
                      <w:lang w:val="en-US" w:eastAsia="zh-CN" w:bidi="ar"/>
                    </w:rPr>
                    <w:t>分装室2#、I-131</w:t>
                  </w:r>
                  <w:r>
                    <w:rPr>
                      <w:bCs/>
                      <w:sz w:val="21"/>
                      <w:szCs w:val="21"/>
                      <w:lang w:bidi="ar"/>
                    </w:rPr>
                    <w:t>服药室</w:t>
                  </w:r>
                  <w:r>
                    <w:rPr>
                      <w:sz w:val="21"/>
                      <w:szCs w:val="21"/>
                      <w:lang w:bidi="ar"/>
                    </w:rPr>
                    <w:t>）</w:t>
                  </w:r>
                </w:p>
              </w:tc>
              <w:tc>
                <w:tcPr>
                  <w:tcW w:w="388" w:type="pct"/>
                  <w:vMerge w:val="continue"/>
                  <w:vAlign w:val="center"/>
                </w:tcPr>
                <w:p w14:paraId="0E586F54">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761" w:type="pct"/>
                  <w:vAlign w:val="center"/>
                </w:tcPr>
                <w:p w14:paraId="60E71D23">
                  <w:pPr>
                    <w:keepNext w:val="0"/>
                    <w:keepLines w:val="0"/>
                    <w:pageBreakBefore w:val="0"/>
                    <w:kinsoku/>
                    <w:wordWrap/>
                    <w:overflowPunct/>
                    <w:topLinePunct w:val="0"/>
                    <w:autoSpaceDE/>
                    <w:autoSpaceDN/>
                    <w:bidi w:val="0"/>
                    <w:adjustRightInd/>
                    <w:snapToGrid/>
                    <w:spacing w:line="360" w:lineRule="exact"/>
                    <w:jc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7.62E-04</w:t>
                  </w:r>
                </w:p>
              </w:tc>
              <w:tc>
                <w:tcPr>
                  <w:tcW w:w="618" w:type="pct"/>
                  <w:vMerge w:val="continue"/>
                  <w:vAlign w:val="center"/>
                </w:tcPr>
                <w:p w14:paraId="65BE82F1">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914" w:type="pct"/>
                  <w:vMerge w:val="continue"/>
                  <w:vAlign w:val="center"/>
                </w:tcPr>
                <w:p w14:paraId="473B64F4">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10BA5C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3" w:type="pct"/>
                  <w:vMerge w:val="continue"/>
                  <w:vAlign w:val="center"/>
                </w:tcPr>
                <w:p w14:paraId="7C1FB232">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7096EBD5">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宋体" w:cs="Times New Roman"/>
                      <w:bCs/>
                      <w:spacing w:val="-6"/>
                      <w:sz w:val="21"/>
                      <w:szCs w:val="21"/>
                      <w:lang w:val="en-US" w:eastAsia="zh-CN" w:bidi="ar-SA"/>
                    </w:rPr>
                  </w:pPr>
                  <w:r>
                    <w:rPr>
                      <w:bCs/>
                      <w:spacing w:val="-6"/>
                      <w:sz w:val="21"/>
                      <w:szCs w:val="21"/>
                    </w:rPr>
                    <w:t>分药、测量活度（分装室</w:t>
                  </w:r>
                  <w:r>
                    <w:rPr>
                      <w:rFonts w:hint="eastAsia"/>
                      <w:bCs/>
                      <w:spacing w:val="-6"/>
                      <w:sz w:val="21"/>
                      <w:szCs w:val="21"/>
                      <w:lang w:val="en-US" w:eastAsia="zh-CN"/>
                    </w:rPr>
                    <w:t>2#</w:t>
                  </w:r>
                  <w:r>
                    <w:rPr>
                      <w:bCs/>
                      <w:spacing w:val="-6"/>
                      <w:sz w:val="21"/>
                      <w:szCs w:val="21"/>
                    </w:rPr>
                    <w:t>）</w:t>
                  </w:r>
                </w:p>
              </w:tc>
              <w:tc>
                <w:tcPr>
                  <w:tcW w:w="388" w:type="pct"/>
                  <w:vMerge w:val="restart"/>
                  <w:vAlign w:val="center"/>
                </w:tcPr>
                <w:p w14:paraId="0821E937">
                  <w:pPr>
                    <w:keepNext w:val="0"/>
                    <w:keepLines w:val="0"/>
                    <w:pageBreakBefore w:val="0"/>
                    <w:kinsoku/>
                    <w:wordWrap/>
                    <w:overflowPunct/>
                    <w:topLinePunct w:val="0"/>
                    <w:autoSpaceDE/>
                    <w:autoSpaceDN/>
                    <w:bidi w:val="0"/>
                    <w:adjustRightInd/>
                    <w:snapToGrid/>
                    <w:spacing w:line="360" w:lineRule="exact"/>
                    <w:jc w:val="center"/>
                    <w:rPr>
                      <w:rFonts w:hint="default" w:eastAsia="宋体"/>
                      <w:bCs/>
                      <w:sz w:val="21"/>
                      <w:szCs w:val="21"/>
                      <w:lang w:val="en-US" w:eastAsia="zh-CN"/>
                    </w:rPr>
                  </w:pPr>
                  <w:r>
                    <w:rPr>
                      <w:rFonts w:hint="eastAsia"/>
                      <w:bCs/>
                      <w:sz w:val="21"/>
                      <w:szCs w:val="21"/>
                      <w:vertAlign w:val="superscript"/>
                      <w:lang w:val="en-US" w:eastAsia="zh-CN"/>
                    </w:rPr>
                    <w:t>89</w:t>
                  </w:r>
                  <w:r>
                    <w:rPr>
                      <w:rFonts w:hint="eastAsia"/>
                      <w:bCs/>
                      <w:sz w:val="21"/>
                      <w:szCs w:val="21"/>
                      <w:lang w:val="en-US" w:eastAsia="zh-CN"/>
                    </w:rPr>
                    <w:t>Sr</w:t>
                  </w:r>
                </w:p>
              </w:tc>
              <w:tc>
                <w:tcPr>
                  <w:tcW w:w="761" w:type="pct"/>
                  <w:vAlign w:val="center"/>
                </w:tcPr>
                <w:p w14:paraId="03E66478">
                  <w:pPr>
                    <w:keepNext w:val="0"/>
                    <w:keepLines w:val="0"/>
                    <w:pageBreakBefore w:val="0"/>
                    <w:kinsoku/>
                    <w:wordWrap/>
                    <w:overflowPunct/>
                    <w:topLinePunct w:val="0"/>
                    <w:autoSpaceDE/>
                    <w:autoSpaceDN/>
                    <w:bidi w:val="0"/>
                    <w:adjustRightInd/>
                    <w:snapToGrid/>
                    <w:spacing w:line="360" w:lineRule="exact"/>
                    <w:jc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1.91E-11</w:t>
                  </w:r>
                </w:p>
              </w:tc>
              <w:tc>
                <w:tcPr>
                  <w:tcW w:w="618" w:type="pct"/>
                  <w:vMerge w:val="continue"/>
                  <w:vAlign w:val="center"/>
                </w:tcPr>
                <w:p w14:paraId="45414454">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914" w:type="pct"/>
                  <w:vMerge w:val="continue"/>
                  <w:vAlign w:val="center"/>
                </w:tcPr>
                <w:p w14:paraId="2EAC6588">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4C523E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37" w:hRule="atLeast"/>
                <w:jc w:val="center"/>
              </w:trPr>
              <w:tc>
                <w:tcPr>
                  <w:tcW w:w="723" w:type="pct"/>
                  <w:vMerge w:val="continue"/>
                  <w:vAlign w:val="center"/>
                </w:tcPr>
                <w:p w14:paraId="5E05D11B">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1592" w:type="pct"/>
                  <w:shd w:val="clear" w:color="auto" w:fill="auto"/>
                  <w:vAlign w:val="center"/>
                </w:tcPr>
                <w:p w14:paraId="2596520F">
                  <w:pPr>
                    <w:keepNext w:val="0"/>
                    <w:keepLines w:val="0"/>
                    <w:pageBreakBefore w:val="0"/>
                    <w:kinsoku/>
                    <w:wordWrap/>
                    <w:overflowPunct/>
                    <w:topLinePunct w:val="0"/>
                    <w:autoSpaceDE/>
                    <w:autoSpaceDN/>
                    <w:bidi w:val="0"/>
                    <w:adjustRightInd/>
                    <w:snapToGrid/>
                    <w:spacing w:line="360" w:lineRule="exact"/>
                    <w:jc w:val="center"/>
                    <w:rPr>
                      <w:bCs/>
                      <w:spacing w:val="-6"/>
                      <w:sz w:val="21"/>
                      <w:szCs w:val="21"/>
                    </w:rPr>
                  </w:pPr>
                  <w:r>
                    <w:rPr>
                      <w:bCs/>
                      <w:spacing w:val="-6"/>
                      <w:sz w:val="21"/>
                      <w:szCs w:val="21"/>
                    </w:rPr>
                    <w:t>注射（</w:t>
                  </w:r>
                  <w:r>
                    <w:rPr>
                      <w:rFonts w:hint="eastAsia"/>
                      <w:bCs/>
                      <w:spacing w:val="-6"/>
                      <w:sz w:val="21"/>
                      <w:szCs w:val="21"/>
                      <w:lang w:val="en-US" w:eastAsia="zh-CN"/>
                    </w:rPr>
                    <w:t>Sr-89</w:t>
                  </w:r>
                  <w:r>
                    <w:rPr>
                      <w:bCs/>
                      <w:spacing w:val="-6"/>
                      <w:sz w:val="21"/>
                      <w:szCs w:val="21"/>
                    </w:rPr>
                    <w:t>注射室）</w:t>
                  </w:r>
                </w:p>
              </w:tc>
              <w:tc>
                <w:tcPr>
                  <w:tcW w:w="388" w:type="pct"/>
                  <w:vMerge w:val="continue"/>
                  <w:vAlign w:val="center"/>
                </w:tcPr>
                <w:p w14:paraId="099FDD6E">
                  <w:pPr>
                    <w:keepNext w:val="0"/>
                    <w:keepLines w:val="0"/>
                    <w:pageBreakBefore w:val="0"/>
                    <w:kinsoku/>
                    <w:wordWrap/>
                    <w:overflowPunct/>
                    <w:topLinePunct w:val="0"/>
                    <w:autoSpaceDE/>
                    <w:autoSpaceDN/>
                    <w:bidi w:val="0"/>
                    <w:adjustRightInd/>
                    <w:snapToGrid/>
                    <w:spacing w:line="360" w:lineRule="exact"/>
                    <w:jc w:val="center"/>
                    <w:rPr>
                      <w:bCs/>
                      <w:sz w:val="21"/>
                      <w:szCs w:val="21"/>
                    </w:rPr>
                  </w:pPr>
                </w:p>
              </w:tc>
              <w:tc>
                <w:tcPr>
                  <w:tcW w:w="761" w:type="pct"/>
                  <w:vAlign w:val="center"/>
                </w:tcPr>
                <w:p w14:paraId="3E55659D">
                  <w:pPr>
                    <w:keepNext w:val="0"/>
                    <w:keepLines w:val="0"/>
                    <w:pageBreakBefore w:val="0"/>
                    <w:kinsoku/>
                    <w:wordWrap/>
                    <w:overflowPunct/>
                    <w:topLinePunct w:val="0"/>
                    <w:autoSpaceDE/>
                    <w:autoSpaceDN/>
                    <w:bidi w:val="0"/>
                    <w:adjustRightInd/>
                    <w:snapToGrid/>
                    <w:spacing w:line="360" w:lineRule="exact"/>
                    <w:jc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1.91E-11</w:t>
                  </w:r>
                </w:p>
              </w:tc>
              <w:tc>
                <w:tcPr>
                  <w:tcW w:w="618" w:type="pct"/>
                  <w:vMerge w:val="continue"/>
                  <w:vAlign w:val="center"/>
                </w:tcPr>
                <w:p w14:paraId="6374E520">
                  <w:pPr>
                    <w:keepNext w:val="0"/>
                    <w:keepLines w:val="0"/>
                    <w:pageBreakBefore w:val="0"/>
                    <w:kinsoku/>
                    <w:wordWrap/>
                    <w:overflowPunct/>
                    <w:topLinePunct w:val="0"/>
                    <w:autoSpaceDE/>
                    <w:autoSpaceDN/>
                    <w:bidi w:val="0"/>
                    <w:adjustRightInd/>
                    <w:snapToGrid/>
                    <w:spacing w:line="360" w:lineRule="exact"/>
                    <w:jc w:val="center"/>
                    <w:rPr>
                      <w:rFonts w:hint="eastAsia" w:eastAsia="宋体"/>
                      <w:bCs/>
                      <w:sz w:val="21"/>
                      <w:szCs w:val="21"/>
                      <w:lang w:val="en-US" w:eastAsia="zh-CN"/>
                    </w:rPr>
                  </w:pPr>
                </w:p>
              </w:tc>
              <w:tc>
                <w:tcPr>
                  <w:tcW w:w="914" w:type="pct"/>
                  <w:vMerge w:val="continue"/>
                  <w:vAlign w:val="center"/>
                </w:tcPr>
                <w:p w14:paraId="1053FAE4">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p>
              </w:tc>
            </w:tr>
            <w:tr w14:paraId="191512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3" w:type="pct"/>
                  <w:vAlign w:val="center"/>
                </w:tcPr>
                <w:p w14:paraId="046EC5DD">
                  <w:pPr>
                    <w:keepNext w:val="0"/>
                    <w:keepLines w:val="0"/>
                    <w:pageBreakBefore w:val="0"/>
                    <w:kinsoku/>
                    <w:wordWrap/>
                    <w:overflowPunct/>
                    <w:topLinePunct w:val="0"/>
                    <w:autoSpaceDE/>
                    <w:autoSpaceDN/>
                    <w:bidi w:val="0"/>
                    <w:adjustRightInd/>
                    <w:snapToGrid/>
                    <w:spacing w:line="360" w:lineRule="exact"/>
                    <w:jc w:val="center"/>
                    <w:rPr>
                      <w:rFonts w:hint="default" w:eastAsia="宋体"/>
                      <w:bCs/>
                      <w:sz w:val="21"/>
                      <w:szCs w:val="21"/>
                      <w:lang w:val="en-US" w:eastAsia="zh-CN"/>
                    </w:rPr>
                  </w:pPr>
                  <w:r>
                    <w:rPr>
                      <w:rFonts w:hint="eastAsia"/>
                      <w:bCs/>
                      <w:sz w:val="21"/>
                      <w:szCs w:val="21"/>
                      <w:lang w:val="en-US" w:eastAsia="zh-CN"/>
                    </w:rPr>
                    <w:t>甲功室工作人员</w:t>
                  </w:r>
                </w:p>
              </w:tc>
              <w:tc>
                <w:tcPr>
                  <w:tcW w:w="1592" w:type="pct"/>
                  <w:shd w:val="clear" w:color="auto" w:fill="auto"/>
                  <w:vAlign w:val="center"/>
                </w:tcPr>
                <w:p w14:paraId="4F295612">
                  <w:pPr>
                    <w:keepNext w:val="0"/>
                    <w:keepLines w:val="0"/>
                    <w:pageBreakBefore w:val="0"/>
                    <w:kinsoku/>
                    <w:wordWrap/>
                    <w:overflowPunct/>
                    <w:topLinePunct w:val="0"/>
                    <w:autoSpaceDE/>
                    <w:autoSpaceDN/>
                    <w:bidi w:val="0"/>
                    <w:adjustRightInd/>
                    <w:snapToGrid/>
                    <w:spacing w:line="360" w:lineRule="exact"/>
                    <w:jc w:val="center"/>
                    <w:rPr>
                      <w:bCs/>
                      <w:spacing w:val="-6"/>
                      <w:sz w:val="21"/>
                      <w:szCs w:val="21"/>
                    </w:rPr>
                  </w:pPr>
                  <w:r>
                    <w:rPr>
                      <w:rFonts w:hint="eastAsia"/>
                      <w:bCs/>
                      <w:spacing w:val="-6"/>
                      <w:sz w:val="21"/>
                      <w:szCs w:val="21"/>
                      <w:lang w:val="en-US" w:eastAsia="zh-CN"/>
                    </w:rPr>
                    <w:t>甲扫检查（甲功室）</w:t>
                  </w:r>
                </w:p>
              </w:tc>
              <w:tc>
                <w:tcPr>
                  <w:tcW w:w="388" w:type="pct"/>
                  <w:vAlign w:val="center"/>
                </w:tcPr>
                <w:p w14:paraId="5AE01B0B">
                  <w:pPr>
                    <w:keepNext w:val="0"/>
                    <w:keepLines w:val="0"/>
                    <w:pageBreakBefore w:val="0"/>
                    <w:kinsoku/>
                    <w:wordWrap/>
                    <w:overflowPunct/>
                    <w:topLinePunct w:val="0"/>
                    <w:autoSpaceDE/>
                    <w:autoSpaceDN/>
                    <w:bidi w:val="0"/>
                    <w:adjustRightInd/>
                    <w:snapToGrid/>
                    <w:spacing w:line="360" w:lineRule="exact"/>
                    <w:jc w:val="center"/>
                    <w:rPr>
                      <w:bCs/>
                      <w:sz w:val="21"/>
                      <w:szCs w:val="21"/>
                    </w:rPr>
                  </w:pPr>
                  <w:r>
                    <w:rPr>
                      <w:rFonts w:hint="eastAsia"/>
                      <w:bCs/>
                      <w:sz w:val="21"/>
                      <w:szCs w:val="21"/>
                      <w:vertAlign w:val="superscript"/>
                      <w:lang w:val="en-US" w:eastAsia="zh-CN"/>
                    </w:rPr>
                    <w:t>131</w:t>
                  </w:r>
                  <w:r>
                    <w:rPr>
                      <w:rFonts w:hint="eastAsia"/>
                      <w:bCs/>
                      <w:sz w:val="21"/>
                      <w:szCs w:val="21"/>
                      <w:lang w:val="en-US" w:eastAsia="zh-CN"/>
                    </w:rPr>
                    <w:t>I</w:t>
                  </w:r>
                </w:p>
              </w:tc>
              <w:tc>
                <w:tcPr>
                  <w:tcW w:w="761" w:type="pct"/>
                  <w:vAlign w:val="center"/>
                </w:tcPr>
                <w:p w14:paraId="6388E8B6">
                  <w:pPr>
                    <w:keepNext w:val="0"/>
                    <w:keepLines w:val="0"/>
                    <w:pageBreakBefore w:val="0"/>
                    <w:kinsoku/>
                    <w:wordWrap/>
                    <w:overflowPunct/>
                    <w:topLinePunct w:val="0"/>
                    <w:autoSpaceDE/>
                    <w:autoSpaceDN/>
                    <w:bidi w:val="0"/>
                    <w:adjustRightInd/>
                    <w:snapToGrid/>
                    <w:spacing w:line="360" w:lineRule="exact"/>
                    <w:jc w:val="center"/>
                    <w:rPr>
                      <w:sz w:val="21"/>
                      <w:szCs w:val="21"/>
                    </w:rPr>
                  </w:pPr>
                  <w:r>
                    <w:rPr>
                      <w:rFonts w:hint="default" w:ascii="Times New Roman" w:hAnsi="Times New Roman" w:eastAsia="宋体" w:cs="Times New Roman"/>
                      <w:i w:val="0"/>
                      <w:iCs w:val="0"/>
                      <w:color w:val="000000"/>
                      <w:kern w:val="0"/>
                      <w:sz w:val="21"/>
                      <w:szCs w:val="21"/>
                      <w:u w:val="none"/>
                      <w:lang w:val="en-US" w:eastAsia="zh-CN" w:bidi="ar"/>
                    </w:rPr>
                    <w:t>5.55E-04</w:t>
                  </w:r>
                </w:p>
              </w:tc>
              <w:tc>
                <w:tcPr>
                  <w:tcW w:w="618" w:type="pct"/>
                  <w:vAlign w:val="center"/>
                </w:tcPr>
                <w:p w14:paraId="5752DD60">
                  <w:pPr>
                    <w:keepNext w:val="0"/>
                    <w:keepLines w:val="0"/>
                    <w:pageBreakBefore w:val="0"/>
                    <w:kinsoku/>
                    <w:wordWrap/>
                    <w:overflowPunct/>
                    <w:topLinePunct w:val="0"/>
                    <w:autoSpaceDE/>
                    <w:autoSpaceDN/>
                    <w:bidi w:val="0"/>
                    <w:adjustRightInd/>
                    <w:snapToGrid/>
                    <w:spacing w:line="360" w:lineRule="exact"/>
                    <w:jc w:val="center"/>
                    <w:rPr>
                      <w:rFonts w:hint="eastAsia" w:eastAsia="宋体"/>
                      <w:bCs/>
                      <w:sz w:val="21"/>
                      <w:szCs w:val="21"/>
                      <w:lang w:val="en-US" w:eastAsia="zh-CN"/>
                    </w:rPr>
                  </w:pPr>
                  <w:r>
                    <w:rPr>
                      <w:rFonts w:hint="eastAsia"/>
                      <w:bCs/>
                      <w:sz w:val="21"/>
                      <w:szCs w:val="21"/>
                      <w:lang w:val="en-US" w:eastAsia="zh-CN"/>
                    </w:rPr>
                    <w:t>1</w:t>
                  </w:r>
                </w:p>
              </w:tc>
              <w:tc>
                <w:tcPr>
                  <w:tcW w:w="914" w:type="pct"/>
                  <w:vAlign w:val="center"/>
                </w:tcPr>
                <w:p w14:paraId="7DCA8476">
                  <w:pPr>
                    <w:keepNext w:val="0"/>
                    <w:keepLines w:val="0"/>
                    <w:pageBreakBefore w:val="0"/>
                    <w:widowControl/>
                    <w:kinsoku/>
                    <w:wordWrap/>
                    <w:overflowPunct/>
                    <w:topLinePunct w:val="0"/>
                    <w:autoSpaceDE/>
                    <w:autoSpaceDN/>
                    <w:bidi w:val="0"/>
                    <w:adjustRightInd/>
                    <w:snapToGrid/>
                    <w:spacing w:line="360" w:lineRule="exact"/>
                    <w:jc w:val="center"/>
                    <w:rPr>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5.55E-04</w:t>
                  </w:r>
                </w:p>
              </w:tc>
            </w:tr>
          </w:tbl>
          <w:p w14:paraId="5CC2BB11">
            <w:pPr>
              <w:spacing w:line="240" w:lineRule="auto"/>
              <w:rPr>
                <w:rFonts w:eastAsia="黑体"/>
                <w:bCs/>
                <w:sz w:val="21"/>
                <w:szCs w:val="21"/>
              </w:rPr>
            </w:pPr>
            <w:r>
              <w:rPr>
                <w:rFonts w:hint="eastAsia" w:eastAsia="黑体"/>
                <w:bCs/>
                <w:sz w:val="21"/>
                <w:szCs w:val="21"/>
                <w:lang w:val="en-US" w:eastAsia="zh-CN"/>
              </w:rPr>
              <w:t>注：</w:t>
            </w:r>
            <w:r>
              <w:rPr>
                <w:rFonts w:eastAsia="黑体"/>
                <w:bCs/>
                <w:sz w:val="21"/>
                <w:szCs w:val="21"/>
              </w:rPr>
              <w:t>由于PET/CT机房和</w:t>
            </w:r>
            <w:r>
              <w:rPr>
                <w:rFonts w:hint="eastAsia" w:eastAsia="黑体"/>
                <w:bCs/>
                <w:sz w:val="21"/>
                <w:szCs w:val="21"/>
                <w:lang w:val="en-US" w:eastAsia="zh-CN"/>
              </w:rPr>
              <w:t>S</w:t>
            </w:r>
            <w:r>
              <w:rPr>
                <w:rFonts w:eastAsia="黑体"/>
                <w:bCs/>
                <w:sz w:val="21"/>
                <w:szCs w:val="21"/>
              </w:rPr>
              <w:t>PE</w:t>
            </w:r>
            <w:r>
              <w:rPr>
                <w:rFonts w:hint="eastAsia" w:eastAsia="黑体"/>
                <w:bCs/>
                <w:sz w:val="21"/>
                <w:szCs w:val="21"/>
                <w:lang w:val="en-US" w:eastAsia="zh-CN"/>
              </w:rPr>
              <w:t>C</w:t>
            </w:r>
            <w:r>
              <w:rPr>
                <w:rFonts w:eastAsia="黑体"/>
                <w:bCs/>
                <w:sz w:val="21"/>
                <w:szCs w:val="21"/>
              </w:rPr>
              <w:t>T/</w:t>
            </w:r>
            <w:r>
              <w:rPr>
                <w:rFonts w:hint="eastAsia" w:eastAsia="黑体"/>
                <w:bCs/>
                <w:sz w:val="21"/>
                <w:szCs w:val="21"/>
                <w:lang w:val="en-US" w:eastAsia="zh-CN"/>
              </w:rPr>
              <w:t>CT</w:t>
            </w:r>
            <w:r>
              <w:rPr>
                <w:rFonts w:eastAsia="黑体"/>
                <w:bCs/>
                <w:sz w:val="21"/>
                <w:szCs w:val="21"/>
              </w:rPr>
              <w:t>机房相邻，保守考虑PET/CT和</w:t>
            </w:r>
            <w:r>
              <w:rPr>
                <w:rFonts w:hint="eastAsia" w:eastAsia="黑体"/>
                <w:bCs/>
                <w:sz w:val="21"/>
                <w:szCs w:val="21"/>
                <w:lang w:val="en-US" w:eastAsia="zh-CN"/>
              </w:rPr>
              <w:t>S</w:t>
            </w:r>
            <w:r>
              <w:rPr>
                <w:rFonts w:eastAsia="黑体"/>
                <w:bCs/>
                <w:sz w:val="21"/>
                <w:szCs w:val="21"/>
              </w:rPr>
              <w:t>PE</w:t>
            </w:r>
            <w:r>
              <w:rPr>
                <w:rFonts w:hint="eastAsia" w:eastAsia="黑体"/>
                <w:bCs/>
                <w:sz w:val="21"/>
                <w:szCs w:val="21"/>
                <w:lang w:val="en-US" w:eastAsia="zh-CN"/>
              </w:rPr>
              <w:t>C</w:t>
            </w:r>
            <w:r>
              <w:rPr>
                <w:rFonts w:eastAsia="黑体"/>
                <w:bCs/>
                <w:sz w:val="21"/>
                <w:szCs w:val="21"/>
              </w:rPr>
              <w:t>T/</w:t>
            </w:r>
            <w:r>
              <w:rPr>
                <w:rFonts w:hint="eastAsia" w:eastAsia="黑体"/>
                <w:bCs/>
                <w:sz w:val="21"/>
                <w:szCs w:val="21"/>
                <w:lang w:val="en-US" w:eastAsia="zh-CN"/>
              </w:rPr>
              <w:t>CT</w:t>
            </w:r>
            <w:r>
              <w:rPr>
                <w:rFonts w:eastAsia="黑体"/>
                <w:bCs/>
                <w:sz w:val="21"/>
                <w:szCs w:val="21"/>
              </w:rPr>
              <w:t>的操作人员同时受到两间机房显像的影响，将相应剂量叠加进行评价。</w:t>
            </w:r>
          </w:p>
          <w:p w14:paraId="09E16FDE">
            <w:pPr>
              <w:ind w:firstLine="480"/>
              <w:rPr>
                <w:rFonts w:eastAsia="仿宋"/>
                <w:sz w:val="28"/>
                <w:szCs w:val="28"/>
              </w:rPr>
            </w:pPr>
            <w:r>
              <w:t>根据上表可知，负一层</w:t>
            </w:r>
            <w:r>
              <w:rPr>
                <w:rFonts w:hint="eastAsia"/>
                <w:lang w:val="en-US" w:eastAsia="zh-CN"/>
              </w:rPr>
              <w:t>核医学科</w:t>
            </w:r>
            <w:r>
              <w:t>职业人员年受照有效剂量最大值为</w:t>
            </w:r>
            <w:r>
              <w:rPr>
                <w:rFonts w:hint="eastAsia"/>
                <w:lang w:val="en-US" w:eastAsia="zh-CN"/>
              </w:rPr>
              <w:t>4.0</w:t>
            </w:r>
            <w:r>
              <w:t>mSv/a，满足职业人员5mSv/a剂量约束值要求。</w:t>
            </w:r>
          </w:p>
          <w:p w14:paraId="288D49C7">
            <w:pPr>
              <w:ind w:firstLine="482"/>
            </w:pPr>
            <w:r>
              <w:rPr>
                <w:b/>
                <w:bCs/>
              </w:rPr>
              <w:t>②公众</w:t>
            </w:r>
          </w:p>
          <w:p w14:paraId="4F541EA0">
            <w:pPr>
              <w:ind w:firstLine="480"/>
            </w:pPr>
            <w:r>
              <w:t>根据表11-</w:t>
            </w:r>
            <w:r>
              <w:rPr>
                <w:rFonts w:hint="eastAsia"/>
              </w:rPr>
              <w:t>30</w:t>
            </w:r>
            <w:r>
              <w:t>负一层</w:t>
            </w:r>
            <w:r>
              <w:rPr>
                <w:rFonts w:hint="eastAsia"/>
                <w:lang w:val="en-US" w:eastAsia="zh-CN"/>
              </w:rPr>
              <w:t>核医学科</w:t>
            </w:r>
            <w:r>
              <w:t>公众关注点年受照剂量计算结果可知，负一层</w:t>
            </w:r>
            <w:r>
              <w:rPr>
                <w:rFonts w:hint="eastAsia"/>
                <w:lang w:val="en-US" w:eastAsia="zh-CN"/>
              </w:rPr>
              <w:t>核医学科</w:t>
            </w:r>
            <w:r>
              <w:t>周围公众</w:t>
            </w:r>
            <w:r>
              <w:rPr>
                <w:spacing w:val="-6"/>
              </w:rPr>
              <w:t>受照年有效剂量最大值为7.</w:t>
            </w:r>
            <w:r>
              <w:rPr>
                <w:rFonts w:hint="eastAsia"/>
                <w:spacing w:val="-6"/>
                <w:lang w:val="en-US" w:eastAsia="zh-CN"/>
              </w:rPr>
              <w:t>86</w:t>
            </w:r>
            <w:r>
              <w:rPr>
                <w:spacing w:val="-6"/>
              </w:rPr>
              <w:t>×10</w:t>
            </w:r>
            <w:r>
              <w:rPr>
                <w:spacing w:val="-6"/>
                <w:vertAlign w:val="superscript"/>
              </w:rPr>
              <w:t>-2</w:t>
            </w:r>
            <w:r>
              <w:rPr>
                <w:spacing w:val="-6"/>
              </w:rPr>
              <w:t>mSv/a，满足公众0.1mSv/a</w:t>
            </w:r>
            <w:r>
              <w:t>剂量约束值要求。</w:t>
            </w:r>
          </w:p>
          <w:p w14:paraId="6927B6F7">
            <w:pPr>
              <w:ind w:firstLine="480"/>
            </w:pPr>
            <w:r>
              <w:t>由于随距离增加，公众受照射剂量将不断减小，因此在负一层</w:t>
            </w:r>
            <w:r>
              <w:rPr>
                <w:rFonts w:hint="eastAsia"/>
                <w:lang w:val="en-US" w:eastAsia="zh-CN"/>
              </w:rPr>
              <w:t>核医学科</w:t>
            </w:r>
            <w:r>
              <w:t>50m评价范围内的其他公众也满足0.1mSv/a的剂量约束值要求。实际上，病人在用药后候诊等待的过程中，由于衰变和身体排出导致病人体内核素的活度不断减少，对周围的辐射影响也将不断降低，因此对周围公众影响较小。</w:t>
            </w:r>
          </w:p>
          <w:p w14:paraId="33A30F94">
            <w:pPr>
              <w:ind w:firstLine="480"/>
              <w:rPr>
                <w:rFonts w:eastAsia="黑体"/>
              </w:rPr>
            </w:pPr>
            <w:r>
              <w:rPr>
                <w:rFonts w:eastAsia="黑体"/>
              </w:rPr>
              <w:t>（四）</w:t>
            </w:r>
            <w:r>
              <w:rPr>
                <w:rFonts w:hint="eastAsia" w:eastAsia="黑体"/>
                <w:lang w:val="en-US" w:eastAsia="zh-CN"/>
              </w:rPr>
              <w:t>四</w:t>
            </w:r>
            <w:r>
              <w:rPr>
                <w:rFonts w:eastAsia="黑体"/>
              </w:rPr>
              <w:t>层</w:t>
            </w:r>
            <w:r>
              <w:rPr>
                <w:rFonts w:hint="eastAsia" w:eastAsia="黑体"/>
                <w:lang w:val="en-US" w:eastAsia="zh-CN"/>
              </w:rPr>
              <w:t>手术部和内镜中心</w:t>
            </w:r>
            <w:r>
              <w:rPr>
                <w:rFonts w:eastAsia="黑体"/>
              </w:rPr>
              <w:t>辐射环境影响分析</w:t>
            </w:r>
          </w:p>
          <w:p w14:paraId="2A3355ED">
            <w:pPr>
              <w:ind w:firstLine="480" w:firstLineChars="200"/>
              <w:rPr>
                <w:color w:val="auto"/>
                <w:highlight w:val="none"/>
              </w:rPr>
            </w:pPr>
            <w:r>
              <w:rPr>
                <w:color w:val="auto"/>
                <w:highlight w:val="none"/>
              </w:rPr>
              <w:t>本项目</w:t>
            </w:r>
            <w:r>
              <w:rPr>
                <w:rFonts w:hint="eastAsia"/>
                <w:color w:val="auto"/>
                <w:highlight w:val="none"/>
              </w:rPr>
              <w:t>四层手术部和内镜中心</w:t>
            </w:r>
            <w:r>
              <w:rPr>
                <w:rFonts w:hint="eastAsia"/>
                <w:color w:val="auto"/>
                <w:highlight w:val="none"/>
                <w:lang w:eastAsia="zh-CN"/>
              </w:rPr>
              <w:t>的</w:t>
            </w:r>
            <w:r>
              <w:rPr>
                <w:color w:val="auto"/>
                <w:highlight w:val="none"/>
              </w:rPr>
              <w:t>手术过程患者</w:t>
            </w:r>
            <w:r>
              <w:rPr>
                <w:rFonts w:hint="eastAsia"/>
                <w:color w:val="auto"/>
                <w:highlight w:val="none"/>
                <w:lang w:val="en-US" w:eastAsia="zh-CN"/>
              </w:rPr>
              <w:t>均</w:t>
            </w:r>
            <w:r>
              <w:rPr>
                <w:color w:val="auto"/>
                <w:highlight w:val="none"/>
              </w:rPr>
              <w:t>为平躺体位</w:t>
            </w:r>
            <w:r>
              <w:rPr>
                <w:rFonts w:hint="eastAsia"/>
                <w:color w:val="auto"/>
                <w:highlight w:val="none"/>
              </w:rPr>
              <w:t>，</w:t>
            </w:r>
            <w:r>
              <w:rPr>
                <w:rFonts w:hint="eastAsia"/>
                <w:color w:val="auto"/>
                <w:highlight w:val="none"/>
                <w:lang w:val="en-US" w:eastAsia="zh-CN"/>
              </w:rPr>
              <w:t>手术中射线装置的主射束</w:t>
            </w:r>
            <w:r>
              <w:rPr>
                <w:rFonts w:hint="eastAsia"/>
                <w:color w:val="auto"/>
                <w:highlight w:val="none"/>
              </w:rPr>
              <w:t>方向为</w:t>
            </w:r>
            <w:r>
              <w:rPr>
                <w:color w:val="auto"/>
                <w:highlight w:val="none"/>
              </w:rPr>
              <w:t>由下往上</w:t>
            </w:r>
            <w:r>
              <w:rPr>
                <w:rFonts w:hint="eastAsia"/>
                <w:color w:val="auto"/>
                <w:highlight w:val="none"/>
              </w:rPr>
              <w:t>。</w:t>
            </w:r>
            <w:r>
              <w:rPr>
                <w:rFonts w:hint="eastAsia"/>
                <w:color w:val="auto"/>
                <w:highlight w:val="none"/>
                <w:lang w:val="en-US" w:eastAsia="zh-CN"/>
              </w:rPr>
              <w:t>射线装置</w:t>
            </w:r>
            <w:r>
              <w:rPr>
                <w:color w:val="auto"/>
                <w:kern w:val="0"/>
                <w:highlight w:val="none"/>
              </w:rPr>
              <w:t>运行时</w:t>
            </w:r>
            <w:r>
              <w:rPr>
                <w:rFonts w:hint="eastAsia"/>
                <w:color w:val="auto"/>
                <w:kern w:val="0"/>
                <w:highlight w:val="none"/>
              </w:rPr>
              <w:t>，</w:t>
            </w:r>
            <w:r>
              <w:rPr>
                <w:rFonts w:hint="eastAsia"/>
                <w:color w:val="auto"/>
                <w:highlight w:val="none"/>
                <w:lang w:val="en-US" w:eastAsia="zh-CN"/>
              </w:rPr>
              <w:t>机房</w:t>
            </w:r>
            <w:r>
              <w:rPr>
                <w:color w:val="auto"/>
                <w:highlight w:val="none"/>
              </w:rPr>
              <w:t>四周的保护目标受到X射线散射和漏射影响，</w:t>
            </w:r>
            <w:r>
              <w:rPr>
                <w:rFonts w:hint="eastAsia"/>
                <w:color w:val="auto"/>
                <w:highlight w:val="none"/>
                <w:lang w:val="en-US" w:eastAsia="zh-CN"/>
              </w:rPr>
              <w:t>机房</w:t>
            </w:r>
            <w:r>
              <w:rPr>
                <w:color w:val="auto"/>
                <w:highlight w:val="none"/>
              </w:rPr>
              <w:t>楼上受到主射影响，</w:t>
            </w:r>
            <w:r>
              <w:rPr>
                <w:rFonts w:hint="eastAsia"/>
                <w:color w:val="auto"/>
                <w:highlight w:val="none"/>
                <w:lang w:val="en-US" w:eastAsia="zh-CN"/>
              </w:rPr>
              <w:t>机房</w:t>
            </w:r>
            <w:r>
              <w:rPr>
                <w:color w:val="auto"/>
                <w:highlight w:val="none"/>
              </w:rPr>
              <w:t>内的辐射工作人员受到散射和漏射的影响。根据电离辐射</w:t>
            </w:r>
            <w:r>
              <w:rPr>
                <w:rFonts w:hint="eastAsia"/>
                <w:color w:val="auto"/>
                <w:highlight w:val="none"/>
              </w:rPr>
              <w:t>大小</w:t>
            </w:r>
            <w:r>
              <w:rPr>
                <w:color w:val="auto"/>
                <w:highlight w:val="none"/>
              </w:rPr>
              <w:t>随着距离的增加而衰减的规律，距离</w:t>
            </w:r>
            <w:r>
              <w:rPr>
                <w:rFonts w:hint="eastAsia"/>
                <w:color w:val="auto"/>
                <w:highlight w:val="none"/>
                <w:lang w:val="en-US" w:eastAsia="zh-CN"/>
              </w:rPr>
              <w:t>各机房</w:t>
            </w:r>
            <w:r>
              <w:rPr>
                <w:color w:val="auto"/>
                <w:highlight w:val="none"/>
              </w:rPr>
              <w:t>最近的关注点受到的辐射剂量可以代表最大可能受到的辐射剂量。</w:t>
            </w:r>
          </w:p>
          <w:p w14:paraId="48BE4598">
            <w:pPr>
              <w:pStyle w:val="20"/>
              <w:ind w:firstLine="480" w:firstLineChars="200"/>
              <w:rPr>
                <w:color w:val="auto"/>
                <w:kern w:val="0"/>
                <w:highlight w:val="none"/>
              </w:rPr>
            </w:pPr>
            <w:r>
              <w:rPr>
                <w:color w:val="auto"/>
                <w:kern w:val="0"/>
                <w:highlight w:val="none"/>
              </w:rPr>
              <w:t>为防止烧毁球管、延长设备使用寿命，实际工作时，</w:t>
            </w:r>
            <w:r>
              <w:rPr>
                <w:rFonts w:hint="eastAsia"/>
                <w:color w:val="auto"/>
                <w:kern w:val="0"/>
                <w:highlight w:val="none"/>
                <w:lang w:val="en-US" w:eastAsia="zh-CN"/>
              </w:rPr>
              <w:t>射线装置（DSA、DSA+CT和ERCP）</w:t>
            </w:r>
            <w:r>
              <w:rPr>
                <w:color w:val="auto"/>
                <w:kern w:val="0"/>
                <w:highlight w:val="none"/>
              </w:rPr>
              <w:t>管电压和管电流通常都留有较大的余量。根据医院提供资料，本项目</w:t>
            </w:r>
            <w:r>
              <w:rPr>
                <w:rFonts w:hint="eastAsia"/>
                <w:color w:val="auto"/>
                <w:kern w:val="0"/>
                <w:highlight w:val="none"/>
                <w:lang w:val="en-US" w:eastAsia="zh-CN"/>
              </w:rPr>
              <w:t>射线装置（DSA、DSA+CT和ERCP）</w:t>
            </w:r>
            <w:r>
              <w:rPr>
                <w:color w:val="auto"/>
                <w:kern w:val="0"/>
                <w:highlight w:val="none"/>
              </w:rPr>
              <w:t>通常</w:t>
            </w:r>
            <w:r>
              <w:rPr>
                <w:rFonts w:hint="eastAsia"/>
                <w:color w:val="auto"/>
                <w:kern w:val="0"/>
                <w:highlight w:val="none"/>
                <w:lang w:val="en-US" w:eastAsia="zh-CN"/>
              </w:rPr>
              <w:t>介入操作条件</w:t>
            </w:r>
            <w:r>
              <w:rPr>
                <w:color w:val="auto"/>
                <w:kern w:val="0"/>
                <w:highlight w:val="none"/>
              </w:rPr>
              <w:t>下管电压在</w:t>
            </w:r>
            <w:r>
              <w:rPr>
                <w:rFonts w:hint="eastAsia"/>
                <w:color w:val="auto"/>
                <w:kern w:val="0"/>
                <w:highlight w:val="none"/>
              </w:rPr>
              <w:t>70</w:t>
            </w:r>
            <w:r>
              <w:rPr>
                <w:color w:val="auto"/>
                <w:kern w:val="0"/>
                <w:highlight w:val="none"/>
              </w:rPr>
              <w:t>~75kV、管电流在5~12mA，</w:t>
            </w:r>
            <w:r>
              <w:rPr>
                <w:rFonts w:hint="eastAsia"/>
                <w:color w:val="auto"/>
                <w:kern w:val="0"/>
                <w:highlight w:val="none"/>
                <w:lang w:val="en-US" w:eastAsia="zh-CN"/>
              </w:rPr>
              <w:t>影像检查条件</w:t>
            </w:r>
            <w:r>
              <w:rPr>
                <w:color w:val="auto"/>
                <w:kern w:val="0"/>
                <w:highlight w:val="none"/>
              </w:rPr>
              <w:t>下管电压在</w:t>
            </w:r>
            <w:r>
              <w:rPr>
                <w:rFonts w:hint="eastAsia"/>
                <w:color w:val="auto"/>
                <w:kern w:val="0"/>
                <w:highlight w:val="none"/>
              </w:rPr>
              <w:t>75</w:t>
            </w:r>
            <w:r>
              <w:rPr>
                <w:color w:val="auto"/>
                <w:kern w:val="0"/>
                <w:highlight w:val="none"/>
              </w:rPr>
              <w:t>~85kV、管电流在100~</w:t>
            </w:r>
            <w:r>
              <w:rPr>
                <w:rFonts w:hint="eastAsia"/>
                <w:color w:val="auto"/>
                <w:kern w:val="0"/>
                <w:highlight w:val="none"/>
              </w:rPr>
              <w:t>55</w:t>
            </w:r>
            <w:r>
              <w:rPr>
                <w:color w:val="auto"/>
                <w:kern w:val="0"/>
                <w:highlight w:val="none"/>
              </w:rPr>
              <w:t>0mA。保守起见，本项目按</w:t>
            </w:r>
            <w:r>
              <w:rPr>
                <w:rFonts w:hint="eastAsia"/>
                <w:color w:val="auto"/>
                <w:kern w:val="0"/>
                <w:highlight w:val="none"/>
                <w:lang w:val="en-US" w:eastAsia="zh-CN"/>
              </w:rPr>
              <w:t>影像检查条件</w:t>
            </w:r>
            <w:r>
              <w:rPr>
                <w:color w:val="auto"/>
                <w:kern w:val="0"/>
                <w:highlight w:val="none"/>
              </w:rPr>
              <w:t>（85kV、</w:t>
            </w:r>
            <w:r>
              <w:rPr>
                <w:rFonts w:hint="eastAsia"/>
                <w:color w:val="auto"/>
                <w:kern w:val="0"/>
                <w:highlight w:val="none"/>
              </w:rPr>
              <w:t>55</w:t>
            </w:r>
            <w:r>
              <w:rPr>
                <w:color w:val="auto"/>
                <w:kern w:val="0"/>
                <w:highlight w:val="none"/>
              </w:rPr>
              <w:t>0mA）</w:t>
            </w:r>
            <w:r>
              <w:rPr>
                <w:rFonts w:hint="eastAsia"/>
                <w:color w:val="auto"/>
                <w:kern w:val="0"/>
                <w:highlight w:val="none"/>
                <w:lang w:eastAsia="zh-CN"/>
              </w:rPr>
              <w:t>、</w:t>
            </w:r>
            <w:r>
              <w:rPr>
                <w:rFonts w:hint="eastAsia"/>
                <w:color w:val="auto"/>
                <w:kern w:val="0"/>
                <w:highlight w:val="none"/>
                <w:lang w:val="en-US" w:eastAsia="zh-CN"/>
              </w:rPr>
              <w:t>介入操作条件</w:t>
            </w:r>
            <w:r>
              <w:rPr>
                <w:color w:val="auto"/>
                <w:kern w:val="0"/>
                <w:highlight w:val="none"/>
              </w:rPr>
              <w:t>（75kV、12mA）进行预测。</w:t>
            </w:r>
          </w:p>
          <w:p w14:paraId="62F78BB2">
            <w:pPr>
              <w:ind w:firstLine="480" w:firstLineChars="200"/>
              <w:rPr>
                <w:color w:val="auto"/>
                <w:sz w:val="21"/>
                <w:szCs w:val="21"/>
                <w:highlight w:val="none"/>
              </w:rPr>
            </w:pPr>
            <w:r>
              <w:rPr>
                <w:rFonts w:hint="eastAsia"/>
                <w:color w:val="auto"/>
                <w:kern w:val="0"/>
                <w:highlight w:val="none"/>
                <w:lang w:val="en-US" w:eastAsia="zh-CN"/>
              </w:rPr>
              <w:t>射线装置（DSA、DSA+CT和ERCP）</w:t>
            </w:r>
            <w:r>
              <w:rPr>
                <w:color w:val="auto"/>
                <w:highlight w:val="none"/>
              </w:rPr>
              <w:t>进行曝光时分两种情况：</w:t>
            </w:r>
          </w:p>
          <w:p w14:paraId="58602CBD">
            <w:pPr>
              <w:ind w:firstLine="480" w:firstLineChars="200"/>
              <w:rPr>
                <w:rFonts w:hint="default" w:eastAsia="宋体"/>
                <w:color w:val="auto"/>
                <w:highlight w:val="none"/>
                <w:lang w:val="en-US" w:eastAsia="zh-CN"/>
              </w:rPr>
            </w:pPr>
            <w:r>
              <w:rPr>
                <w:color w:val="auto"/>
                <w:highlight w:val="none"/>
              </w:rPr>
              <w:t>（1）</w:t>
            </w:r>
            <w:r>
              <w:rPr>
                <w:rFonts w:hint="eastAsia"/>
                <w:color w:val="auto"/>
                <w:highlight w:val="none"/>
                <w:lang w:val="en-US" w:eastAsia="zh-CN"/>
              </w:rPr>
              <w:t>影像检查</w:t>
            </w:r>
          </w:p>
          <w:p w14:paraId="098A6C63">
            <w:pPr>
              <w:ind w:firstLine="480" w:firstLineChars="200"/>
              <w:rPr>
                <w:color w:val="auto"/>
                <w:highlight w:val="none"/>
              </w:rPr>
            </w:pPr>
            <w:r>
              <w:rPr>
                <w:color w:val="auto"/>
                <w:highlight w:val="none"/>
              </w:rPr>
              <w:t>操作人员采取隔室操作的方式，医生通过铅玻璃观察窗观察</w:t>
            </w:r>
            <w:r>
              <w:rPr>
                <w:rFonts w:hint="eastAsia"/>
                <w:bCs/>
                <w:color w:val="auto"/>
                <w:kern w:val="0"/>
                <w:highlight w:val="none"/>
                <w:lang w:val="en-US" w:eastAsia="zh-CN"/>
              </w:rPr>
              <w:t>机房</w:t>
            </w:r>
            <w:r>
              <w:rPr>
                <w:color w:val="auto"/>
                <w:highlight w:val="none"/>
              </w:rPr>
              <w:t>内病人情况，通过对讲系统与病人交流。在</w:t>
            </w:r>
            <w:r>
              <w:rPr>
                <w:rFonts w:hint="eastAsia"/>
                <w:color w:val="auto"/>
                <w:highlight w:val="none"/>
                <w:lang w:eastAsia="zh-CN"/>
              </w:rPr>
              <w:t>影像检查</w:t>
            </w:r>
            <w:r>
              <w:rPr>
                <w:color w:val="auto"/>
                <w:highlight w:val="none"/>
              </w:rPr>
              <w:t>过程中，医生位于控制室内。</w:t>
            </w:r>
          </w:p>
          <w:p w14:paraId="231B198E">
            <w:pPr>
              <w:ind w:firstLine="480" w:firstLineChars="200"/>
              <w:rPr>
                <w:rFonts w:hint="default" w:eastAsia="宋体"/>
                <w:color w:val="auto"/>
                <w:highlight w:val="none"/>
                <w:lang w:val="en-US" w:eastAsia="zh-CN"/>
              </w:rPr>
            </w:pPr>
            <w:r>
              <w:rPr>
                <w:color w:val="auto"/>
                <w:highlight w:val="none"/>
              </w:rPr>
              <w:t>（2）</w:t>
            </w:r>
            <w:r>
              <w:rPr>
                <w:rFonts w:hint="eastAsia"/>
                <w:color w:val="auto"/>
                <w:highlight w:val="none"/>
                <w:lang w:val="en-US" w:eastAsia="zh-CN"/>
              </w:rPr>
              <w:t>介入操作</w:t>
            </w:r>
          </w:p>
          <w:p w14:paraId="361BEABC">
            <w:pPr>
              <w:pStyle w:val="20"/>
              <w:ind w:firstLine="480" w:firstLineChars="200"/>
              <w:rPr>
                <w:rFonts w:hint="eastAsia"/>
                <w:color w:val="auto"/>
                <w:highlight w:val="none"/>
              </w:rPr>
            </w:pPr>
            <w:r>
              <w:rPr>
                <w:color w:val="auto"/>
                <w:highlight w:val="none"/>
              </w:rPr>
              <w:t>病人需进行介入手术治疗时，为更清楚的了解病人情况，会</w:t>
            </w:r>
            <w:r>
              <w:rPr>
                <w:bCs/>
                <w:color w:val="auto"/>
                <w:highlight w:val="none"/>
              </w:rPr>
              <w:t>有间歇或</w:t>
            </w:r>
            <w:r>
              <w:rPr>
                <w:color w:val="auto"/>
                <w:highlight w:val="none"/>
              </w:rPr>
              <w:t>连续曝光，并采用连续脉冲透视。此时第一术者位医生位于</w:t>
            </w:r>
            <w:r>
              <w:rPr>
                <w:bCs/>
                <w:color w:val="auto"/>
                <w:highlight w:val="none"/>
              </w:rPr>
              <w:t>铅防护吊屏和</w:t>
            </w:r>
            <w:r>
              <w:rPr>
                <w:rFonts w:hint="eastAsia"/>
                <w:bCs/>
                <w:color w:val="auto"/>
                <w:highlight w:val="none"/>
              </w:rPr>
              <w:t>床侧防护帘</w:t>
            </w:r>
            <w:r>
              <w:rPr>
                <w:color w:val="auto"/>
                <w:highlight w:val="none"/>
              </w:rPr>
              <w:t>后，并穿戴铅</w:t>
            </w:r>
            <w:r>
              <w:rPr>
                <w:rFonts w:hint="eastAsia"/>
                <w:color w:val="auto"/>
                <w:highlight w:val="none"/>
              </w:rPr>
              <w:t>衣</w:t>
            </w:r>
            <w:r>
              <w:rPr>
                <w:color w:val="auto"/>
                <w:highlight w:val="none"/>
              </w:rPr>
              <w:t>、铅眼镜等在</w:t>
            </w:r>
            <w:r>
              <w:rPr>
                <w:rFonts w:hint="eastAsia"/>
                <w:bCs/>
                <w:color w:val="auto"/>
                <w:kern w:val="0"/>
                <w:highlight w:val="none"/>
                <w:lang w:val="en-US" w:eastAsia="zh-CN"/>
              </w:rPr>
              <w:t>机房</w:t>
            </w:r>
            <w:r>
              <w:rPr>
                <w:color w:val="auto"/>
                <w:highlight w:val="none"/>
              </w:rPr>
              <w:t>内对病人进行直接的手术操作，</w:t>
            </w:r>
            <w:bookmarkStart w:id="57" w:name="OLE_LINK21"/>
            <w:r>
              <w:rPr>
                <w:color w:val="auto"/>
                <w:highlight w:val="none"/>
              </w:rPr>
              <w:t>距离</w:t>
            </w:r>
            <w:r>
              <w:rPr>
                <w:rFonts w:hint="eastAsia"/>
                <w:color w:val="auto"/>
                <w:highlight w:val="none"/>
              </w:rPr>
              <w:t>辐射源</w:t>
            </w:r>
            <w:r>
              <w:rPr>
                <w:color w:val="auto"/>
                <w:highlight w:val="none"/>
              </w:rPr>
              <w:t>距离为0.</w:t>
            </w:r>
            <w:r>
              <w:rPr>
                <w:rFonts w:hint="eastAsia"/>
                <w:color w:val="auto"/>
                <w:highlight w:val="none"/>
              </w:rPr>
              <w:t>3</w:t>
            </w:r>
            <w:r>
              <w:rPr>
                <w:color w:val="auto"/>
                <w:highlight w:val="none"/>
              </w:rPr>
              <w:t>m</w:t>
            </w:r>
            <w:bookmarkEnd w:id="57"/>
            <w:r>
              <w:rPr>
                <w:color w:val="auto"/>
                <w:highlight w:val="none"/>
              </w:rPr>
              <w:t>；第二术者位的医师穿戴铅</w:t>
            </w:r>
            <w:r>
              <w:rPr>
                <w:rFonts w:hint="eastAsia"/>
                <w:color w:val="auto"/>
                <w:highlight w:val="none"/>
              </w:rPr>
              <w:t>衣</w:t>
            </w:r>
            <w:r>
              <w:rPr>
                <w:color w:val="auto"/>
                <w:highlight w:val="none"/>
              </w:rPr>
              <w:t>、铅眼镜</w:t>
            </w:r>
            <w:r>
              <w:rPr>
                <w:rFonts w:hint="eastAsia"/>
                <w:color w:val="auto"/>
                <w:highlight w:val="none"/>
              </w:rPr>
              <w:t>等</w:t>
            </w:r>
            <w:r>
              <w:rPr>
                <w:color w:val="auto"/>
                <w:highlight w:val="none"/>
              </w:rPr>
              <w:t>，距离</w:t>
            </w:r>
            <w:r>
              <w:rPr>
                <w:rFonts w:hint="eastAsia"/>
                <w:color w:val="auto"/>
                <w:highlight w:val="none"/>
              </w:rPr>
              <w:t>辐射源</w:t>
            </w:r>
            <w:r>
              <w:rPr>
                <w:color w:val="auto"/>
                <w:highlight w:val="none"/>
              </w:rPr>
              <w:t>距离为</w:t>
            </w:r>
            <w:r>
              <w:rPr>
                <w:rFonts w:hint="eastAsia"/>
                <w:color w:val="auto"/>
                <w:highlight w:val="none"/>
              </w:rPr>
              <w:t>1</w:t>
            </w:r>
            <w:r>
              <w:rPr>
                <w:color w:val="auto"/>
                <w:highlight w:val="none"/>
              </w:rPr>
              <w:t>m</w:t>
            </w:r>
            <w:r>
              <w:rPr>
                <w:rFonts w:hint="eastAsia"/>
                <w:color w:val="auto"/>
                <w:highlight w:val="none"/>
              </w:rPr>
              <w:t>；护士位的护士</w:t>
            </w:r>
            <w:r>
              <w:rPr>
                <w:color w:val="auto"/>
                <w:highlight w:val="none"/>
              </w:rPr>
              <w:t>穿戴铅</w:t>
            </w:r>
            <w:r>
              <w:rPr>
                <w:rFonts w:hint="eastAsia"/>
                <w:color w:val="auto"/>
                <w:highlight w:val="none"/>
              </w:rPr>
              <w:t>衣</w:t>
            </w:r>
            <w:r>
              <w:rPr>
                <w:color w:val="auto"/>
                <w:highlight w:val="none"/>
              </w:rPr>
              <w:t>、铅眼镜</w:t>
            </w:r>
            <w:r>
              <w:rPr>
                <w:rFonts w:hint="eastAsia"/>
                <w:color w:val="auto"/>
                <w:highlight w:val="none"/>
              </w:rPr>
              <w:t>等</w:t>
            </w:r>
            <w:r>
              <w:rPr>
                <w:color w:val="auto"/>
                <w:highlight w:val="none"/>
              </w:rPr>
              <w:t>，距离</w:t>
            </w:r>
            <w:r>
              <w:rPr>
                <w:rFonts w:hint="eastAsia"/>
                <w:color w:val="auto"/>
                <w:highlight w:val="none"/>
              </w:rPr>
              <w:t>辐射源</w:t>
            </w:r>
            <w:r>
              <w:rPr>
                <w:color w:val="auto"/>
                <w:highlight w:val="none"/>
              </w:rPr>
              <w:t>距离为</w:t>
            </w:r>
            <w:r>
              <w:rPr>
                <w:rFonts w:hint="eastAsia"/>
                <w:color w:val="auto"/>
                <w:highlight w:val="none"/>
              </w:rPr>
              <w:t>1.5</w:t>
            </w:r>
            <w:r>
              <w:rPr>
                <w:color w:val="auto"/>
                <w:highlight w:val="none"/>
              </w:rPr>
              <w:t>m</w:t>
            </w:r>
            <w:r>
              <w:rPr>
                <w:rFonts w:hint="eastAsia"/>
                <w:color w:val="auto"/>
                <w:highlight w:val="none"/>
              </w:rPr>
              <w:t>。</w:t>
            </w:r>
          </w:p>
          <w:p w14:paraId="3E102E87">
            <w:pPr>
              <w:pStyle w:val="281"/>
              <w:spacing w:line="360" w:lineRule="auto"/>
              <w:ind w:firstLine="482" w:firstLineChars="200"/>
              <w:jc w:val="both"/>
              <w:rPr>
                <w:b/>
                <w:bCs/>
                <w:color w:val="auto"/>
                <w:sz w:val="24"/>
                <w:szCs w:val="32"/>
                <w:highlight w:val="none"/>
              </w:rPr>
            </w:pPr>
            <w:r>
              <w:rPr>
                <w:rFonts w:hint="eastAsia"/>
                <w:b/>
                <w:bCs/>
                <w:color w:val="auto"/>
                <w:sz w:val="24"/>
                <w:szCs w:val="32"/>
                <w:highlight w:val="none"/>
              </w:rPr>
              <w:t>1、屏蔽透射因子确定</w:t>
            </w:r>
          </w:p>
          <w:p w14:paraId="60B5326D">
            <w:pPr>
              <w:widowControl/>
              <w:ind w:firstLine="480" w:firstLineChars="200"/>
              <w:rPr>
                <w:color w:val="auto"/>
                <w:highlight w:val="none"/>
              </w:rPr>
            </w:pPr>
            <w:r>
              <w:rPr>
                <w:color w:val="auto"/>
                <w:kern w:val="0"/>
                <w:highlight w:val="none"/>
                <w:lang w:bidi="ar"/>
              </w:rPr>
              <w:t>按照《放射诊断放射防护要求》（GBZ130-2020）附录C中公式</w:t>
            </w:r>
            <w:r>
              <w:rPr>
                <w:rFonts w:hint="eastAsia"/>
                <w:color w:val="auto"/>
                <w:kern w:val="0"/>
                <w:highlight w:val="none"/>
                <w:lang w:bidi="ar"/>
              </w:rPr>
              <w:t>，确定</w:t>
            </w:r>
            <w:r>
              <w:rPr>
                <w:color w:val="auto"/>
                <w:kern w:val="0"/>
                <w:highlight w:val="none"/>
                <w:lang w:bidi="ar"/>
              </w:rPr>
              <w:t>屏蔽透射因子</w:t>
            </w:r>
            <w:r>
              <w:rPr>
                <w:i/>
                <w:iCs/>
                <w:color w:val="auto"/>
                <w:kern w:val="0"/>
                <w:highlight w:val="none"/>
                <w:lang w:bidi="ar"/>
              </w:rPr>
              <w:t>B</w:t>
            </w:r>
            <w:r>
              <w:rPr>
                <w:color w:val="auto"/>
                <w:kern w:val="0"/>
                <w:highlight w:val="none"/>
                <w:lang w:bidi="ar"/>
              </w:rPr>
              <w:t>：</w:t>
            </w:r>
          </w:p>
          <w:p w14:paraId="53876AA4">
            <w:pPr>
              <w:tabs>
                <w:tab w:val="center" w:pos="4444"/>
              </w:tabs>
              <w:adjustRightInd w:val="0"/>
              <w:snapToGrid w:val="0"/>
              <w:ind w:right="720" w:firstLine="2640" w:firstLineChars="1100"/>
              <w:jc w:val="right"/>
              <w:rPr>
                <w:rFonts w:hint="eastAsia" w:eastAsia="宋体"/>
                <w:color w:val="auto"/>
                <w:highlight w:val="none"/>
                <w:lang w:eastAsia="zh-CN"/>
              </w:rPr>
            </w:pPr>
            <w:r>
              <w:rPr>
                <w:color w:val="auto"/>
                <w:position w:val="-30"/>
                <w:highlight w:val="none"/>
              </w:rPr>
              <w:object>
                <v:shape id="_x0000_i1028" o:spt="75" type="#_x0000_t75" style="height:42.95pt;width:119.9pt;" o:ole="t" filled="f" o:preferrelative="t" stroked="f" coordsize="21600,21600">
                  <v:path/>
                  <v:fill on="f" focussize="0,0"/>
                  <v:stroke on="f"/>
                  <v:imagedata r:id="rId31" o:title=""/>
                  <o:lock v:ext="edit" aspectratio="t"/>
                  <w10:wrap type="none"/>
                  <w10:anchorlock/>
                </v:shape>
                <o:OLEObject Type="Embed" ProgID="Equation.KSEE3" ShapeID="_x0000_i1028" DrawAspect="Content" ObjectID="_1468075728" r:id="rId41">
                  <o:LockedField>false</o:LockedField>
                </o:OLEObject>
              </w:object>
            </w:r>
            <w:r>
              <w:rPr>
                <w:color w:val="auto"/>
                <w:highlight w:val="none"/>
              </w:rPr>
              <w:t>………….....…………式11-</w:t>
            </w:r>
            <w:r>
              <w:rPr>
                <w:rFonts w:hint="eastAsia"/>
                <w:color w:val="auto"/>
                <w:highlight w:val="none"/>
                <w:lang w:val="en-US" w:eastAsia="zh-CN"/>
              </w:rPr>
              <w:t>7</w:t>
            </w:r>
          </w:p>
          <w:p w14:paraId="4A504D15">
            <w:pPr>
              <w:ind w:firstLine="480" w:firstLineChars="200"/>
              <w:rPr>
                <w:bCs/>
                <w:color w:val="auto"/>
                <w:highlight w:val="none"/>
              </w:rPr>
            </w:pPr>
            <w:r>
              <w:rPr>
                <w:color w:val="auto"/>
                <w:kern w:val="0"/>
                <w:highlight w:val="none"/>
              </w:rPr>
              <w:t>式中：</w:t>
            </w:r>
            <w:r>
              <w:rPr>
                <w:bCs/>
                <w:i/>
                <w:iCs/>
                <w:color w:val="auto"/>
                <w:highlight w:val="none"/>
              </w:rPr>
              <w:t>X</w:t>
            </w:r>
            <w:r>
              <w:rPr>
                <w:bCs/>
                <w:color w:val="auto"/>
                <w:highlight w:val="none"/>
              </w:rPr>
              <w:t>—屏蔽材料铅当量厚度，mm；</w:t>
            </w:r>
          </w:p>
          <w:p w14:paraId="62F30830">
            <w:pPr>
              <w:pStyle w:val="281"/>
              <w:spacing w:line="360" w:lineRule="auto"/>
              <w:ind w:firstLine="1200" w:firstLineChars="500"/>
              <w:jc w:val="both"/>
              <w:rPr>
                <w:rFonts w:hint="default" w:ascii="Times New Roman" w:hAnsi="Times New Roman" w:cs="Times New Roman"/>
                <w:bCs/>
                <w:color w:val="auto"/>
                <w:sz w:val="24"/>
                <w:szCs w:val="24"/>
                <w:highlight w:val="none"/>
              </w:rPr>
            </w:pPr>
            <w:r>
              <w:rPr>
                <w:rFonts w:hint="default" w:ascii="Times New Roman" w:hAnsi="Times New Roman" w:cs="Times New Roman"/>
                <w:bCs/>
                <w:i/>
                <w:iCs/>
                <w:color w:val="auto"/>
                <w:sz w:val="24"/>
                <w:szCs w:val="24"/>
                <w:highlight w:val="none"/>
              </w:rPr>
              <w:t>α、β、γ</w:t>
            </w:r>
            <w:r>
              <w:rPr>
                <w:rFonts w:hint="default" w:ascii="Times New Roman" w:hAnsi="Times New Roman" w:cs="Times New Roman"/>
                <w:bCs/>
                <w:color w:val="auto"/>
                <w:sz w:val="24"/>
                <w:szCs w:val="24"/>
                <w:highlight w:val="none"/>
              </w:rPr>
              <w:t>—对不同管电压X射线辐射衰减的有关的拟合参数。</w:t>
            </w:r>
          </w:p>
          <w:p w14:paraId="5ECD3E32">
            <w:pPr>
              <w:pStyle w:val="281"/>
              <w:spacing w:line="360" w:lineRule="auto"/>
              <w:ind w:firstLine="480" w:firstLineChars="200"/>
              <w:jc w:val="both"/>
              <w:rPr>
                <w:color w:val="auto"/>
                <w:sz w:val="24"/>
                <w:szCs w:val="24"/>
                <w:highlight w:val="none"/>
              </w:rPr>
            </w:pPr>
            <w:r>
              <w:rPr>
                <w:rFonts w:hint="default" w:ascii="Times New Roman" w:hAnsi="Times New Roman" w:cs="Times New Roman"/>
                <w:color w:val="auto"/>
                <w:sz w:val="24"/>
                <w:szCs w:val="24"/>
                <w:highlight w:val="none"/>
              </w:rPr>
              <w:t>据此计算，</w:t>
            </w:r>
            <w:r>
              <w:rPr>
                <w:rFonts w:hint="eastAsia" w:ascii="Times New Roman" w:hAnsi="Times New Roman" w:cs="Times New Roman"/>
                <w:color w:val="auto"/>
                <w:sz w:val="24"/>
                <w:szCs w:val="24"/>
                <w:highlight w:val="none"/>
                <w:lang w:val="en-US" w:eastAsia="zh-CN"/>
              </w:rPr>
              <w:t>四层各机房不同</w:t>
            </w:r>
            <w:r>
              <w:rPr>
                <w:rFonts w:hint="default" w:ascii="Times New Roman" w:hAnsi="Times New Roman" w:cs="Times New Roman"/>
                <w:color w:val="auto"/>
                <w:sz w:val="24"/>
                <w:szCs w:val="24"/>
                <w:highlight w:val="none"/>
              </w:rPr>
              <w:t>屏蔽体对应的屏蔽透射因子见下表。</w:t>
            </w:r>
          </w:p>
          <w:p w14:paraId="5A0EC97E">
            <w:pPr>
              <w:spacing w:before="163" w:beforeLines="50"/>
              <w:jc w:val="center"/>
              <w:rPr>
                <w:rFonts w:eastAsia="黑体"/>
                <w:b/>
                <w:color w:val="auto"/>
                <w:highlight w:val="none"/>
              </w:rPr>
            </w:pPr>
            <w:r>
              <w:rPr>
                <w:rFonts w:eastAsia="黑体"/>
                <w:b/>
                <w:color w:val="auto"/>
                <w:highlight w:val="none"/>
              </w:rPr>
              <w:t>表11-</w:t>
            </w:r>
            <w:r>
              <w:rPr>
                <w:rFonts w:hint="eastAsia" w:eastAsia="黑体"/>
                <w:b/>
                <w:color w:val="auto"/>
                <w:highlight w:val="none"/>
                <w:lang w:val="en-US" w:eastAsia="zh-CN"/>
              </w:rPr>
              <w:t>10</w:t>
            </w:r>
            <w:r>
              <w:rPr>
                <w:rFonts w:eastAsia="黑体"/>
                <w:b/>
                <w:color w:val="auto"/>
                <w:highlight w:val="none"/>
              </w:rPr>
              <w:t xml:space="preserve">  </w:t>
            </w:r>
            <w:r>
              <w:rPr>
                <w:rFonts w:hint="eastAsia" w:eastAsia="黑体"/>
                <w:b/>
                <w:color w:val="auto"/>
                <w:highlight w:val="none"/>
                <w:lang w:val="en-US" w:eastAsia="zh-CN"/>
              </w:rPr>
              <w:t>四层各机房</w:t>
            </w:r>
            <w:r>
              <w:rPr>
                <w:rFonts w:eastAsia="黑体"/>
                <w:b/>
                <w:color w:val="auto"/>
                <w:highlight w:val="none"/>
              </w:rPr>
              <w:t>屏蔽体及防护措施对应屏蔽透射因子一览表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9"/>
              <w:gridCol w:w="945"/>
              <w:gridCol w:w="1980"/>
              <w:gridCol w:w="863"/>
              <w:gridCol w:w="900"/>
              <w:gridCol w:w="818"/>
              <w:gridCol w:w="791"/>
              <w:gridCol w:w="819"/>
              <w:gridCol w:w="1036"/>
            </w:tblGrid>
            <w:tr w14:paraId="1FED12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restart"/>
                  <w:tcBorders>
                    <w:bottom w:val="single" w:color="auto" w:sz="4" w:space="0"/>
                  </w:tcBorders>
                  <w:noWrap w:val="0"/>
                  <w:vAlign w:val="center"/>
                </w:tcPr>
                <w:p w14:paraId="7A4DF1B4">
                  <w:pPr>
                    <w:keepNext w:val="0"/>
                    <w:keepLines w:val="0"/>
                    <w:pageBreakBefore w:val="0"/>
                    <w:kinsoku/>
                    <w:wordWrap/>
                    <w:overflowPunct/>
                    <w:topLinePunct w:val="0"/>
                    <w:autoSpaceDE w:val="0"/>
                    <w:autoSpaceDN w:val="0"/>
                    <w:bidi w:val="0"/>
                    <w:adjustRightInd w:val="0"/>
                    <w:snapToGrid/>
                    <w:spacing w:line="300" w:lineRule="exact"/>
                    <w:jc w:val="center"/>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机房名称</w:t>
                  </w:r>
                </w:p>
              </w:tc>
              <w:tc>
                <w:tcPr>
                  <w:tcW w:w="527" w:type="pct"/>
                  <w:vMerge w:val="restart"/>
                  <w:tcBorders>
                    <w:bottom w:val="single" w:color="auto" w:sz="4" w:space="0"/>
                  </w:tcBorders>
                  <w:shd w:val="clear" w:color="auto" w:fill="auto"/>
                  <w:noWrap w:val="0"/>
                  <w:vAlign w:val="center"/>
                </w:tcPr>
                <w:p w14:paraId="04B48A2F">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屏蔽体</w:t>
                  </w:r>
                </w:p>
              </w:tc>
              <w:tc>
                <w:tcPr>
                  <w:tcW w:w="1106" w:type="pct"/>
                  <w:vMerge w:val="restart"/>
                  <w:noWrap w:val="0"/>
                  <w:vAlign w:val="center"/>
                </w:tcPr>
                <w:p w14:paraId="4915783D">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屏蔽材料与厚度</w:t>
                  </w:r>
                </w:p>
              </w:tc>
              <w:tc>
                <w:tcPr>
                  <w:tcW w:w="482" w:type="pct"/>
                  <w:vMerge w:val="restart"/>
                  <w:noWrap w:val="0"/>
                  <w:vAlign w:val="center"/>
                </w:tcPr>
                <w:p w14:paraId="559C5710">
                  <w:pPr>
                    <w:keepNext w:val="0"/>
                    <w:keepLines w:val="0"/>
                    <w:pageBreakBefore w:val="0"/>
                    <w:kinsoku/>
                    <w:wordWrap/>
                    <w:overflowPunct/>
                    <w:topLinePunct w:val="0"/>
                    <w:autoSpaceDE w:val="0"/>
                    <w:autoSpaceDN w:val="0"/>
                    <w:bidi w:val="0"/>
                    <w:adjustRightInd w:val="0"/>
                    <w:snapToGrid/>
                    <w:spacing w:line="300" w:lineRule="exact"/>
                    <w:jc w:val="center"/>
                    <w:rPr>
                      <w:rFonts w:hint="default" w:eastAsia="宋体"/>
                      <w:b/>
                      <w:bCs/>
                      <w:color w:val="auto"/>
                      <w:sz w:val="21"/>
                      <w:szCs w:val="21"/>
                      <w:highlight w:val="none"/>
                      <w:lang w:val="en-US" w:eastAsia="zh-CN"/>
                    </w:rPr>
                  </w:pPr>
                  <w:r>
                    <w:rPr>
                      <w:b/>
                      <w:bCs/>
                      <w:color w:val="auto"/>
                      <w:sz w:val="21"/>
                      <w:szCs w:val="21"/>
                      <w:highlight w:val="none"/>
                    </w:rPr>
                    <w:t>等效铅当量</w:t>
                  </w:r>
                  <w:r>
                    <w:rPr>
                      <w:rFonts w:hint="eastAsia"/>
                      <w:b/>
                      <w:bCs/>
                      <w:color w:val="auto"/>
                      <w:sz w:val="21"/>
                      <w:szCs w:val="21"/>
                      <w:highlight w:val="none"/>
                      <w:lang w:eastAsia="zh-CN"/>
                    </w:rPr>
                    <w:t>，</w:t>
                  </w:r>
                  <w:r>
                    <w:rPr>
                      <w:rFonts w:hint="eastAsia"/>
                      <w:b/>
                      <w:bCs/>
                      <w:color w:val="auto"/>
                      <w:sz w:val="21"/>
                      <w:szCs w:val="21"/>
                      <w:highlight w:val="none"/>
                      <w:lang w:val="en-US" w:eastAsia="zh-CN"/>
                    </w:rPr>
                    <w:t>mmPb</w:t>
                  </w:r>
                </w:p>
              </w:tc>
              <w:tc>
                <w:tcPr>
                  <w:tcW w:w="1859" w:type="pct"/>
                  <w:gridSpan w:val="4"/>
                  <w:tcBorders>
                    <w:bottom w:val="single" w:color="auto" w:sz="4" w:space="0"/>
                  </w:tcBorders>
                  <w:noWrap w:val="0"/>
                  <w:vAlign w:val="center"/>
                </w:tcPr>
                <w:p w14:paraId="73A32F82">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拟合参数</w:t>
                  </w:r>
                </w:p>
              </w:tc>
              <w:tc>
                <w:tcPr>
                  <w:tcW w:w="578" w:type="pct"/>
                  <w:vMerge w:val="restart"/>
                  <w:noWrap w:val="0"/>
                  <w:vAlign w:val="center"/>
                </w:tcPr>
                <w:p w14:paraId="4EDB0689">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屏蔽透射因子B</w:t>
                  </w:r>
                </w:p>
              </w:tc>
            </w:tr>
            <w:tr w14:paraId="1BF409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72BD2DB0">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p>
              </w:tc>
              <w:tc>
                <w:tcPr>
                  <w:tcW w:w="527" w:type="pct"/>
                  <w:vMerge w:val="continue"/>
                  <w:noWrap w:val="0"/>
                  <w:vAlign w:val="center"/>
                </w:tcPr>
                <w:p w14:paraId="15AB2111">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p>
              </w:tc>
              <w:tc>
                <w:tcPr>
                  <w:tcW w:w="1106" w:type="pct"/>
                  <w:vMerge w:val="continue"/>
                  <w:noWrap w:val="0"/>
                  <w:vAlign w:val="center"/>
                </w:tcPr>
                <w:p w14:paraId="03F5DF48">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p>
              </w:tc>
              <w:tc>
                <w:tcPr>
                  <w:tcW w:w="482" w:type="pct"/>
                  <w:vMerge w:val="continue"/>
                  <w:noWrap w:val="0"/>
                  <w:vAlign w:val="center"/>
                </w:tcPr>
                <w:p w14:paraId="37B0BB4F">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p>
              </w:tc>
              <w:tc>
                <w:tcPr>
                  <w:tcW w:w="502" w:type="pct"/>
                  <w:noWrap w:val="0"/>
                  <w:vAlign w:val="center"/>
                </w:tcPr>
                <w:p w14:paraId="45E70762">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管电压</w:t>
                  </w:r>
                </w:p>
              </w:tc>
              <w:tc>
                <w:tcPr>
                  <w:tcW w:w="456" w:type="pct"/>
                  <w:noWrap w:val="0"/>
                  <w:vAlign w:val="center"/>
                </w:tcPr>
                <w:p w14:paraId="787384D7">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α</w:t>
                  </w:r>
                </w:p>
              </w:tc>
              <w:tc>
                <w:tcPr>
                  <w:tcW w:w="441" w:type="pct"/>
                  <w:noWrap w:val="0"/>
                  <w:vAlign w:val="center"/>
                </w:tcPr>
                <w:p w14:paraId="3A3A6487">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β</w:t>
                  </w:r>
                </w:p>
              </w:tc>
              <w:tc>
                <w:tcPr>
                  <w:tcW w:w="457" w:type="pct"/>
                  <w:noWrap w:val="0"/>
                  <w:vAlign w:val="center"/>
                </w:tcPr>
                <w:p w14:paraId="378FDBA6">
                  <w:pPr>
                    <w:keepNext w:val="0"/>
                    <w:keepLines w:val="0"/>
                    <w:pageBreakBefore w:val="0"/>
                    <w:kinsoku/>
                    <w:wordWrap/>
                    <w:overflowPunct/>
                    <w:topLinePunct w:val="0"/>
                    <w:autoSpaceDE w:val="0"/>
                    <w:autoSpaceDN w:val="0"/>
                    <w:bidi w:val="0"/>
                    <w:adjustRightInd w:val="0"/>
                    <w:snapToGrid/>
                    <w:spacing w:line="300" w:lineRule="exact"/>
                    <w:jc w:val="center"/>
                    <w:rPr>
                      <w:b/>
                      <w:bCs/>
                      <w:color w:val="auto"/>
                      <w:sz w:val="21"/>
                      <w:szCs w:val="21"/>
                      <w:highlight w:val="none"/>
                    </w:rPr>
                  </w:pPr>
                  <w:r>
                    <w:rPr>
                      <w:b/>
                      <w:bCs/>
                      <w:color w:val="auto"/>
                      <w:sz w:val="21"/>
                      <w:szCs w:val="21"/>
                      <w:highlight w:val="none"/>
                    </w:rPr>
                    <w:t>γ</w:t>
                  </w:r>
                </w:p>
              </w:tc>
              <w:tc>
                <w:tcPr>
                  <w:tcW w:w="578" w:type="pct"/>
                  <w:vMerge w:val="continue"/>
                  <w:noWrap w:val="0"/>
                  <w:vAlign w:val="center"/>
                </w:tcPr>
                <w:p w14:paraId="204B4BAC">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r>
            <w:tr w14:paraId="084C15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6" w:type="pct"/>
                  <w:vMerge w:val="restart"/>
                  <w:noWrap w:val="0"/>
                  <w:vAlign w:val="center"/>
                </w:tcPr>
                <w:p w14:paraId="61EB2DD9">
                  <w:pPr>
                    <w:keepNext w:val="0"/>
                    <w:keepLines w:val="0"/>
                    <w:pageBreakBefore w:val="0"/>
                    <w:kinsoku/>
                    <w:wordWrap/>
                    <w:overflowPunct/>
                    <w:topLinePunct w:val="0"/>
                    <w:autoSpaceDE w:val="0"/>
                    <w:autoSpaceDN w:val="0"/>
                    <w:bidi w:val="0"/>
                    <w:adjustRightInd w:val="0"/>
                    <w:snapToGrid/>
                    <w:spacing w:line="300" w:lineRule="exac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DSA+CT复合手术室</w:t>
                  </w:r>
                </w:p>
              </w:tc>
              <w:tc>
                <w:tcPr>
                  <w:tcW w:w="527" w:type="pct"/>
                  <w:vMerge w:val="restart"/>
                  <w:shd w:val="clear" w:color="auto" w:fill="auto"/>
                  <w:noWrap w:val="0"/>
                  <w:vAlign w:val="center"/>
                </w:tcPr>
                <w:p w14:paraId="496C8F2E">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四周墙体</w:t>
                  </w:r>
                </w:p>
              </w:tc>
              <w:tc>
                <w:tcPr>
                  <w:tcW w:w="1106" w:type="pct"/>
                  <w:vMerge w:val="restart"/>
                  <w:noWrap w:val="0"/>
                  <w:vAlign w:val="center"/>
                </w:tcPr>
                <w:p w14:paraId="6DDC571E">
                  <w:pPr>
                    <w:spacing w:line="360" w:lineRule="exact"/>
                    <w:jc w:val="center"/>
                    <w:rPr>
                      <w:color w:val="auto"/>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482" w:type="pct"/>
                  <w:vMerge w:val="restart"/>
                  <w:noWrap w:val="0"/>
                  <w:vAlign w:val="center"/>
                </w:tcPr>
                <w:p w14:paraId="6F229FFB">
                  <w:pPr>
                    <w:spacing w:line="360" w:lineRule="exact"/>
                    <w:jc w:val="center"/>
                    <w:rPr>
                      <w:color w:val="auto"/>
                      <w:sz w:val="21"/>
                      <w:szCs w:val="21"/>
                      <w:highlight w:val="none"/>
                    </w:rPr>
                  </w:pPr>
                  <w:r>
                    <w:rPr>
                      <w:rFonts w:hint="eastAsia"/>
                      <w:spacing w:val="-11"/>
                      <w:sz w:val="21"/>
                      <w:szCs w:val="21"/>
                      <w:highlight w:val="none"/>
                      <w:lang w:val="en-US" w:eastAsia="zh-CN"/>
                    </w:rPr>
                    <w:t>3.50</w:t>
                  </w:r>
                </w:p>
              </w:tc>
              <w:tc>
                <w:tcPr>
                  <w:tcW w:w="502" w:type="pct"/>
                  <w:noWrap w:val="0"/>
                  <w:vAlign w:val="center"/>
                </w:tcPr>
                <w:p w14:paraId="347394E7">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75kV</w:t>
                  </w:r>
                </w:p>
              </w:tc>
              <w:tc>
                <w:tcPr>
                  <w:tcW w:w="456" w:type="pct"/>
                  <w:shd w:val="clear" w:color="auto" w:fill="auto"/>
                  <w:noWrap w:val="0"/>
                  <w:vAlign w:val="center"/>
                </w:tcPr>
                <w:p w14:paraId="558FF5A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6D056B58">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7C5436CC">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67588DC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4.15E-08</w:t>
                  </w:r>
                </w:p>
              </w:tc>
            </w:tr>
            <w:tr w14:paraId="541600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3B4C4E71">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continue"/>
                  <w:noWrap w:val="0"/>
                  <w:vAlign w:val="center"/>
                </w:tcPr>
                <w:p w14:paraId="53FB6F88">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1106" w:type="pct"/>
                  <w:vMerge w:val="continue"/>
                  <w:noWrap w:val="0"/>
                  <w:vAlign w:val="center"/>
                </w:tcPr>
                <w:p w14:paraId="3F09F7C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5DF5221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noWrap w:val="0"/>
                  <w:vAlign w:val="center"/>
                </w:tcPr>
                <w:p w14:paraId="20384E03">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85kV</w:t>
                  </w:r>
                </w:p>
              </w:tc>
              <w:tc>
                <w:tcPr>
                  <w:tcW w:w="456" w:type="pct"/>
                  <w:shd w:val="clear" w:color="auto" w:fill="auto"/>
                  <w:noWrap w:val="0"/>
                  <w:vAlign w:val="center"/>
                </w:tcPr>
                <w:p w14:paraId="3CD48A6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7862A8A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6F90409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2BC1DF43">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1.68E-06</w:t>
                  </w:r>
                </w:p>
              </w:tc>
            </w:tr>
            <w:tr w14:paraId="355920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46" w:type="pct"/>
                  <w:vMerge w:val="continue"/>
                  <w:noWrap w:val="0"/>
                  <w:vAlign w:val="center"/>
                </w:tcPr>
                <w:p w14:paraId="33A1D09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restart"/>
                  <w:shd w:val="clear" w:color="auto" w:fill="auto"/>
                  <w:noWrap w:val="0"/>
                  <w:vAlign w:val="center"/>
                </w:tcPr>
                <w:p w14:paraId="32956E4E">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顶板</w:t>
                  </w:r>
                </w:p>
              </w:tc>
              <w:tc>
                <w:tcPr>
                  <w:tcW w:w="1106" w:type="pct"/>
                  <w:vMerge w:val="restart"/>
                  <w:noWrap w:val="0"/>
                  <w:vAlign w:val="center"/>
                </w:tcPr>
                <w:p w14:paraId="3374E882">
                  <w:pPr>
                    <w:spacing w:line="360" w:lineRule="exact"/>
                    <w:jc w:val="center"/>
                    <w:rPr>
                      <w:color w:val="auto"/>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w:t>
                  </w:r>
                </w:p>
              </w:tc>
              <w:tc>
                <w:tcPr>
                  <w:tcW w:w="482" w:type="pct"/>
                  <w:vMerge w:val="restart"/>
                  <w:noWrap w:val="0"/>
                  <w:vAlign w:val="center"/>
                </w:tcPr>
                <w:p w14:paraId="7FC7C68B">
                  <w:pPr>
                    <w:spacing w:line="360" w:lineRule="exact"/>
                    <w:jc w:val="center"/>
                    <w:rPr>
                      <w:color w:val="auto"/>
                      <w:sz w:val="21"/>
                      <w:szCs w:val="21"/>
                      <w:highlight w:val="none"/>
                    </w:rPr>
                  </w:pPr>
                  <w:r>
                    <w:rPr>
                      <w:rFonts w:hint="eastAsia"/>
                      <w:spacing w:val="-11"/>
                      <w:sz w:val="21"/>
                      <w:szCs w:val="21"/>
                      <w:highlight w:val="none"/>
                      <w:lang w:val="en-US" w:eastAsia="zh-CN"/>
                    </w:rPr>
                    <w:t>3.26</w:t>
                  </w:r>
                </w:p>
              </w:tc>
              <w:tc>
                <w:tcPr>
                  <w:tcW w:w="502" w:type="pct"/>
                  <w:noWrap w:val="0"/>
                  <w:vAlign w:val="center"/>
                </w:tcPr>
                <w:p w14:paraId="78790F9A">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75kV</w:t>
                  </w:r>
                </w:p>
              </w:tc>
              <w:tc>
                <w:tcPr>
                  <w:tcW w:w="456" w:type="pct"/>
                  <w:shd w:val="clear" w:color="auto" w:fill="auto"/>
                  <w:noWrap w:val="0"/>
                  <w:vAlign w:val="center"/>
                </w:tcPr>
                <w:p w14:paraId="135F82A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7218098">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25D7BA9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noWrap w:val="0"/>
                  <w:vAlign w:val="center"/>
                </w:tcPr>
                <w:p w14:paraId="26F14242">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1.71E-08</w:t>
                  </w:r>
                </w:p>
              </w:tc>
            </w:tr>
            <w:tr w14:paraId="307967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0656014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continue"/>
                  <w:noWrap w:val="0"/>
                  <w:vAlign w:val="center"/>
                </w:tcPr>
                <w:p w14:paraId="42117CF0">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1106" w:type="pct"/>
                  <w:vMerge w:val="continue"/>
                  <w:noWrap w:val="0"/>
                  <w:vAlign w:val="center"/>
                </w:tcPr>
                <w:p w14:paraId="0E715776">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482" w:type="pct"/>
                  <w:vMerge w:val="continue"/>
                  <w:noWrap w:val="0"/>
                  <w:vAlign w:val="center"/>
                </w:tcPr>
                <w:p w14:paraId="1FB8D7B5">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02" w:type="pct"/>
                  <w:noWrap w:val="0"/>
                  <w:vAlign w:val="center"/>
                </w:tcPr>
                <w:p w14:paraId="46FDCBE6">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85kV</w:t>
                  </w:r>
                </w:p>
              </w:tc>
              <w:tc>
                <w:tcPr>
                  <w:tcW w:w="456" w:type="pct"/>
                  <w:shd w:val="clear" w:color="auto" w:fill="auto"/>
                  <w:noWrap w:val="0"/>
                  <w:vAlign w:val="center"/>
                </w:tcPr>
                <w:p w14:paraId="6D2A1F8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35C0A9C">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5695E47B">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noWrap w:val="0"/>
                  <w:vAlign w:val="center"/>
                </w:tcPr>
                <w:p w14:paraId="0224BBE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8.62E-07</w:t>
                  </w:r>
                </w:p>
              </w:tc>
            </w:tr>
            <w:tr w14:paraId="38901C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127C15EB">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restart"/>
                  <w:noWrap w:val="0"/>
                  <w:vAlign w:val="center"/>
                </w:tcPr>
                <w:p w14:paraId="5EAE206B">
                  <w:pPr>
                    <w:keepNext w:val="0"/>
                    <w:keepLines w:val="0"/>
                    <w:pageBreakBefore w:val="0"/>
                    <w:kinsoku/>
                    <w:wordWrap/>
                    <w:overflowPunct/>
                    <w:topLinePunct w:val="0"/>
                    <w:autoSpaceDE w:val="0"/>
                    <w:autoSpaceDN w:val="0"/>
                    <w:bidi w:val="0"/>
                    <w:adjustRightInd w:val="0"/>
                    <w:snapToGrid/>
                    <w:spacing w:line="300" w:lineRule="exac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底板</w:t>
                  </w:r>
                </w:p>
              </w:tc>
              <w:tc>
                <w:tcPr>
                  <w:tcW w:w="1106" w:type="pct"/>
                  <w:vMerge w:val="restart"/>
                  <w:noWrap w:val="0"/>
                  <w:vAlign w:val="center"/>
                </w:tcPr>
                <w:p w14:paraId="1BD7A621">
                  <w:pPr>
                    <w:spacing w:line="360" w:lineRule="exact"/>
                    <w:jc w:val="center"/>
                    <w:rPr>
                      <w:rFonts w:hint="eastAsia"/>
                      <w:color w:val="auto"/>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482" w:type="pct"/>
                  <w:vMerge w:val="restart"/>
                  <w:noWrap w:val="0"/>
                  <w:vAlign w:val="center"/>
                </w:tcPr>
                <w:p w14:paraId="7BDD8EAC">
                  <w:pPr>
                    <w:spacing w:line="360" w:lineRule="exact"/>
                    <w:jc w:val="center"/>
                    <w:rPr>
                      <w:rFonts w:hint="eastAsia"/>
                      <w:color w:val="auto"/>
                      <w:sz w:val="21"/>
                      <w:szCs w:val="21"/>
                      <w:highlight w:val="none"/>
                    </w:rPr>
                  </w:pPr>
                  <w:r>
                    <w:rPr>
                      <w:rFonts w:hint="eastAsia"/>
                      <w:spacing w:val="-11"/>
                      <w:sz w:val="21"/>
                      <w:szCs w:val="21"/>
                      <w:highlight w:val="none"/>
                      <w:lang w:val="en-US" w:eastAsia="zh-CN"/>
                    </w:rPr>
                    <w:t>2.60</w:t>
                  </w:r>
                </w:p>
              </w:tc>
              <w:tc>
                <w:tcPr>
                  <w:tcW w:w="502" w:type="pct"/>
                  <w:shd w:val="clear" w:color="auto" w:fill="auto"/>
                  <w:noWrap w:val="0"/>
                  <w:vAlign w:val="center"/>
                </w:tcPr>
                <w:p w14:paraId="45878D18">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037B78B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7F5FEA3C">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41603D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noWrap w:val="0"/>
                  <w:vAlign w:val="center"/>
                </w:tcPr>
                <w:p w14:paraId="3758C08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3.72E-07</w:t>
                  </w:r>
                </w:p>
              </w:tc>
            </w:tr>
            <w:tr w14:paraId="139B84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4AAB4F5E">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continue"/>
                  <w:noWrap w:val="0"/>
                  <w:vAlign w:val="center"/>
                </w:tcPr>
                <w:p w14:paraId="1966A477">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lang w:val="en-US" w:eastAsia="zh-CN"/>
                    </w:rPr>
                  </w:pPr>
                </w:p>
              </w:tc>
              <w:tc>
                <w:tcPr>
                  <w:tcW w:w="1106" w:type="pct"/>
                  <w:vMerge w:val="continue"/>
                  <w:noWrap w:val="0"/>
                  <w:vAlign w:val="center"/>
                </w:tcPr>
                <w:p w14:paraId="04ADC96A">
                  <w:pPr>
                    <w:spacing w:line="360" w:lineRule="exact"/>
                    <w:jc w:val="center"/>
                    <w:rPr>
                      <w:rFonts w:hint="eastAsia"/>
                      <w:color w:val="auto"/>
                      <w:sz w:val="21"/>
                      <w:szCs w:val="21"/>
                      <w:highlight w:val="none"/>
                      <w:lang w:val="en-US" w:eastAsia="zh-CN"/>
                    </w:rPr>
                  </w:pPr>
                </w:p>
              </w:tc>
              <w:tc>
                <w:tcPr>
                  <w:tcW w:w="482" w:type="pct"/>
                  <w:vMerge w:val="continue"/>
                  <w:noWrap w:val="0"/>
                  <w:vAlign w:val="center"/>
                </w:tcPr>
                <w:p w14:paraId="2B01D891">
                  <w:pPr>
                    <w:spacing w:line="360" w:lineRule="exact"/>
                    <w:jc w:val="center"/>
                    <w:rPr>
                      <w:rFonts w:hint="eastAsia"/>
                      <w:spacing w:val="-11"/>
                      <w:sz w:val="21"/>
                      <w:szCs w:val="21"/>
                      <w:highlight w:val="none"/>
                      <w:lang w:val="en-US" w:eastAsia="zh-CN"/>
                    </w:rPr>
                  </w:pPr>
                </w:p>
              </w:tc>
              <w:tc>
                <w:tcPr>
                  <w:tcW w:w="502" w:type="pct"/>
                  <w:shd w:val="clear" w:color="auto" w:fill="auto"/>
                  <w:noWrap w:val="0"/>
                  <w:vAlign w:val="center"/>
                </w:tcPr>
                <w:p w14:paraId="0AC5C8E0">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0A3E74F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212D7A4">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60AA71B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noWrap w:val="0"/>
                  <w:vAlign w:val="center"/>
                </w:tcPr>
                <w:p w14:paraId="697ADA6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8.71E-06</w:t>
                  </w:r>
                </w:p>
              </w:tc>
            </w:tr>
            <w:tr w14:paraId="1FE6D5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5CB507E1">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restart"/>
                  <w:shd w:val="clear" w:color="auto" w:fill="auto"/>
                  <w:noWrap w:val="0"/>
                  <w:vAlign w:val="center"/>
                </w:tcPr>
                <w:p w14:paraId="15AA31A2">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防护门</w:t>
                  </w:r>
                </w:p>
              </w:tc>
              <w:tc>
                <w:tcPr>
                  <w:tcW w:w="1106" w:type="pct"/>
                  <w:vMerge w:val="restart"/>
                  <w:noWrap w:val="0"/>
                  <w:vAlign w:val="center"/>
                </w:tcPr>
                <w:p w14:paraId="6533D2EA">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482" w:type="pct"/>
                  <w:vMerge w:val="restart"/>
                  <w:shd w:val="clear" w:color="auto" w:fill="auto"/>
                  <w:noWrap w:val="0"/>
                  <w:vAlign w:val="center"/>
                </w:tcPr>
                <w:p w14:paraId="321FC70F">
                  <w:pPr>
                    <w:keepNext w:val="0"/>
                    <w:keepLines w:val="0"/>
                    <w:pageBreakBefore w:val="0"/>
                    <w:kinsoku/>
                    <w:wordWrap/>
                    <w:overflowPunct/>
                    <w:topLinePunct w:val="0"/>
                    <w:autoSpaceDE w:val="0"/>
                    <w:autoSpaceDN w:val="0"/>
                    <w:bidi w:val="0"/>
                    <w:adjustRightInd w:val="0"/>
                    <w:snapToGrid/>
                    <w:spacing w:line="300" w:lineRule="exac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3.0</w:t>
                  </w:r>
                </w:p>
              </w:tc>
              <w:tc>
                <w:tcPr>
                  <w:tcW w:w="502" w:type="pct"/>
                  <w:shd w:val="clear" w:color="auto" w:fill="auto"/>
                  <w:noWrap w:val="0"/>
                  <w:vAlign w:val="center"/>
                </w:tcPr>
                <w:p w14:paraId="5F470AC0">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26E5559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25541D8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244BA3E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73ABDDC2">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r>
            <w:tr w14:paraId="27A9D1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2DE942C0">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continue"/>
                  <w:noWrap w:val="0"/>
                  <w:vAlign w:val="center"/>
                </w:tcPr>
                <w:p w14:paraId="1C743C43">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1106" w:type="pct"/>
                  <w:vMerge w:val="continue"/>
                  <w:noWrap w:val="0"/>
                  <w:vAlign w:val="center"/>
                </w:tcPr>
                <w:p w14:paraId="7ED4DA0C">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437B874A">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02" w:type="pct"/>
                  <w:shd w:val="clear" w:color="auto" w:fill="auto"/>
                  <w:noWrap w:val="0"/>
                  <w:vAlign w:val="center"/>
                </w:tcPr>
                <w:p w14:paraId="0D050980">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7326340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06379A6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264ADF1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647E6D01">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r>
            <w:tr w14:paraId="0B7C56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083E852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restart"/>
                  <w:shd w:val="clear" w:color="auto" w:fill="auto"/>
                  <w:noWrap w:val="0"/>
                  <w:vAlign w:val="center"/>
                </w:tcPr>
                <w:p w14:paraId="1A4A28E1">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观察窗</w:t>
                  </w:r>
                </w:p>
              </w:tc>
              <w:tc>
                <w:tcPr>
                  <w:tcW w:w="1106" w:type="pct"/>
                  <w:vMerge w:val="restart"/>
                  <w:noWrap w:val="0"/>
                  <w:vAlign w:val="center"/>
                </w:tcPr>
                <w:p w14:paraId="32AD7B88">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482" w:type="pct"/>
                  <w:vMerge w:val="restart"/>
                  <w:shd w:val="clear" w:color="auto" w:fill="auto"/>
                  <w:noWrap w:val="0"/>
                  <w:vAlign w:val="center"/>
                </w:tcPr>
                <w:p w14:paraId="2BF98C90">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rFonts w:hint="eastAsia"/>
                      <w:color w:val="auto"/>
                      <w:sz w:val="21"/>
                      <w:szCs w:val="21"/>
                      <w:highlight w:val="none"/>
                      <w:lang w:val="en-US" w:eastAsia="zh-CN"/>
                    </w:rPr>
                    <w:t>3.0</w:t>
                  </w:r>
                </w:p>
              </w:tc>
              <w:tc>
                <w:tcPr>
                  <w:tcW w:w="502" w:type="pct"/>
                  <w:shd w:val="clear" w:color="auto" w:fill="auto"/>
                  <w:noWrap w:val="0"/>
                  <w:vAlign w:val="center"/>
                </w:tcPr>
                <w:p w14:paraId="0D371FF6">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71B95029">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6175D4A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621EC0A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73FE1966">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r>
            <w:tr w14:paraId="7077E0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1996BD92">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continue"/>
                  <w:noWrap w:val="0"/>
                  <w:vAlign w:val="center"/>
                </w:tcPr>
                <w:p w14:paraId="2AAEBC0E">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1106" w:type="pct"/>
                  <w:vMerge w:val="continue"/>
                  <w:noWrap w:val="0"/>
                  <w:vAlign w:val="center"/>
                </w:tcPr>
                <w:p w14:paraId="465C02C4">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165AA954">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02" w:type="pct"/>
                  <w:shd w:val="clear" w:color="auto" w:fill="auto"/>
                  <w:noWrap w:val="0"/>
                  <w:vAlign w:val="center"/>
                </w:tcPr>
                <w:p w14:paraId="49BCC12F">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6054B20B">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66D8AC2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3E814F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7A353F4F">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r>
            <w:tr w14:paraId="6D4B4E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46" w:type="pct"/>
                  <w:vMerge w:val="continue"/>
                  <w:noWrap w:val="0"/>
                  <w:vAlign w:val="center"/>
                </w:tcPr>
                <w:p w14:paraId="11F2CA69">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restart"/>
                  <w:shd w:val="clear" w:color="auto" w:fill="auto"/>
                  <w:noWrap w:val="0"/>
                  <w:vAlign w:val="center"/>
                </w:tcPr>
                <w:p w14:paraId="6262CF2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第一术者位</w:t>
                  </w:r>
                </w:p>
              </w:tc>
              <w:tc>
                <w:tcPr>
                  <w:tcW w:w="1106" w:type="pct"/>
                  <w:vMerge w:val="restart"/>
                  <w:noWrap w:val="0"/>
                  <w:vAlign w:val="center"/>
                </w:tcPr>
                <w:p w14:paraId="492FCFAB">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0.5mmPb铅</w:t>
                  </w:r>
                  <w:r>
                    <w:rPr>
                      <w:rFonts w:hint="eastAsia"/>
                      <w:color w:val="auto"/>
                      <w:sz w:val="21"/>
                      <w:szCs w:val="21"/>
                      <w:highlight w:val="none"/>
                    </w:rPr>
                    <w:t>衣</w:t>
                  </w:r>
                  <w:r>
                    <w:rPr>
                      <w:color w:val="auto"/>
                      <w:sz w:val="21"/>
                      <w:szCs w:val="21"/>
                      <w:highlight w:val="none"/>
                    </w:rPr>
                    <w:t>+0.5mmPb</w:t>
                  </w:r>
                  <w:r>
                    <w:rPr>
                      <w:rFonts w:hint="eastAsia"/>
                      <w:color w:val="auto"/>
                      <w:sz w:val="21"/>
                      <w:szCs w:val="21"/>
                      <w:highlight w:val="none"/>
                    </w:rPr>
                    <w:t>床侧防护帘/铅防护</w:t>
                  </w:r>
                  <w:r>
                    <w:rPr>
                      <w:color w:val="auto"/>
                      <w:sz w:val="21"/>
                      <w:szCs w:val="21"/>
                      <w:highlight w:val="none"/>
                    </w:rPr>
                    <w:t>吊屏</w:t>
                  </w:r>
                </w:p>
              </w:tc>
              <w:tc>
                <w:tcPr>
                  <w:tcW w:w="482" w:type="pct"/>
                  <w:vMerge w:val="restart"/>
                  <w:noWrap w:val="0"/>
                  <w:vAlign w:val="center"/>
                </w:tcPr>
                <w:p w14:paraId="38426DAA">
                  <w:pPr>
                    <w:keepNext w:val="0"/>
                    <w:keepLines w:val="0"/>
                    <w:pageBreakBefore w:val="0"/>
                    <w:kinsoku/>
                    <w:wordWrap/>
                    <w:overflowPunct/>
                    <w:topLinePunct w:val="0"/>
                    <w:autoSpaceDE w:val="0"/>
                    <w:autoSpaceDN w:val="0"/>
                    <w:bidi w:val="0"/>
                    <w:adjustRightInd w:val="0"/>
                    <w:snapToGrid/>
                    <w:spacing w:line="300" w:lineRule="exact"/>
                    <w:jc w:val="center"/>
                    <w:rPr>
                      <w:rFonts w:hint="default" w:eastAsia="宋体"/>
                      <w:color w:val="auto"/>
                      <w:sz w:val="21"/>
                      <w:szCs w:val="21"/>
                      <w:highlight w:val="none"/>
                      <w:lang w:val="en-US" w:eastAsia="zh-CN"/>
                    </w:rPr>
                  </w:pPr>
                  <w:r>
                    <w:rPr>
                      <w:color w:val="auto"/>
                      <w:sz w:val="21"/>
                      <w:szCs w:val="21"/>
                      <w:highlight w:val="none"/>
                    </w:rPr>
                    <w:t>1</w:t>
                  </w:r>
                  <w:r>
                    <w:rPr>
                      <w:rFonts w:hint="eastAsia"/>
                      <w:color w:val="auto"/>
                      <w:sz w:val="21"/>
                      <w:szCs w:val="21"/>
                      <w:highlight w:val="none"/>
                      <w:lang w:val="en-US" w:eastAsia="zh-CN"/>
                    </w:rPr>
                    <w:t>.0</w:t>
                  </w:r>
                </w:p>
              </w:tc>
              <w:tc>
                <w:tcPr>
                  <w:tcW w:w="502" w:type="pct"/>
                  <w:noWrap w:val="0"/>
                  <w:vAlign w:val="center"/>
                </w:tcPr>
                <w:p w14:paraId="188BB41A">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75kV</w:t>
                  </w:r>
                </w:p>
              </w:tc>
              <w:tc>
                <w:tcPr>
                  <w:tcW w:w="456" w:type="pct"/>
                  <w:noWrap w:val="0"/>
                  <w:vAlign w:val="center"/>
                </w:tcPr>
                <w:p w14:paraId="55BF2DDB">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41" w:type="pct"/>
                  <w:noWrap w:val="0"/>
                  <w:vAlign w:val="center"/>
                </w:tcPr>
                <w:p w14:paraId="1744DC6A">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57" w:type="pct"/>
                  <w:noWrap w:val="0"/>
                  <w:vAlign w:val="center"/>
                </w:tcPr>
                <w:p w14:paraId="2E660121">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578" w:type="pct"/>
                  <w:noWrap w:val="0"/>
                  <w:vAlign w:val="center"/>
                </w:tcPr>
                <w:p w14:paraId="0A3C7DB6">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color w:val="auto"/>
                      <w:sz w:val="21"/>
                      <w:szCs w:val="21"/>
                      <w:highlight w:val="none"/>
                    </w:rPr>
                    <w:t>6.89E-04</w:t>
                  </w:r>
                </w:p>
              </w:tc>
            </w:tr>
            <w:tr w14:paraId="33373A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15023C0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continue"/>
                  <w:noWrap w:val="0"/>
                  <w:vAlign w:val="center"/>
                </w:tcPr>
                <w:p w14:paraId="3CC7F32C">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1106" w:type="pct"/>
                  <w:vMerge w:val="continue"/>
                  <w:noWrap w:val="0"/>
                  <w:vAlign w:val="center"/>
                </w:tcPr>
                <w:p w14:paraId="128055B0">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4E10D812">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noWrap w:val="0"/>
                  <w:vAlign w:val="center"/>
                </w:tcPr>
                <w:p w14:paraId="3EDC278A">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85kV</w:t>
                  </w:r>
                </w:p>
              </w:tc>
              <w:tc>
                <w:tcPr>
                  <w:tcW w:w="456" w:type="pct"/>
                  <w:noWrap w:val="0"/>
                  <w:vAlign w:val="center"/>
                </w:tcPr>
                <w:p w14:paraId="4589EEF7">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41" w:type="pct"/>
                  <w:noWrap w:val="0"/>
                  <w:vAlign w:val="center"/>
                </w:tcPr>
                <w:p w14:paraId="053FA6B5">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57" w:type="pct"/>
                  <w:noWrap w:val="0"/>
                  <w:vAlign w:val="center"/>
                </w:tcPr>
                <w:p w14:paraId="6921AF1C">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578" w:type="pct"/>
                  <w:noWrap w:val="0"/>
                  <w:vAlign w:val="center"/>
                </w:tcPr>
                <w:p w14:paraId="0FA91771">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color w:val="auto"/>
                      <w:sz w:val="21"/>
                      <w:szCs w:val="21"/>
                      <w:highlight w:val="none"/>
                    </w:rPr>
                    <w:t>2.57E-03</w:t>
                  </w:r>
                </w:p>
              </w:tc>
            </w:tr>
            <w:tr w14:paraId="09B438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2D0AEB24">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restart"/>
                  <w:shd w:val="clear" w:color="auto" w:fill="auto"/>
                  <w:noWrap w:val="0"/>
                  <w:vAlign w:val="center"/>
                </w:tcPr>
                <w:p w14:paraId="16438FF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第二术者位</w:t>
                  </w:r>
                </w:p>
              </w:tc>
              <w:tc>
                <w:tcPr>
                  <w:tcW w:w="1106" w:type="pct"/>
                  <w:vMerge w:val="restart"/>
                  <w:noWrap w:val="0"/>
                  <w:vAlign w:val="center"/>
                </w:tcPr>
                <w:p w14:paraId="291CF62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0.5mmPb铅</w:t>
                  </w:r>
                  <w:r>
                    <w:rPr>
                      <w:rFonts w:hint="eastAsia"/>
                      <w:color w:val="auto"/>
                      <w:sz w:val="21"/>
                      <w:szCs w:val="21"/>
                      <w:highlight w:val="none"/>
                    </w:rPr>
                    <w:t>衣</w:t>
                  </w:r>
                </w:p>
              </w:tc>
              <w:tc>
                <w:tcPr>
                  <w:tcW w:w="482" w:type="pct"/>
                  <w:vMerge w:val="restart"/>
                  <w:noWrap w:val="0"/>
                  <w:vAlign w:val="center"/>
                </w:tcPr>
                <w:p w14:paraId="3F3BEB7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w:t>
                  </w:r>
                </w:p>
              </w:tc>
              <w:tc>
                <w:tcPr>
                  <w:tcW w:w="502" w:type="pct"/>
                  <w:noWrap w:val="0"/>
                  <w:vAlign w:val="center"/>
                </w:tcPr>
                <w:p w14:paraId="5B4D62AD">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75kV</w:t>
                  </w:r>
                </w:p>
              </w:tc>
              <w:tc>
                <w:tcPr>
                  <w:tcW w:w="456" w:type="pct"/>
                  <w:noWrap w:val="0"/>
                  <w:vAlign w:val="center"/>
                </w:tcPr>
                <w:p w14:paraId="15D9FA23">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41" w:type="pct"/>
                  <w:noWrap w:val="0"/>
                  <w:vAlign w:val="center"/>
                </w:tcPr>
                <w:p w14:paraId="69D5C66B">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57" w:type="pct"/>
                  <w:noWrap w:val="0"/>
                  <w:vAlign w:val="center"/>
                </w:tcPr>
                <w:p w14:paraId="6D26CC52">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578" w:type="pct"/>
                  <w:noWrap w:val="0"/>
                  <w:vAlign w:val="center"/>
                </w:tcPr>
                <w:p w14:paraId="375E9609">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color w:val="auto"/>
                      <w:sz w:val="21"/>
                      <w:szCs w:val="21"/>
                      <w:highlight w:val="none"/>
                    </w:rPr>
                    <w:t>9.00E-03</w:t>
                  </w:r>
                </w:p>
              </w:tc>
            </w:tr>
            <w:tr w14:paraId="5AF1AB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1B38437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continue"/>
                  <w:noWrap w:val="0"/>
                  <w:vAlign w:val="center"/>
                </w:tcPr>
                <w:p w14:paraId="7219C7E2">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1106" w:type="pct"/>
                  <w:vMerge w:val="continue"/>
                  <w:noWrap w:val="0"/>
                  <w:vAlign w:val="center"/>
                </w:tcPr>
                <w:p w14:paraId="6A65FB3B">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5A173AA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noWrap w:val="0"/>
                  <w:vAlign w:val="center"/>
                </w:tcPr>
                <w:p w14:paraId="1716EB64">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85kV</w:t>
                  </w:r>
                </w:p>
              </w:tc>
              <w:tc>
                <w:tcPr>
                  <w:tcW w:w="456" w:type="pct"/>
                  <w:noWrap w:val="0"/>
                  <w:vAlign w:val="center"/>
                </w:tcPr>
                <w:p w14:paraId="1CB5D05D">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41" w:type="pct"/>
                  <w:noWrap w:val="0"/>
                  <w:vAlign w:val="center"/>
                </w:tcPr>
                <w:p w14:paraId="0DCABF16">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57" w:type="pct"/>
                  <w:noWrap w:val="0"/>
                  <w:vAlign w:val="center"/>
                </w:tcPr>
                <w:p w14:paraId="1D815166">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578" w:type="pct"/>
                  <w:noWrap w:val="0"/>
                  <w:vAlign w:val="center"/>
                </w:tcPr>
                <w:p w14:paraId="629E7F70">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color w:val="auto"/>
                      <w:sz w:val="21"/>
                      <w:szCs w:val="21"/>
                      <w:highlight w:val="none"/>
                    </w:rPr>
                    <w:t>1.92E-02</w:t>
                  </w:r>
                </w:p>
              </w:tc>
            </w:tr>
            <w:tr w14:paraId="3631D6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0A448D0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27" w:type="pct"/>
                  <w:vMerge w:val="restart"/>
                  <w:shd w:val="clear" w:color="auto" w:fill="auto"/>
                  <w:noWrap w:val="0"/>
                  <w:vAlign w:val="center"/>
                </w:tcPr>
                <w:p w14:paraId="1DC3DDD0">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护士位</w:t>
                  </w:r>
                </w:p>
              </w:tc>
              <w:tc>
                <w:tcPr>
                  <w:tcW w:w="1106" w:type="pct"/>
                  <w:vMerge w:val="restart"/>
                  <w:noWrap w:val="0"/>
                  <w:vAlign w:val="center"/>
                </w:tcPr>
                <w:p w14:paraId="468B72E1">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0.5mmPb铅</w:t>
                  </w:r>
                  <w:r>
                    <w:rPr>
                      <w:rFonts w:hint="eastAsia"/>
                      <w:color w:val="auto"/>
                      <w:sz w:val="21"/>
                      <w:szCs w:val="21"/>
                      <w:highlight w:val="none"/>
                    </w:rPr>
                    <w:t>衣</w:t>
                  </w:r>
                </w:p>
              </w:tc>
              <w:tc>
                <w:tcPr>
                  <w:tcW w:w="482" w:type="pct"/>
                  <w:vMerge w:val="restart"/>
                  <w:noWrap w:val="0"/>
                  <w:vAlign w:val="center"/>
                </w:tcPr>
                <w:p w14:paraId="099FA3F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w:t>
                  </w:r>
                </w:p>
              </w:tc>
              <w:tc>
                <w:tcPr>
                  <w:tcW w:w="502" w:type="pct"/>
                  <w:noWrap w:val="0"/>
                  <w:vAlign w:val="center"/>
                </w:tcPr>
                <w:p w14:paraId="01BD8FCC">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75kV</w:t>
                  </w:r>
                </w:p>
              </w:tc>
              <w:tc>
                <w:tcPr>
                  <w:tcW w:w="456" w:type="pct"/>
                  <w:noWrap w:val="0"/>
                  <w:vAlign w:val="center"/>
                </w:tcPr>
                <w:p w14:paraId="0FF4387E">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41" w:type="pct"/>
                  <w:noWrap w:val="0"/>
                  <w:vAlign w:val="center"/>
                </w:tcPr>
                <w:p w14:paraId="3C781383">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57" w:type="pct"/>
                  <w:noWrap w:val="0"/>
                  <w:vAlign w:val="center"/>
                </w:tcPr>
                <w:p w14:paraId="47EDD76B">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578" w:type="pct"/>
                  <w:noWrap w:val="0"/>
                  <w:vAlign w:val="center"/>
                </w:tcPr>
                <w:p w14:paraId="14D267C6">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color w:val="auto"/>
                      <w:sz w:val="21"/>
                      <w:szCs w:val="21"/>
                      <w:highlight w:val="none"/>
                    </w:rPr>
                    <w:t>9.00E-03</w:t>
                  </w:r>
                </w:p>
              </w:tc>
            </w:tr>
            <w:tr w14:paraId="57EAD5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6F9B1948">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662651C0">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6C093B01">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6D9B11A3">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noWrap w:val="0"/>
                  <w:vAlign w:val="center"/>
                </w:tcPr>
                <w:p w14:paraId="0D4FADFA">
                  <w:pPr>
                    <w:keepNext w:val="0"/>
                    <w:keepLines w:val="0"/>
                    <w:pageBreakBefore w:val="0"/>
                    <w:widowControl/>
                    <w:kinsoku/>
                    <w:wordWrap/>
                    <w:overflowPunct/>
                    <w:topLinePunct w:val="0"/>
                    <w:bidi w:val="0"/>
                    <w:snapToGrid/>
                    <w:spacing w:line="300" w:lineRule="exact"/>
                    <w:jc w:val="center"/>
                    <w:rPr>
                      <w:color w:val="auto"/>
                      <w:sz w:val="21"/>
                      <w:szCs w:val="21"/>
                      <w:highlight w:val="none"/>
                    </w:rPr>
                  </w:pPr>
                  <w:r>
                    <w:rPr>
                      <w:color w:val="auto"/>
                      <w:sz w:val="21"/>
                      <w:szCs w:val="21"/>
                      <w:highlight w:val="none"/>
                    </w:rPr>
                    <w:t>85kV</w:t>
                  </w:r>
                </w:p>
              </w:tc>
              <w:tc>
                <w:tcPr>
                  <w:tcW w:w="456" w:type="pct"/>
                  <w:noWrap w:val="0"/>
                  <w:vAlign w:val="center"/>
                </w:tcPr>
                <w:p w14:paraId="21FC8F7D">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41" w:type="pct"/>
                  <w:noWrap w:val="0"/>
                  <w:vAlign w:val="center"/>
                </w:tcPr>
                <w:p w14:paraId="17D2435E">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457" w:type="pct"/>
                  <w:noWrap w:val="0"/>
                  <w:vAlign w:val="center"/>
                </w:tcPr>
                <w:p w14:paraId="225954BB">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sz w:val="21"/>
                      <w:szCs w:val="21"/>
                      <w:lang w:val="en-US" w:eastAsia="zh-CN"/>
                    </w:rPr>
                    <w:t>**</w:t>
                  </w:r>
                </w:p>
              </w:tc>
              <w:tc>
                <w:tcPr>
                  <w:tcW w:w="578" w:type="pct"/>
                  <w:noWrap w:val="0"/>
                  <w:vAlign w:val="center"/>
                </w:tcPr>
                <w:p w14:paraId="597891D5">
                  <w:pPr>
                    <w:keepNext w:val="0"/>
                    <w:keepLines w:val="0"/>
                    <w:pageBreakBefore w:val="0"/>
                    <w:kinsoku/>
                    <w:wordWrap/>
                    <w:overflowPunct/>
                    <w:topLinePunct w:val="0"/>
                    <w:bidi w:val="0"/>
                    <w:snapToGrid/>
                    <w:spacing w:line="300" w:lineRule="exact"/>
                    <w:jc w:val="center"/>
                    <w:rPr>
                      <w:color w:val="auto"/>
                      <w:sz w:val="21"/>
                      <w:szCs w:val="21"/>
                      <w:highlight w:val="none"/>
                    </w:rPr>
                  </w:pPr>
                  <w:r>
                    <w:rPr>
                      <w:rFonts w:hint="eastAsia"/>
                      <w:color w:val="auto"/>
                      <w:sz w:val="21"/>
                      <w:szCs w:val="21"/>
                      <w:highlight w:val="none"/>
                    </w:rPr>
                    <w:t>1.92E-02</w:t>
                  </w:r>
                </w:p>
              </w:tc>
            </w:tr>
            <w:tr w14:paraId="745BFB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restart"/>
                  <w:noWrap w:val="0"/>
                  <w:vAlign w:val="center"/>
                </w:tcPr>
                <w:p w14:paraId="72130E37">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r>
                    <w:rPr>
                      <w:rFonts w:hint="eastAsia"/>
                      <w:spacing w:val="-11"/>
                      <w:sz w:val="21"/>
                      <w:szCs w:val="21"/>
                      <w:lang w:val="en-US" w:eastAsia="zh-CN"/>
                    </w:rPr>
                    <w:t>DSA手术室（OR09、OR10、OR11）</w:t>
                  </w:r>
                </w:p>
              </w:tc>
              <w:tc>
                <w:tcPr>
                  <w:tcW w:w="527" w:type="pct"/>
                  <w:vMerge w:val="restart"/>
                  <w:shd w:val="clear" w:color="auto" w:fill="auto"/>
                  <w:noWrap w:val="0"/>
                  <w:vAlign w:val="center"/>
                </w:tcPr>
                <w:p w14:paraId="23412092">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四周墙体</w:t>
                  </w:r>
                </w:p>
              </w:tc>
              <w:tc>
                <w:tcPr>
                  <w:tcW w:w="1106" w:type="pct"/>
                  <w:vMerge w:val="restart"/>
                  <w:shd w:val="clear" w:color="auto" w:fill="auto"/>
                  <w:noWrap w:val="0"/>
                  <w:vAlign w:val="center"/>
                </w:tcPr>
                <w:p w14:paraId="3973CCA1">
                  <w:pPr>
                    <w:spacing w:line="360" w:lineRule="exact"/>
                    <w:jc w:val="center"/>
                    <w:rPr>
                      <w:rFonts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482" w:type="pct"/>
                  <w:vMerge w:val="restart"/>
                  <w:shd w:val="clear" w:color="auto" w:fill="auto"/>
                  <w:noWrap w:val="0"/>
                  <w:vAlign w:val="center"/>
                </w:tcPr>
                <w:p w14:paraId="07CA0106">
                  <w:pPr>
                    <w:spacing w:line="360" w:lineRule="exact"/>
                    <w:jc w:val="center"/>
                    <w:rPr>
                      <w:rFonts w:ascii="Times New Roman" w:hAnsi="Times New Roman" w:eastAsia="宋体" w:cs="Times New Roman"/>
                      <w:color w:val="auto"/>
                      <w:sz w:val="21"/>
                      <w:szCs w:val="21"/>
                      <w:highlight w:val="none"/>
                      <w:lang w:val="en-US" w:eastAsia="zh-CN" w:bidi="ar-SA"/>
                    </w:rPr>
                  </w:pPr>
                  <w:r>
                    <w:rPr>
                      <w:rFonts w:hint="eastAsia"/>
                      <w:spacing w:val="-11"/>
                      <w:sz w:val="21"/>
                      <w:szCs w:val="21"/>
                      <w:highlight w:val="none"/>
                      <w:lang w:val="en-US" w:eastAsia="zh-CN"/>
                    </w:rPr>
                    <w:t>2.50</w:t>
                  </w:r>
                </w:p>
              </w:tc>
              <w:tc>
                <w:tcPr>
                  <w:tcW w:w="502" w:type="pct"/>
                  <w:shd w:val="clear" w:color="auto" w:fill="auto"/>
                  <w:noWrap w:val="0"/>
                  <w:vAlign w:val="center"/>
                </w:tcPr>
                <w:p w14:paraId="2AA37F64">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3587E7D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3BEF9C7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1C2FFF1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5C25266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r>
            <w:tr w14:paraId="1A5452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7BDA3D0F">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011A5FBA">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2E665C5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0591E0A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4E740ACA">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333B51A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7F6DD5B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298A9AB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0E10A80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r>
            <w:tr w14:paraId="6AD906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71F1678A">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0173E47C">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顶板</w:t>
                  </w:r>
                </w:p>
              </w:tc>
              <w:tc>
                <w:tcPr>
                  <w:tcW w:w="1106" w:type="pct"/>
                  <w:vMerge w:val="restart"/>
                  <w:shd w:val="clear" w:color="auto" w:fill="auto"/>
                  <w:noWrap w:val="0"/>
                  <w:vAlign w:val="center"/>
                </w:tcPr>
                <w:p w14:paraId="69AD61F1">
                  <w:pPr>
                    <w:spacing w:line="360" w:lineRule="exact"/>
                    <w:jc w:val="center"/>
                    <w:rPr>
                      <w:rFonts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w:t>
                  </w:r>
                </w:p>
              </w:tc>
              <w:tc>
                <w:tcPr>
                  <w:tcW w:w="482" w:type="pct"/>
                  <w:vMerge w:val="restart"/>
                  <w:shd w:val="clear" w:color="auto" w:fill="auto"/>
                  <w:noWrap w:val="0"/>
                  <w:vAlign w:val="center"/>
                </w:tcPr>
                <w:p w14:paraId="10C44445">
                  <w:pPr>
                    <w:spacing w:line="360" w:lineRule="exact"/>
                    <w:jc w:val="center"/>
                    <w:rPr>
                      <w:rFonts w:ascii="Times New Roman" w:hAnsi="Times New Roman" w:eastAsia="宋体" w:cs="Times New Roman"/>
                      <w:color w:val="auto"/>
                      <w:sz w:val="21"/>
                      <w:szCs w:val="21"/>
                      <w:highlight w:val="none"/>
                      <w:lang w:val="en-US" w:eastAsia="zh-CN" w:bidi="ar-SA"/>
                    </w:rPr>
                  </w:pPr>
                  <w:r>
                    <w:rPr>
                      <w:rFonts w:hint="eastAsia"/>
                      <w:spacing w:val="-11"/>
                      <w:sz w:val="21"/>
                      <w:szCs w:val="21"/>
                      <w:highlight w:val="none"/>
                      <w:lang w:val="en-US" w:eastAsia="zh-CN"/>
                    </w:rPr>
                    <w:t>3.06</w:t>
                  </w:r>
                </w:p>
              </w:tc>
              <w:tc>
                <w:tcPr>
                  <w:tcW w:w="502" w:type="pct"/>
                  <w:shd w:val="clear" w:color="auto" w:fill="auto"/>
                  <w:noWrap w:val="0"/>
                  <w:vAlign w:val="center"/>
                </w:tcPr>
                <w:p w14:paraId="73DAD64E">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59DDC7AC">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D1D2FE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048330E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6DF9FFB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4.35E-08</w:t>
                  </w:r>
                </w:p>
              </w:tc>
            </w:tr>
            <w:tr w14:paraId="670EF6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3A8FFB2B">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66D35A49">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0F92C5BB">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245D0C8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51AC826A">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01B1E27E">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57A7FF4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BF8EC3B">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63A7483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1.74E-06</w:t>
                  </w:r>
                </w:p>
              </w:tc>
            </w:tr>
            <w:tr w14:paraId="16C151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4F9E21A8">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noWrap w:val="0"/>
                  <w:vAlign w:val="center"/>
                </w:tcPr>
                <w:p w14:paraId="4E073165">
                  <w:pPr>
                    <w:keepNext w:val="0"/>
                    <w:keepLines w:val="0"/>
                    <w:pageBreakBefore w:val="0"/>
                    <w:kinsoku/>
                    <w:wordWrap/>
                    <w:overflowPunct/>
                    <w:topLinePunct w:val="0"/>
                    <w:autoSpaceDE w:val="0"/>
                    <w:autoSpaceDN w:val="0"/>
                    <w:bidi w:val="0"/>
                    <w:adjustRightInd w:val="0"/>
                    <w:snapToGrid/>
                    <w:spacing w:line="300" w:lineRule="exact"/>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底板</w:t>
                  </w:r>
                </w:p>
              </w:tc>
              <w:tc>
                <w:tcPr>
                  <w:tcW w:w="1106" w:type="pct"/>
                  <w:vMerge w:val="restart"/>
                  <w:shd w:val="clear" w:color="auto" w:fill="auto"/>
                  <w:noWrap w:val="0"/>
                  <w:vAlign w:val="center"/>
                </w:tcPr>
                <w:p w14:paraId="22C564BE">
                  <w:pPr>
                    <w:spacing w:line="360" w:lineRule="exact"/>
                    <w:jc w:val="center"/>
                    <w:rPr>
                      <w:rFonts w:ascii="Times New Roman" w:hAnsi="Times New Roman" w:eastAsia="宋体" w:cs="Times New Roman"/>
                      <w:spacing w:val="-11"/>
                      <w:sz w:val="21"/>
                      <w:szCs w:val="21"/>
                      <w:highlight w:val="none"/>
                      <w:lang w:val="en-US" w:eastAsia="zh-CN" w:bidi="ar-SA"/>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482" w:type="pct"/>
                  <w:vMerge w:val="restart"/>
                  <w:shd w:val="clear" w:color="auto" w:fill="auto"/>
                  <w:noWrap w:val="0"/>
                  <w:vAlign w:val="center"/>
                </w:tcPr>
                <w:p w14:paraId="4367F246">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2.26</w:t>
                  </w:r>
                </w:p>
              </w:tc>
              <w:tc>
                <w:tcPr>
                  <w:tcW w:w="502" w:type="pct"/>
                  <w:shd w:val="clear" w:color="auto" w:fill="auto"/>
                  <w:noWrap w:val="0"/>
                  <w:vAlign w:val="center"/>
                </w:tcPr>
                <w:p w14:paraId="53BCD1D8">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43AB006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143208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2EB02CE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30573F3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1.82E-06</w:t>
                  </w:r>
                </w:p>
              </w:tc>
            </w:tr>
            <w:tr w14:paraId="7DA9B3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0D79DB07">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67EB03D5">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1409AE29">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32667E93">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590A34DB">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4CCA36E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10F9F9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817B11C">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78104D6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2.87E-05</w:t>
                  </w:r>
                </w:p>
              </w:tc>
            </w:tr>
            <w:tr w14:paraId="3339B0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58D5F16F">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394C715C">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防护门</w:t>
                  </w:r>
                </w:p>
              </w:tc>
              <w:tc>
                <w:tcPr>
                  <w:tcW w:w="1106" w:type="pct"/>
                  <w:vMerge w:val="restart"/>
                  <w:shd w:val="clear" w:color="auto" w:fill="auto"/>
                  <w:noWrap w:val="0"/>
                  <w:vAlign w:val="center"/>
                </w:tcPr>
                <w:p w14:paraId="35374A80">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3</w:t>
                  </w:r>
                  <w:r>
                    <w:rPr>
                      <w:color w:val="auto"/>
                      <w:sz w:val="21"/>
                      <w:szCs w:val="21"/>
                      <w:highlight w:val="none"/>
                    </w:rPr>
                    <w:t>mm铅当量</w:t>
                  </w:r>
                </w:p>
              </w:tc>
              <w:tc>
                <w:tcPr>
                  <w:tcW w:w="482" w:type="pct"/>
                  <w:vMerge w:val="restart"/>
                  <w:shd w:val="clear" w:color="auto" w:fill="auto"/>
                  <w:noWrap w:val="0"/>
                  <w:vAlign w:val="center"/>
                </w:tcPr>
                <w:p w14:paraId="013BE083">
                  <w:pPr>
                    <w:keepNext w:val="0"/>
                    <w:keepLines w:val="0"/>
                    <w:pageBreakBefore w:val="0"/>
                    <w:kinsoku/>
                    <w:wordWrap/>
                    <w:overflowPunct/>
                    <w:topLinePunct w:val="0"/>
                    <w:autoSpaceDE w:val="0"/>
                    <w:autoSpaceDN w:val="0"/>
                    <w:bidi w:val="0"/>
                    <w:adjustRightInd w:val="0"/>
                    <w:snapToGrid/>
                    <w:spacing w:line="300" w:lineRule="exact"/>
                    <w:jc w:val="center"/>
                    <w:rPr>
                      <w:rFonts w:hint="default"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3.0</w:t>
                  </w:r>
                </w:p>
              </w:tc>
              <w:tc>
                <w:tcPr>
                  <w:tcW w:w="502" w:type="pct"/>
                  <w:shd w:val="clear" w:color="auto" w:fill="auto"/>
                  <w:noWrap w:val="0"/>
                  <w:vAlign w:val="center"/>
                </w:tcPr>
                <w:p w14:paraId="37073CE0">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019F652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AB0DEC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7F12824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51614F60">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r>
            <w:tr w14:paraId="3571E8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6BC97613">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68394DA1">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73F9431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5AC5E519">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5AFC7747">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3BD30DB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113AB7F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0374AF8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3B4D7168">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r>
            <w:tr w14:paraId="4A9E6E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24E5EBC9">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3A2404F7">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观察窗</w:t>
                  </w:r>
                </w:p>
              </w:tc>
              <w:tc>
                <w:tcPr>
                  <w:tcW w:w="1106" w:type="pct"/>
                  <w:vMerge w:val="restart"/>
                  <w:shd w:val="clear" w:color="auto" w:fill="auto"/>
                  <w:noWrap w:val="0"/>
                  <w:vAlign w:val="center"/>
                </w:tcPr>
                <w:p w14:paraId="0DA8CFC3">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3</w:t>
                  </w:r>
                  <w:r>
                    <w:rPr>
                      <w:color w:val="auto"/>
                      <w:sz w:val="21"/>
                      <w:szCs w:val="21"/>
                      <w:highlight w:val="none"/>
                    </w:rPr>
                    <w:t>mm铅当量</w:t>
                  </w:r>
                </w:p>
              </w:tc>
              <w:tc>
                <w:tcPr>
                  <w:tcW w:w="482" w:type="pct"/>
                  <w:vMerge w:val="restart"/>
                  <w:shd w:val="clear" w:color="auto" w:fill="auto"/>
                  <w:noWrap w:val="0"/>
                  <w:vAlign w:val="center"/>
                </w:tcPr>
                <w:p w14:paraId="6E333D69">
                  <w:pPr>
                    <w:keepNext w:val="0"/>
                    <w:keepLines w:val="0"/>
                    <w:pageBreakBefore w:val="0"/>
                    <w:kinsoku/>
                    <w:wordWrap/>
                    <w:overflowPunct/>
                    <w:topLinePunct w:val="0"/>
                    <w:autoSpaceDE w:val="0"/>
                    <w:autoSpaceDN w:val="0"/>
                    <w:bidi w:val="0"/>
                    <w:adjustRightInd w:val="0"/>
                    <w:snapToGrid/>
                    <w:spacing w:line="300" w:lineRule="exact"/>
                    <w:jc w:val="center"/>
                    <w:rPr>
                      <w:rFonts w:hint="default"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3.0</w:t>
                  </w:r>
                </w:p>
              </w:tc>
              <w:tc>
                <w:tcPr>
                  <w:tcW w:w="502" w:type="pct"/>
                  <w:shd w:val="clear" w:color="auto" w:fill="auto"/>
                  <w:noWrap w:val="0"/>
                  <w:vAlign w:val="center"/>
                </w:tcPr>
                <w:p w14:paraId="3479CD70">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448CC79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70517D9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228CE72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36BC31B2">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r>
            <w:tr w14:paraId="11E295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5E29CAF3">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1E865157">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608DEFD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6C9B01B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6601013C">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6DA70AE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79D2463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0850525B">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63726911">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r>
            <w:tr w14:paraId="3B04C1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4269F82B">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254DAED8">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第一术者位</w:t>
                  </w:r>
                </w:p>
              </w:tc>
              <w:tc>
                <w:tcPr>
                  <w:tcW w:w="1106" w:type="pct"/>
                  <w:vMerge w:val="restart"/>
                  <w:shd w:val="clear" w:color="auto" w:fill="auto"/>
                  <w:noWrap w:val="0"/>
                  <w:vAlign w:val="center"/>
                </w:tcPr>
                <w:p w14:paraId="54F791D6">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0.5mmPb铅</w:t>
                  </w:r>
                  <w:r>
                    <w:rPr>
                      <w:rFonts w:hint="eastAsia"/>
                      <w:color w:val="auto"/>
                      <w:sz w:val="21"/>
                      <w:szCs w:val="21"/>
                      <w:highlight w:val="none"/>
                    </w:rPr>
                    <w:t>衣</w:t>
                  </w:r>
                  <w:r>
                    <w:rPr>
                      <w:color w:val="auto"/>
                      <w:sz w:val="21"/>
                      <w:szCs w:val="21"/>
                      <w:highlight w:val="none"/>
                    </w:rPr>
                    <w:t>+0.5mmPb</w:t>
                  </w:r>
                  <w:r>
                    <w:rPr>
                      <w:rFonts w:hint="eastAsia"/>
                      <w:color w:val="auto"/>
                      <w:sz w:val="21"/>
                      <w:szCs w:val="21"/>
                      <w:highlight w:val="none"/>
                    </w:rPr>
                    <w:t>床侧防护帘/铅防护</w:t>
                  </w:r>
                  <w:r>
                    <w:rPr>
                      <w:color w:val="auto"/>
                      <w:sz w:val="21"/>
                      <w:szCs w:val="21"/>
                      <w:highlight w:val="none"/>
                    </w:rPr>
                    <w:t>吊屏</w:t>
                  </w:r>
                </w:p>
              </w:tc>
              <w:tc>
                <w:tcPr>
                  <w:tcW w:w="482" w:type="pct"/>
                  <w:vMerge w:val="restart"/>
                  <w:shd w:val="clear" w:color="auto" w:fill="auto"/>
                  <w:noWrap w:val="0"/>
                  <w:vAlign w:val="center"/>
                </w:tcPr>
                <w:p w14:paraId="76F08BF1">
                  <w:pPr>
                    <w:keepNext w:val="0"/>
                    <w:keepLines w:val="0"/>
                    <w:pageBreakBefore w:val="0"/>
                    <w:kinsoku/>
                    <w:wordWrap/>
                    <w:overflowPunct/>
                    <w:topLinePunct w:val="0"/>
                    <w:autoSpaceDE w:val="0"/>
                    <w:autoSpaceDN w:val="0"/>
                    <w:bidi w:val="0"/>
                    <w:adjustRightInd w:val="0"/>
                    <w:snapToGrid/>
                    <w:spacing w:line="300" w:lineRule="exact"/>
                    <w:jc w:val="center"/>
                    <w:rPr>
                      <w:rFonts w:hint="default" w:ascii="Times New Roman" w:hAnsi="Times New Roman" w:eastAsia="宋体" w:cs="Times New Roman"/>
                      <w:color w:val="auto"/>
                      <w:sz w:val="21"/>
                      <w:szCs w:val="21"/>
                      <w:highlight w:val="none"/>
                      <w:lang w:val="en-US" w:eastAsia="zh-CN" w:bidi="ar-SA"/>
                    </w:rPr>
                  </w:pPr>
                  <w:r>
                    <w:rPr>
                      <w:color w:val="auto"/>
                      <w:sz w:val="21"/>
                      <w:szCs w:val="21"/>
                      <w:highlight w:val="none"/>
                    </w:rPr>
                    <w:t>1</w:t>
                  </w:r>
                  <w:r>
                    <w:rPr>
                      <w:rFonts w:hint="eastAsia"/>
                      <w:color w:val="auto"/>
                      <w:sz w:val="21"/>
                      <w:szCs w:val="21"/>
                      <w:highlight w:val="none"/>
                      <w:lang w:val="en-US" w:eastAsia="zh-CN"/>
                    </w:rPr>
                    <w:t>.0</w:t>
                  </w:r>
                </w:p>
              </w:tc>
              <w:tc>
                <w:tcPr>
                  <w:tcW w:w="502" w:type="pct"/>
                  <w:shd w:val="clear" w:color="auto" w:fill="auto"/>
                  <w:noWrap w:val="0"/>
                  <w:vAlign w:val="center"/>
                </w:tcPr>
                <w:p w14:paraId="42916585">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7DFC11D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02C8C5E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1104C8F4">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0C7C735C">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6.89E-04</w:t>
                  </w:r>
                </w:p>
              </w:tc>
            </w:tr>
            <w:tr w14:paraId="5DD034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39C6609B">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7063DEDB">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4FA6DD1B">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27C411CA">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2E2F03A8">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0F810594">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5AF60ED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593984C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778F104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2.57E-03</w:t>
                  </w:r>
                </w:p>
              </w:tc>
            </w:tr>
            <w:tr w14:paraId="7E290D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42C943D9">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78396CFB">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第二术者位</w:t>
                  </w:r>
                </w:p>
              </w:tc>
              <w:tc>
                <w:tcPr>
                  <w:tcW w:w="1106" w:type="pct"/>
                  <w:vMerge w:val="restart"/>
                  <w:shd w:val="clear" w:color="auto" w:fill="auto"/>
                  <w:noWrap w:val="0"/>
                  <w:vAlign w:val="center"/>
                </w:tcPr>
                <w:p w14:paraId="6F196B19">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0.5mmPb铅</w:t>
                  </w:r>
                  <w:r>
                    <w:rPr>
                      <w:rFonts w:hint="eastAsia"/>
                      <w:color w:val="auto"/>
                      <w:sz w:val="21"/>
                      <w:szCs w:val="21"/>
                      <w:highlight w:val="none"/>
                    </w:rPr>
                    <w:t>衣</w:t>
                  </w:r>
                </w:p>
              </w:tc>
              <w:tc>
                <w:tcPr>
                  <w:tcW w:w="482" w:type="pct"/>
                  <w:vMerge w:val="restart"/>
                  <w:shd w:val="clear" w:color="auto" w:fill="auto"/>
                  <w:noWrap w:val="0"/>
                  <w:vAlign w:val="center"/>
                </w:tcPr>
                <w:p w14:paraId="16CDE787">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0.5</w:t>
                  </w:r>
                </w:p>
              </w:tc>
              <w:tc>
                <w:tcPr>
                  <w:tcW w:w="502" w:type="pct"/>
                  <w:shd w:val="clear" w:color="auto" w:fill="auto"/>
                  <w:noWrap w:val="0"/>
                  <w:vAlign w:val="center"/>
                </w:tcPr>
                <w:p w14:paraId="07328606">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540F07EB">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4BB76D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78B98F1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77A11F4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9.00E-03</w:t>
                  </w:r>
                </w:p>
              </w:tc>
            </w:tr>
            <w:tr w14:paraId="217ECE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3DE8C87E">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34237A69">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1960B95A">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76B1670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219BB15D">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3EB79CD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7A785898">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6F82A9B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21AF594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1.92E-02</w:t>
                  </w:r>
                </w:p>
              </w:tc>
            </w:tr>
            <w:tr w14:paraId="5CA17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14663693">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39CE1D6C">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护士位</w:t>
                  </w:r>
                </w:p>
              </w:tc>
              <w:tc>
                <w:tcPr>
                  <w:tcW w:w="1106" w:type="pct"/>
                  <w:vMerge w:val="restart"/>
                  <w:shd w:val="clear" w:color="auto" w:fill="auto"/>
                  <w:noWrap w:val="0"/>
                  <w:vAlign w:val="center"/>
                </w:tcPr>
                <w:p w14:paraId="7F55A75F">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0.5mmPb铅</w:t>
                  </w:r>
                  <w:r>
                    <w:rPr>
                      <w:rFonts w:hint="eastAsia"/>
                      <w:color w:val="auto"/>
                      <w:sz w:val="21"/>
                      <w:szCs w:val="21"/>
                      <w:highlight w:val="none"/>
                    </w:rPr>
                    <w:t>衣</w:t>
                  </w:r>
                </w:p>
              </w:tc>
              <w:tc>
                <w:tcPr>
                  <w:tcW w:w="482" w:type="pct"/>
                  <w:vMerge w:val="restart"/>
                  <w:shd w:val="clear" w:color="auto" w:fill="auto"/>
                  <w:noWrap w:val="0"/>
                  <w:vAlign w:val="center"/>
                </w:tcPr>
                <w:p w14:paraId="06FFBDB2">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0.5</w:t>
                  </w:r>
                </w:p>
              </w:tc>
              <w:tc>
                <w:tcPr>
                  <w:tcW w:w="502" w:type="pct"/>
                  <w:shd w:val="clear" w:color="auto" w:fill="auto"/>
                  <w:noWrap w:val="0"/>
                  <w:vAlign w:val="center"/>
                </w:tcPr>
                <w:p w14:paraId="02F9504F">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10AC015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0C1AF3A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56A990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710BEC5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9.00E-03</w:t>
                  </w:r>
                </w:p>
              </w:tc>
            </w:tr>
            <w:tr w14:paraId="08344B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0E52B3BC">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18D9E481">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278D47D8">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079B92E9">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565AEF5A">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1089917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09C9A9F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5E5FFDD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1B63397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1.92E-02</w:t>
                  </w:r>
                </w:p>
              </w:tc>
            </w:tr>
            <w:tr w14:paraId="405D92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restart"/>
                  <w:noWrap w:val="0"/>
                  <w:vAlign w:val="center"/>
                </w:tcPr>
                <w:p w14:paraId="643BB1CF">
                  <w:pPr>
                    <w:keepNext w:val="0"/>
                    <w:keepLines w:val="0"/>
                    <w:pageBreakBefore w:val="0"/>
                    <w:kinsoku/>
                    <w:wordWrap/>
                    <w:overflowPunct/>
                    <w:topLinePunct w:val="0"/>
                    <w:autoSpaceDE w:val="0"/>
                    <w:autoSpaceDN w:val="0"/>
                    <w:bidi w:val="0"/>
                    <w:adjustRightInd w:val="0"/>
                    <w:snapToGrid/>
                    <w:spacing w:line="300" w:lineRule="exact"/>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ERCP室</w:t>
                  </w:r>
                </w:p>
              </w:tc>
              <w:tc>
                <w:tcPr>
                  <w:tcW w:w="527" w:type="pct"/>
                  <w:vMerge w:val="restart"/>
                  <w:shd w:val="clear" w:color="auto" w:fill="auto"/>
                  <w:noWrap w:val="0"/>
                  <w:vAlign w:val="center"/>
                </w:tcPr>
                <w:p w14:paraId="1EFBA627">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四周墙体</w:t>
                  </w:r>
                </w:p>
              </w:tc>
              <w:tc>
                <w:tcPr>
                  <w:tcW w:w="1106" w:type="pct"/>
                  <w:vMerge w:val="restart"/>
                  <w:shd w:val="clear" w:color="auto" w:fill="auto"/>
                  <w:noWrap w:val="0"/>
                  <w:vAlign w:val="center"/>
                </w:tcPr>
                <w:p w14:paraId="16B06200">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482" w:type="pct"/>
                  <w:vMerge w:val="restart"/>
                  <w:shd w:val="clear" w:color="auto" w:fill="auto"/>
                  <w:noWrap w:val="0"/>
                  <w:vAlign w:val="center"/>
                </w:tcPr>
                <w:p w14:paraId="775CABD3">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3.50</w:t>
                  </w:r>
                </w:p>
              </w:tc>
              <w:tc>
                <w:tcPr>
                  <w:tcW w:w="502" w:type="pct"/>
                  <w:shd w:val="clear" w:color="auto" w:fill="auto"/>
                  <w:noWrap w:val="0"/>
                  <w:vAlign w:val="center"/>
                </w:tcPr>
                <w:p w14:paraId="3321B546">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2F1AC94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662DBA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3B5287E">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423D46C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5.58E-09</w:t>
                  </w:r>
                </w:p>
              </w:tc>
            </w:tr>
            <w:tr w14:paraId="7C8461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6E5DACF3">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48FB8AB9">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5C4ADF74">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665FAAF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6F3CE6FA">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56FB28B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393DCCDC">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7DF803F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6BF7DEF5">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3.72E-07</w:t>
                  </w:r>
                </w:p>
              </w:tc>
            </w:tr>
            <w:tr w14:paraId="291C6A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38445022">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25DAF077">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顶板</w:t>
                  </w:r>
                </w:p>
              </w:tc>
              <w:tc>
                <w:tcPr>
                  <w:tcW w:w="1106" w:type="pct"/>
                  <w:vMerge w:val="restart"/>
                  <w:shd w:val="clear" w:color="auto" w:fill="auto"/>
                  <w:noWrap w:val="0"/>
                  <w:vAlign w:val="center"/>
                </w:tcPr>
                <w:p w14:paraId="68270E6C">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w:t>
                  </w:r>
                </w:p>
              </w:tc>
              <w:tc>
                <w:tcPr>
                  <w:tcW w:w="482" w:type="pct"/>
                  <w:vMerge w:val="restart"/>
                  <w:shd w:val="clear" w:color="auto" w:fill="auto"/>
                  <w:noWrap w:val="0"/>
                  <w:vAlign w:val="center"/>
                </w:tcPr>
                <w:p w14:paraId="2441251E">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3.06</w:t>
                  </w:r>
                </w:p>
              </w:tc>
              <w:tc>
                <w:tcPr>
                  <w:tcW w:w="502" w:type="pct"/>
                  <w:shd w:val="clear" w:color="auto" w:fill="auto"/>
                  <w:noWrap w:val="0"/>
                  <w:vAlign w:val="center"/>
                </w:tcPr>
                <w:p w14:paraId="0DCED16B">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0250C50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29C160E4">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0961F5FB">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6F46D29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4.35E-08</w:t>
                  </w:r>
                </w:p>
              </w:tc>
            </w:tr>
            <w:tr w14:paraId="798C80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71FC36FD">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2AC0F5D0">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2A3B2565">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6FDD3CC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24054436">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66B55328">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16DC753B">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3DA377E9">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2D8AC74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1.74E-06</w:t>
                  </w:r>
                </w:p>
              </w:tc>
            </w:tr>
            <w:tr w14:paraId="23DB81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06E2154C">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1B3751EF">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底板</w:t>
                  </w:r>
                </w:p>
              </w:tc>
              <w:tc>
                <w:tcPr>
                  <w:tcW w:w="1106" w:type="pct"/>
                  <w:vMerge w:val="restart"/>
                  <w:shd w:val="clear" w:color="auto" w:fill="auto"/>
                  <w:noWrap w:val="0"/>
                  <w:vAlign w:val="center"/>
                </w:tcPr>
                <w:p w14:paraId="1CF37356">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482" w:type="pct"/>
                  <w:vMerge w:val="restart"/>
                  <w:shd w:val="clear" w:color="auto" w:fill="auto"/>
                  <w:noWrap w:val="0"/>
                  <w:vAlign w:val="center"/>
                </w:tcPr>
                <w:p w14:paraId="72DED8A6">
                  <w:pPr>
                    <w:spacing w:line="360" w:lineRule="exact"/>
                    <w:jc w:val="center"/>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2.26</w:t>
                  </w:r>
                </w:p>
              </w:tc>
              <w:tc>
                <w:tcPr>
                  <w:tcW w:w="502" w:type="pct"/>
                  <w:shd w:val="clear" w:color="auto" w:fill="auto"/>
                  <w:noWrap w:val="0"/>
                  <w:vAlign w:val="center"/>
                </w:tcPr>
                <w:p w14:paraId="383F8AB0">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0980552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7EEE1A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5D297FE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2622FA22">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1.82E-06</w:t>
                  </w:r>
                </w:p>
              </w:tc>
            </w:tr>
            <w:tr w14:paraId="43F81A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44928B1E">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79D894FE">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411AAD5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1E1DDCE8">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2F5478AA">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1D85DA04">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57A5082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34E3B288">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1A32870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2.87E-05</w:t>
                  </w:r>
                </w:p>
              </w:tc>
            </w:tr>
            <w:tr w14:paraId="336080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1B3B7050">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5BDF52EC">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防护门</w:t>
                  </w:r>
                </w:p>
              </w:tc>
              <w:tc>
                <w:tcPr>
                  <w:tcW w:w="1106" w:type="pct"/>
                  <w:vMerge w:val="restart"/>
                  <w:noWrap w:val="0"/>
                  <w:vAlign w:val="center"/>
                </w:tcPr>
                <w:p w14:paraId="6570F9B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482" w:type="pct"/>
                  <w:vMerge w:val="restart"/>
                  <w:noWrap w:val="0"/>
                  <w:vAlign w:val="center"/>
                </w:tcPr>
                <w:p w14:paraId="18107F4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rFonts w:hint="eastAsia"/>
                      <w:color w:val="auto"/>
                      <w:sz w:val="21"/>
                      <w:szCs w:val="21"/>
                      <w:highlight w:val="none"/>
                      <w:lang w:val="en-US" w:eastAsia="zh-CN"/>
                    </w:rPr>
                    <w:t>4.0</w:t>
                  </w:r>
                </w:p>
              </w:tc>
              <w:tc>
                <w:tcPr>
                  <w:tcW w:w="502" w:type="pct"/>
                  <w:shd w:val="clear" w:color="auto" w:fill="auto"/>
                  <w:noWrap w:val="0"/>
                  <w:vAlign w:val="center"/>
                </w:tcPr>
                <w:p w14:paraId="34F70CB1">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5D208D3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D336F6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33BAEC0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4A53F4C5">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5.42E-10</w:t>
                  </w:r>
                </w:p>
              </w:tc>
            </w:tr>
            <w:tr w14:paraId="27FCCD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0ACB2726">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133B16D3">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371939A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3281117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11C27CF3">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094F24FE">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3CCCDC61">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03F7C91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43FF014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6.44E-08</w:t>
                  </w:r>
                </w:p>
              </w:tc>
            </w:tr>
            <w:tr w14:paraId="39FE76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4701DD90">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5CA4A4FF">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观察窗</w:t>
                  </w:r>
                </w:p>
              </w:tc>
              <w:tc>
                <w:tcPr>
                  <w:tcW w:w="1106" w:type="pct"/>
                  <w:vMerge w:val="restart"/>
                  <w:noWrap w:val="0"/>
                  <w:vAlign w:val="center"/>
                </w:tcPr>
                <w:p w14:paraId="33C50FEF">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482" w:type="pct"/>
                  <w:vMerge w:val="restart"/>
                  <w:noWrap w:val="0"/>
                  <w:vAlign w:val="center"/>
                </w:tcPr>
                <w:p w14:paraId="0CE4E2D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rFonts w:hint="eastAsia"/>
                      <w:color w:val="auto"/>
                      <w:sz w:val="21"/>
                      <w:szCs w:val="21"/>
                      <w:highlight w:val="none"/>
                      <w:lang w:val="en-US" w:eastAsia="zh-CN"/>
                    </w:rPr>
                    <w:t>4.0</w:t>
                  </w:r>
                </w:p>
              </w:tc>
              <w:tc>
                <w:tcPr>
                  <w:tcW w:w="502" w:type="pct"/>
                  <w:shd w:val="clear" w:color="auto" w:fill="auto"/>
                  <w:noWrap w:val="0"/>
                  <w:vAlign w:val="center"/>
                </w:tcPr>
                <w:p w14:paraId="157B221A">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1601355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139099E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548B5B7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2CACEF5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5.42E-10</w:t>
                  </w:r>
                </w:p>
              </w:tc>
            </w:tr>
            <w:tr w14:paraId="6AF9D1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136D750A">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51E2A093">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3BD081FB">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3208C413">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1773521E">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35C2330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02E10C3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87229D0">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1036" w:type="dxa"/>
                  <w:shd w:val="clear" w:color="auto" w:fill="auto"/>
                  <w:noWrap w:val="0"/>
                  <w:vAlign w:val="center"/>
                </w:tcPr>
                <w:p w14:paraId="12ABD7D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6.44E-08</w:t>
                  </w:r>
                </w:p>
              </w:tc>
            </w:tr>
            <w:tr w14:paraId="6BDBC9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446" w:type="pct"/>
                  <w:vMerge w:val="continue"/>
                  <w:noWrap w:val="0"/>
                  <w:vAlign w:val="center"/>
                </w:tcPr>
                <w:p w14:paraId="34D0E55D">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2749CD8A">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第一术者位</w:t>
                  </w:r>
                </w:p>
              </w:tc>
              <w:tc>
                <w:tcPr>
                  <w:tcW w:w="1106" w:type="pct"/>
                  <w:vMerge w:val="restart"/>
                  <w:shd w:val="clear" w:color="auto" w:fill="auto"/>
                  <w:noWrap w:val="0"/>
                  <w:vAlign w:val="center"/>
                </w:tcPr>
                <w:p w14:paraId="4BE9E98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0.5mmPb铅</w:t>
                  </w:r>
                  <w:r>
                    <w:rPr>
                      <w:rFonts w:hint="eastAsia"/>
                      <w:color w:val="auto"/>
                      <w:sz w:val="21"/>
                      <w:szCs w:val="21"/>
                      <w:highlight w:val="none"/>
                    </w:rPr>
                    <w:t>衣</w:t>
                  </w:r>
                  <w:r>
                    <w:rPr>
                      <w:color w:val="auto"/>
                      <w:sz w:val="21"/>
                      <w:szCs w:val="21"/>
                      <w:highlight w:val="none"/>
                    </w:rPr>
                    <w:t>+0.5mmPb</w:t>
                  </w:r>
                  <w:r>
                    <w:rPr>
                      <w:rFonts w:hint="eastAsia"/>
                      <w:color w:val="auto"/>
                      <w:sz w:val="21"/>
                      <w:szCs w:val="21"/>
                      <w:highlight w:val="none"/>
                    </w:rPr>
                    <w:t>床侧防护帘/铅防护</w:t>
                  </w:r>
                  <w:r>
                    <w:rPr>
                      <w:color w:val="auto"/>
                      <w:sz w:val="21"/>
                      <w:szCs w:val="21"/>
                      <w:highlight w:val="none"/>
                    </w:rPr>
                    <w:t>吊屏</w:t>
                  </w:r>
                </w:p>
              </w:tc>
              <w:tc>
                <w:tcPr>
                  <w:tcW w:w="482" w:type="pct"/>
                  <w:vMerge w:val="restart"/>
                  <w:shd w:val="clear" w:color="auto" w:fill="auto"/>
                  <w:noWrap w:val="0"/>
                  <w:vAlign w:val="center"/>
                </w:tcPr>
                <w:p w14:paraId="794CE0F3">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1</w:t>
                  </w:r>
                  <w:r>
                    <w:rPr>
                      <w:rFonts w:hint="eastAsia"/>
                      <w:color w:val="auto"/>
                      <w:sz w:val="21"/>
                      <w:szCs w:val="21"/>
                      <w:highlight w:val="none"/>
                      <w:lang w:val="en-US" w:eastAsia="zh-CN"/>
                    </w:rPr>
                    <w:t>.0</w:t>
                  </w:r>
                </w:p>
              </w:tc>
              <w:tc>
                <w:tcPr>
                  <w:tcW w:w="502" w:type="pct"/>
                  <w:shd w:val="clear" w:color="auto" w:fill="auto"/>
                  <w:noWrap w:val="0"/>
                  <w:vAlign w:val="center"/>
                </w:tcPr>
                <w:p w14:paraId="16629C03">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59B848D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4554F15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0436BB13">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2C23FE09">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6.89E-04</w:t>
                  </w:r>
                </w:p>
              </w:tc>
            </w:tr>
            <w:tr w14:paraId="15874B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51340554">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770DF41B">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06831022">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6A9069A5">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02BF5932">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1BBA32F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68144278">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1F9A4D0A">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0047471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2.57E-03</w:t>
                  </w:r>
                </w:p>
              </w:tc>
            </w:tr>
            <w:tr w14:paraId="50B05C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233EB525">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304AB7FF">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color w:val="auto"/>
                      <w:sz w:val="21"/>
                      <w:szCs w:val="21"/>
                      <w:highlight w:val="none"/>
                    </w:rPr>
                    <w:t>第二术者位</w:t>
                  </w:r>
                </w:p>
              </w:tc>
              <w:tc>
                <w:tcPr>
                  <w:tcW w:w="1106" w:type="pct"/>
                  <w:vMerge w:val="restart"/>
                  <w:shd w:val="clear" w:color="auto" w:fill="auto"/>
                  <w:noWrap w:val="0"/>
                  <w:vAlign w:val="center"/>
                </w:tcPr>
                <w:p w14:paraId="43884A83">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0.5mmPb铅</w:t>
                  </w:r>
                  <w:r>
                    <w:rPr>
                      <w:rFonts w:hint="eastAsia"/>
                      <w:color w:val="auto"/>
                      <w:sz w:val="21"/>
                      <w:szCs w:val="21"/>
                      <w:highlight w:val="none"/>
                    </w:rPr>
                    <w:t>衣</w:t>
                  </w:r>
                </w:p>
              </w:tc>
              <w:tc>
                <w:tcPr>
                  <w:tcW w:w="482" w:type="pct"/>
                  <w:vMerge w:val="restart"/>
                  <w:shd w:val="clear" w:color="auto" w:fill="auto"/>
                  <w:noWrap w:val="0"/>
                  <w:vAlign w:val="center"/>
                </w:tcPr>
                <w:p w14:paraId="5687BAAD">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r>
                    <w:rPr>
                      <w:color w:val="auto"/>
                      <w:sz w:val="21"/>
                      <w:szCs w:val="21"/>
                      <w:highlight w:val="none"/>
                    </w:rPr>
                    <w:t>0.5</w:t>
                  </w:r>
                </w:p>
              </w:tc>
              <w:tc>
                <w:tcPr>
                  <w:tcW w:w="502" w:type="pct"/>
                  <w:shd w:val="clear" w:color="auto" w:fill="auto"/>
                  <w:noWrap w:val="0"/>
                  <w:vAlign w:val="center"/>
                </w:tcPr>
                <w:p w14:paraId="5768028F">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26F806E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53B56EBE">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6AD5F77">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3E1F123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9.00E-03</w:t>
                  </w:r>
                </w:p>
              </w:tc>
            </w:tr>
            <w:tr w14:paraId="3C6D9B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6DDDEA54">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47B783E4">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45C4E6E7">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3D45BAD6">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59AFA812">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3E74D53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16AF7F8D">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45905CC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115BF6D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1.92E-02</w:t>
                  </w:r>
                </w:p>
              </w:tc>
            </w:tr>
            <w:tr w14:paraId="232905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57D4D8FB">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restart"/>
                  <w:shd w:val="clear" w:color="auto" w:fill="auto"/>
                  <w:noWrap w:val="0"/>
                  <w:vAlign w:val="center"/>
                </w:tcPr>
                <w:p w14:paraId="7D419FB6">
                  <w:pPr>
                    <w:keepNext w:val="0"/>
                    <w:keepLines w:val="0"/>
                    <w:pageBreakBefore w:val="0"/>
                    <w:kinsoku/>
                    <w:wordWrap/>
                    <w:overflowPunct/>
                    <w:topLinePunct w:val="0"/>
                    <w:autoSpaceDE w:val="0"/>
                    <w:autoSpaceDN w:val="0"/>
                    <w:bidi w:val="0"/>
                    <w:adjustRightInd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护士位</w:t>
                  </w:r>
                </w:p>
              </w:tc>
              <w:tc>
                <w:tcPr>
                  <w:tcW w:w="1106" w:type="pct"/>
                  <w:vMerge w:val="restart"/>
                  <w:shd w:val="clear" w:color="auto" w:fill="auto"/>
                  <w:noWrap w:val="0"/>
                  <w:vAlign w:val="center"/>
                </w:tcPr>
                <w:p w14:paraId="1FCAB281">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0.5mmPb铅</w:t>
                  </w:r>
                  <w:r>
                    <w:rPr>
                      <w:rFonts w:hint="eastAsia"/>
                      <w:color w:val="auto"/>
                      <w:sz w:val="21"/>
                      <w:szCs w:val="21"/>
                      <w:highlight w:val="none"/>
                    </w:rPr>
                    <w:t>衣</w:t>
                  </w:r>
                </w:p>
              </w:tc>
              <w:tc>
                <w:tcPr>
                  <w:tcW w:w="482" w:type="pct"/>
                  <w:vMerge w:val="restart"/>
                  <w:shd w:val="clear" w:color="auto" w:fill="auto"/>
                  <w:noWrap w:val="0"/>
                  <w:vAlign w:val="center"/>
                </w:tcPr>
                <w:p w14:paraId="56317A8C">
                  <w:pPr>
                    <w:keepNext w:val="0"/>
                    <w:keepLines w:val="0"/>
                    <w:pageBreakBefore w:val="0"/>
                    <w:kinsoku/>
                    <w:wordWrap/>
                    <w:overflowPunct/>
                    <w:topLinePunct w:val="0"/>
                    <w:autoSpaceDE w:val="0"/>
                    <w:autoSpaceDN w:val="0"/>
                    <w:bidi w:val="0"/>
                    <w:adjustRightInd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0.5</w:t>
                  </w:r>
                </w:p>
              </w:tc>
              <w:tc>
                <w:tcPr>
                  <w:tcW w:w="502" w:type="pct"/>
                  <w:shd w:val="clear" w:color="auto" w:fill="auto"/>
                  <w:noWrap w:val="0"/>
                  <w:vAlign w:val="center"/>
                </w:tcPr>
                <w:p w14:paraId="46EC87E2">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75kV</w:t>
                  </w:r>
                </w:p>
              </w:tc>
              <w:tc>
                <w:tcPr>
                  <w:tcW w:w="456" w:type="pct"/>
                  <w:shd w:val="clear" w:color="auto" w:fill="auto"/>
                  <w:noWrap w:val="0"/>
                  <w:vAlign w:val="center"/>
                </w:tcPr>
                <w:p w14:paraId="25C6310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3A2298FF">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64FD7382">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2CBB5EA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9.00E-03</w:t>
                  </w:r>
                </w:p>
              </w:tc>
            </w:tr>
            <w:tr w14:paraId="62074E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46" w:type="pct"/>
                  <w:vMerge w:val="continue"/>
                  <w:noWrap w:val="0"/>
                  <w:vAlign w:val="center"/>
                </w:tcPr>
                <w:p w14:paraId="47EFC999">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527" w:type="pct"/>
                  <w:vMerge w:val="continue"/>
                  <w:noWrap w:val="0"/>
                  <w:vAlign w:val="center"/>
                </w:tcPr>
                <w:p w14:paraId="28F217C3">
                  <w:pPr>
                    <w:keepNext w:val="0"/>
                    <w:keepLines w:val="0"/>
                    <w:pageBreakBefore w:val="0"/>
                    <w:kinsoku/>
                    <w:wordWrap/>
                    <w:overflowPunct/>
                    <w:topLinePunct w:val="0"/>
                    <w:autoSpaceDE w:val="0"/>
                    <w:autoSpaceDN w:val="0"/>
                    <w:bidi w:val="0"/>
                    <w:adjustRightInd w:val="0"/>
                    <w:snapToGrid/>
                    <w:spacing w:line="300" w:lineRule="exact"/>
                    <w:jc w:val="center"/>
                    <w:rPr>
                      <w:rFonts w:hint="eastAsia"/>
                      <w:color w:val="auto"/>
                      <w:sz w:val="21"/>
                      <w:szCs w:val="21"/>
                      <w:highlight w:val="none"/>
                    </w:rPr>
                  </w:pPr>
                </w:p>
              </w:tc>
              <w:tc>
                <w:tcPr>
                  <w:tcW w:w="1106" w:type="pct"/>
                  <w:vMerge w:val="continue"/>
                  <w:noWrap w:val="0"/>
                  <w:vAlign w:val="center"/>
                </w:tcPr>
                <w:p w14:paraId="476D9090">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482" w:type="pct"/>
                  <w:vMerge w:val="continue"/>
                  <w:noWrap w:val="0"/>
                  <w:vAlign w:val="center"/>
                </w:tcPr>
                <w:p w14:paraId="0A9C40F8">
                  <w:pPr>
                    <w:keepNext w:val="0"/>
                    <w:keepLines w:val="0"/>
                    <w:pageBreakBefore w:val="0"/>
                    <w:kinsoku/>
                    <w:wordWrap/>
                    <w:overflowPunct/>
                    <w:topLinePunct w:val="0"/>
                    <w:autoSpaceDE w:val="0"/>
                    <w:autoSpaceDN w:val="0"/>
                    <w:bidi w:val="0"/>
                    <w:adjustRightInd w:val="0"/>
                    <w:snapToGrid/>
                    <w:spacing w:line="300" w:lineRule="exact"/>
                    <w:jc w:val="center"/>
                    <w:rPr>
                      <w:color w:val="auto"/>
                      <w:sz w:val="21"/>
                      <w:szCs w:val="21"/>
                      <w:highlight w:val="none"/>
                    </w:rPr>
                  </w:pPr>
                </w:p>
              </w:tc>
              <w:tc>
                <w:tcPr>
                  <w:tcW w:w="502" w:type="pct"/>
                  <w:shd w:val="clear" w:color="auto" w:fill="auto"/>
                  <w:noWrap w:val="0"/>
                  <w:vAlign w:val="center"/>
                </w:tcPr>
                <w:p w14:paraId="03DC9B2F">
                  <w:pPr>
                    <w:keepNext w:val="0"/>
                    <w:keepLines w:val="0"/>
                    <w:pageBreakBefore w:val="0"/>
                    <w:widowControl/>
                    <w:kinsoku/>
                    <w:wordWrap/>
                    <w:overflowPunct/>
                    <w:topLinePunct w:val="0"/>
                    <w:bidi w:val="0"/>
                    <w:snapToGrid/>
                    <w:spacing w:line="300" w:lineRule="exact"/>
                    <w:jc w:val="center"/>
                    <w:rPr>
                      <w:rFonts w:ascii="Times New Roman" w:hAnsi="Times New Roman" w:eastAsia="宋体" w:cs="Times New Roman"/>
                      <w:color w:val="auto"/>
                      <w:sz w:val="21"/>
                      <w:szCs w:val="21"/>
                      <w:highlight w:val="none"/>
                      <w:lang w:val="en-US" w:eastAsia="zh-CN" w:bidi="ar-SA"/>
                    </w:rPr>
                  </w:pPr>
                  <w:r>
                    <w:rPr>
                      <w:color w:val="auto"/>
                      <w:sz w:val="21"/>
                      <w:szCs w:val="21"/>
                      <w:highlight w:val="none"/>
                    </w:rPr>
                    <w:t>85kV</w:t>
                  </w:r>
                </w:p>
              </w:tc>
              <w:tc>
                <w:tcPr>
                  <w:tcW w:w="456" w:type="pct"/>
                  <w:shd w:val="clear" w:color="auto" w:fill="auto"/>
                  <w:noWrap w:val="0"/>
                  <w:vAlign w:val="center"/>
                </w:tcPr>
                <w:p w14:paraId="375008C6">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41" w:type="pct"/>
                  <w:shd w:val="clear" w:color="auto" w:fill="auto"/>
                  <w:noWrap w:val="0"/>
                  <w:vAlign w:val="center"/>
                </w:tcPr>
                <w:p w14:paraId="072318C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457" w:type="pct"/>
                  <w:shd w:val="clear" w:color="auto" w:fill="auto"/>
                  <w:noWrap w:val="0"/>
                  <w:vAlign w:val="center"/>
                </w:tcPr>
                <w:p w14:paraId="70B87FA5">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sz w:val="21"/>
                      <w:szCs w:val="21"/>
                      <w:lang w:val="en-US" w:eastAsia="zh-CN"/>
                    </w:rPr>
                    <w:t>**</w:t>
                  </w:r>
                </w:p>
              </w:tc>
              <w:tc>
                <w:tcPr>
                  <w:tcW w:w="578" w:type="pct"/>
                  <w:shd w:val="clear" w:color="auto" w:fill="auto"/>
                  <w:noWrap w:val="0"/>
                  <w:vAlign w:val="center"/>
                </w:tcPr>
                <w:p w14:paraId="7E19D5D4">
                  <w:pPr>
                    <w:keepNext w:val="0"/>
                    <w:keepLines w:val="0"/>
                    <w:pageBreakBefore w:val="0"/>
                    <w:kinsoku/>
                    <w:wordWrap/>
                    <w:overflowPunct/>
                    <w:topLinePunct w:val="0"/>
                    <w:bidi w:val="0"/>
                    <w:snapToGrid/>
                    <w:spacing w:line="300" w:lineRule="exact"/>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1.92E-02</w:t>
                  </w:r>
                </w:p>
              </w:tc>
            </w:tr>
          </w:tbl>
          <w:p w14:paraId="3C5CBDED">
            <w:pPr>
              <w:widowControl/>
              <w:ind w:firstLine="482" w:firstLineChars="200"/>
              <w:rPr>
                <w:rFonts w:hint="default"/>
                <w:b/>
                <w:bCs/>
                <w:color w:val="auto"/>
                <w:sz w:val="24"/>
                <w:szCs w:val="32"/>
                <w:highlight w:val="none"/>
                <w:lang w:val="en-US" w:eastAsia="zh-CN"/>
              </w:rPr>
            </w:pPr>
            <w:r>
              <w:rPr>
                <w:rFonts w:hint="eastAsia"/>
                <w:b/>
                <w:bCs/>
                <w:color w:val="auto"/>
                <w:sz w:val="24"/>
                <w:szCs w:val="32"/>
                <w:highlight w:val="none"/>
                <w:lang w:val="en-US" w:eastAsia="zh-CN"/>
              </w:rPr>
              <w:t>2、预测关注点位的选取</w:t>
            </w:r>
          </w:p>
          <w:p w14:paraId="02B75CBE">
            <w:pPr>
              <w:widowControl/>
              <w:ind w:firstLine="480" w:firstLineChars="200"/>
              <w:rPr>
                <w:color w:val="auto"/>
                <w:kern w:val="0"/>
                <w:highlight w:val="none"/>
                <w:lang w:bidi="ar"/>
              </w:rPr>
            </w:pPr>
            <w:r>
              <w:rPr>
                <w:color w:val="auto"/>
                <w:kern w:val="0"/>
                <w:highlight w:val="none"/>
                <w:lang w:bidi="ar"/>
              </w:rPr>
              <w:t>各预测点位见</w:t>
            </w:r>
            <w:r>
              <w:rPr>
                <w:rFonts w:hint="eastAsia"/>
                <w:color w:val="auto"/>
                <w:kern w:val="0"/>
                <w:highlight w:val="none"/>
                <w:lang w:val="en-US" w:eastAsia="zh-CN" w:bidi="ar"/>
              </w:rPr>
              <w:t>下表</w:t>
            </w:r>
            <w:r>
              <w:rPr>
                <w:color w:val="auto"/>
                <w:kern w:val="0"/>
                <w:highlight w:val="none"/>
                <w:lang w:bidi="ar"/>
              </w:rPr>
              <w:t>11-1</w:t>
            </w:r>
            <w:r>
              <w:rPr>
                <w:rFonts w:hint="eastAsia"/>
                <w:color w:val="auto"/>
                <w:kern w:val="0"/>
                <w:highlight w:val="none"/>
                <w:lang w:val="en-US" w:eastAsia="zh-CN" w:bidi="ar"/>
              </w:rPr>
              <w:t>1</w:t>
            </w:r>
            <w:r>
              <w:rPr>
                <w:color w:val="auto"/>
                <w:kern w:val="0"/>
                <w:highlight w:val="none"/>
                <w:lang w:bidi="ar"/>
              </w:rPr>
              <w:t>。</w:t>
            </w:r>
          </w:p>
          <w:p w14:paraId="11B23045">
            <w:pPr>
              <w:pStyle w:val="20"/>
              <w:jc w:val="center"/>
              <w:rPr>
                <w:rFonts w:hint="eastAsia" w:eastAsia="宋体"/>
                <w:color w:val="auto"/>
                <w:kern w:val="0"/>
                <w:highlight w:val="none"/>
                <w:lang w:val="en-US" w:eastAsia="zh-CN" w:bidi="ar"/>
              </w:rPr>
            </w:pPr>
            <w:r>
              <w:rPr>
                <w:rFonts w:hint="eastAsia"/>
                <w:b/>
                <w:bCs/>
                <w:color w:val="auto"/>
                <w:spacing w:val="-6"/>
                <w:kern w:val="0"/>
                <w:sz w:val="21"/>
                <w:szCs w:val="21"/>
                <w:highlight w:val="none"/>
                <w:lang w:val="en-US" w:eastAsia="zh-CN"/>
              </w:rPr>
              <w:t>表11-11  各</w:t>
            </w:r>
            <w:r>
              <w:rPr>
                <w:b/>
                <w:bCs/>
                <w:color w:val="auto"/>
                <w:spacing w:val="-6"/>
                <w:kern w:val="0"/>
                <w:sz w:val="21"/>
                <w:szCs w:val="21"/>
                <w:highlight w:val="none"/>
              </w:rPr>
              <w:t>预测点位</w:t>
            </w:r>
            <w:r>
              <w:rPr>
                <w:rFonts w:hint="eastAsia"/>
                <w:b/>
                <w:bCs/>
                <w:color w:val="auto"/>
                <w:spacing w:val="-6"/>
                <w:kern w:val="0"/>
                <w:sz w:val="21"/>
                <w:szCs w:val="21"/>
                <w:highlight w:val="none"/>
                <w:lang w:val="en-US" w:eastAsia="zh-CN"/>
              </w:rPr>
              <w:t>位置</w:t>
            </w:r>
          </w:p>
          <w:tbl>
            <w:tblPr>
              <w:tblStyle w:val="58"/>
              <w:tblW w:w="891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795"/>
              <w:gridCol w:w="5355"/>
              <w:gridCol w:w="1385"/>
            </w:tblGrid>
            <w:tr w14:paraId="10CC9C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83" w:type="dxa"/>
                  <w:tcBorders>
                    <w:tl2br w:val="nil"/>
                    <w:tr2bl w:val="nil"/>
                  </w:tcBorders>
                  <w:shd w:val="clear" w:color="auto" w:fill="auto"/>
                  <w:vAlign w:val="center"/>
                </w:tcPr>
                <w:p w14:paraId="335695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b/>
                      <w:bCs/>
                      <w:color w:val="auto"/>
                      <w:spacing w:val="-6"/>
                      <w:kern w:val="0"/>
                      <w:sz w:val="21"/>
                      <w:szCs w:val="21"/>
                      <w:highlight w:val="none"/>
                      <w:lang w:val="en-US" w:eastAsia="zh-CN" w:bidi="ar-SA"/>
                    </w:rPr>
                  </w:pPr>
                  <w:r>
                    <w:rPr>
                      <w:rFonts w:hint="eastAsia" w:cs="Times New Roman"/>
                      <w:b/>
                      <w:bCs/>
                      <w:color w:val="auto"/>
                      <w:spacing w:val="-6"/>
                      <w:kern w:val="0"/>
                      <w:sz w:val="21"/>
                      <w:szCs w:val="21"/>
                      <w:highlight w:val="none"/>
                      <w:lang w:val="en-US" w:eastAsia="zh-CN" w:bidi="ar-SA"/>
                    </w:rPr>
                    <w:t>机房名称</w:t>
                  </w:r>
                </w:p>
              </w:tc>
              <w:tc>
                <w:tcPr>
                  <w:tcW w:w="795" w:type="dxa"/>
                  <w:tcBorders>
                    <w:tl2br w:val="nil"/>
                    <w:tr2bl w:val="nil"/>
                  </w:tcBorders>
                  <w:shd w:val="clear" w:color="auto" w:fill="auto"/>
                  <w:vAlign w:val="center"/>
                </w:tcPr>
                <w:p w14:paraId="7DA257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color w:val="auto"/>
                      <w:spacing w:val="-6"/>
                      <w:kern w:val="0"/>
                      <w:sz w:val="21"/>
                      <w:szCs w:val="21"/>
                      <w:highlight w:val="none"/>
                      <w:lang w:val="en-US" w:eastAsia="zh-CN" w:bidi="ar-SA"/>
                    </w:rPr>
                  </w:pPr>
                  <w:r>
                    <w:rPr>
                      <w:rFonts w:hint="eastAsia" w:cs="Times New Roman"/>
                      <w:b/>
                      <w:bCs/>
                      <w:color w:val="auto"/>
                      <w:spacing w:val="-6"/>
                      <w:kern w:val="0"/>
                      <w:sz w:val="21"/>
                      <w:szCs w:val="21"/>
                      <w:highlight w:val="none"/>
                      <w:lang w:val="en-US" w:eastAsia="zh-CN" w:bidi="ar-SA"/>
                    </w:rPr>
                    <w:t>点位序号</w:t>
                  </w:r>
                </w:p>
              </w:tc>
              <w:tc>
                <w:tcPr>
                  <w:tcW w:w="5355" w:type="dxa"/>
                  <w:tcBorders>
                    <w:tl2br w:val="nil"/>
                    <w:tr2bl w:val="nil"/>
                  </w:tcBorders>
                  <w:vAlign w:val="center"/>
                </w:tcPr>
                <w:p w14:paraId="615B3E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auto"/>
                      <w:highlight w:val="none"/>
                      <w:vertAlign w:val="baseline"/>
                    </w:rPr>
                  </w:pPr>
                  <w:r>
                    <w:rPr>
                      <w:rFonts w:hint="eastAsia"/>
                      <w:b/>
                      <w:bCs/>
                      <w:color w:val="auto"/>
                      <w:spacing w:val="-6"/>
                      <w:kern w:val="0"/>
                      <w:sz w:val="21"/>
                      <w:szCs w:val="21"/>
                      <w:highlight w:val="none"/>
                      <w:lang w:val="en-US" w:eastAsia="zh-CN"/>
                    </w:rPr>
                    <w:t>预测点位</w:t>
                  </w:r>
                  <w:r>
                    <w:rPr>
                      <w:b/>
                      <w:bCs/>
                      <w:color w:val="auto"/>
                      <w:spacing w:val="-6"/>
                      <w:kern w:val="0"/>
                      <w:sz w:val="21"/>
                      <w:szCs w:val="21"/>
                      <w:highlight w:val="none"/>
                    </w:rPr>
                    <w:t>位置</w:t>
                  </w:r>
                </w:p>
              </w:tc>
              <w:tc>
                <w:tcPr>
                  <w:tcW w:w="1385" w:type="dxa"/>
                  <w:tcBorders>
                    <w:tl2br w:val="nil"/>
                    <w:tr2bl w:val="nil"/>
                  </w:tcBorders>
                  <w:vAlign w:val="center"/>
                </w:tcPr>
                <w:p w14:paraId="65CE73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b/>
                      <w:bCs/>
                      <w:color w:val="auto"/>
                      <w:spacing w:val="-6"/>
                      <w:kern w:val="0"/>
                      <w:sz w:val="21"/>
                      <w:szCs w:val="21"/>
                      <w:highlight w:val="none"/>
                      <w:lang w:val="en-US" w:eastAsia="zh-CN"/>
                    </w:rPr>
                  </w:pPr>
                  <w:r>
                    <w:rPr>
                      <w:rFonts w:hint="eastAsia"/>
                      <w:b/>
                      <w:bCs/>
                      <w:color w:val="auto"/>
                      <w:spacing w:val="-6"/>
                      <w:kern w:val="0"/>
                      <w:sz w:val="21"/>
                      <w:szCs w:val="21"/>
                      <w:highlight w:val="none"/>
                      <w:lang w:val="en-US" w:eastAsia="zh-CN"/>
                    </w:rPr>
                    <w:t>预测点位参考距离（m）</w:t>
                  </w:r>
                </w:p>
              </w:tc>
            </w:tr>
            <w:tr w14:paraId="4F7F85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restart"/>
                  <w:shd w:val="clear" w:color="auto" w:fill="auto"/>
                  <w:vAlign w:val="center"/>
                </w:tcPr>
                <w:p w14:paraId="057E98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r>
                    <w:rPr>
                      <w:rFonts w:hint="eastAsia"/>
                      <w:color w:val="auto"/>
                      <w:spacing w:val="0"/>
                      <w:sz w:val="21"/>
                      <w:szCs w:val="21"/>
                      <w:highlight w:val="none"/>
                      <w:lang w:val="en-US" w:eastAsia="zh-CN"/>
                    </w:rPr>
                    <w:t>DSA+CT复合手术室</w:t>
                  </w:r>
                </w:p>
              </w:tc>
              <w:tc>
                <w:tcPr>
                  <w:tcW w:w="795" w:type="dxa"/>
                  <w:shd w:val="clear" w:color="auto" w:fill="auto"/>
                  <w:vAlign w:val="center"/>
                </w:tcPr>
                <w:p w14:paraId="76A34A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1</w:t>
                  </w:r>
                </w:p>
              </w:tc>
              <w:tc>
                <w:tcPr>
                  <w:tcW w:w="5355" w:type="dxa"/>
                  <w:shd w:val="clear" w:color="auto" w:fill="auto"/>
                  <w:vAlign w:val="center"/>
                </w:tcPr>
                <w:p w14:paraId="111D6D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机房北侧观察窗外侧1m（控制室操作位）</w:t>
                  </w:r>
                </w:p>
              </w:tc>
              <w:tc>
                <w:tcPr>
                  <w:tcW w:w="1385" w:type="dxa"/>
                  <w:shd w:val="clear" w:color="auto" w:fill="auto"/>
                  <w:vAlign w:val="center"/>
                </w:tcPr>
                <w:p w14:paraId="4DE807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7.8</w:t>
                  </w:r>
                </w:p>
              </w:tc>
            </w:tr>
            <w:tr w14:paraId="1A3BF1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DC53B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p>
              </w:tc>
              <w:tc>
                <w:tcPr>
                  <w:tcW w:w="795" w:type="dxa"/>
                  <w:shd w:val="clear" w:color="auto" w:fill="auto"/>
                  <w:vAlign w:val="center"/>
                </w:tcPr>
                <w:p w14:paraId="0DE836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2</w:t>
                  </w:r>
                </w:p>
              </w:tc>
              <w:tc>
                <w:tcPr>
                  <w:tcW w:w="5355" w:type="dxa"/>
                  <w:shd w:val="clear" w:color="auto" w:fill="auto"/>
                  <w:vAlign w:val="center"/>
                </w:tcPr>
                <w:p w14:paraId="59C2C0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机房北侧控制室门外侧30cm（控制室）</w:t>
                  </w:r>
                </w:p>
              </w:tc>
              <w:tc>
                <w:tcPr>
                  <w:tcW w:w="1385" w:type="dxa"/>
                  <w:shd w:val="clear" w:color="auto" w:fill="auto"/>
                  <w:vAlign w:val="center"/>
                </w:tcPr>
                <w:p w14:paraId="48A2BE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7.7</w:t>
                  </w:r>
                </w:p>
              </w:tc>
            </w:tr>
            <w:tr w14:paraId="1F84C3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0DB56F7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p>
              </w:tc>
              <w:tc>
                <w:tcPr>
                  <w:tcW w:w="795" w:type="dxa"/>
                  <w:shd w:val="clear" w:color="auto" w:fill="auto"/>
                  <w:vAlign w:val="center"/>
                </w:tcPr>
                <w:p w14:paraId="0F4B00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3</w:t>
                  </w:r>
                </w:p>
              </w:tc>
              <w:tc>
                <w:tcPr>
                  <w:tcW w:w="5355" w:type="dxa"/>
                  <w:shd w:val="clear" w:color="auto" w:fill="auto"/>
                  <w:vAlign w:val="center"/>
                </w:tcPr>
                <w:p w14:paraId="198D5D6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机房北侧墙体外侧30cm（控制室）</w:t>
                  </w:r>
                </w:p>
              </w:tc>
              <w:tc>
                <w:tcPr>
                  <w:tcW w:w="1385" w:type="dxa"/>
                  <w:shd w:val="clear" w:color="auto" w:fill="auto"/>
                  <w:vAlign w:val="center"/>
                </w:tcPr>
                <w:p w14:paraId="53278E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7.3</w:t>
                  </w:r>
                </w:p>
              </w:tc>
            </w:tr>
            <w:tr w14:paraId="35B942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1B8131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4DF3A6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4</w:t>
                  </w:r>
                </w:p>
              </w:tc>
              <w:tc>
                <w:tcPr>
                  <w:tcW w:w="5355" w:type="dxa"/>
                  <w:shd w:val="clear" w:color="auto" w:fill="auto"/>
                  <w:vAlign w:val="center"/>
                </w:tcPr>
                <w:p w14:paraId="7C0348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机房东侧医生通道门外侧30cm（医生通道）</w:t>
                  </w:r>
                </w:p>
              </w:tc>
              <w:tc>
                <w:tcPr>
                  <w:tcW w:w="1385" w:type="dxa"/>
                  <w:shd w:val="clear" w:color="auto" w:fill="auto"/>
                  <w:vAlign w:val="center"/>
                </w:tcPr>
                <w:p w14:paraId="6E8133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4.9</w:t>
                  </w:r>
                </w:p>
              </w:tc>
            </w:tr>
            <w:tr w14:paraId="00F28E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F0F19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007974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5</w:t>
                  </w:r>
                </w:p>
              </w:tc>
              <w:tc>
                <w:tcPr>
                  <w:tcW w:w="5355" w:type="dxa"/>
                  <w:shd w:val="clear" w:color="auto" w:fill="auto"/>
                  <w:vAlign w:val="center"/>
                </w:tcPr>
                <w:p w14:paraId="4247E7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机房东侧墙体外侧30cm（手术室OR14）</w:t>
                  </w:r>
                </w:p>
              </w:tc>
              <w:tc>
                <w:tcPr>
                  <w:tcW w:w="1385" w:type="dxa"/>
                  <w:shd w:val="clear" w:color="auto" w:fill="auto"/>
                  <w:vAlign w:val="center"/>
                </w:tcPr>
                <w:p w14:paraId="0906CA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4.9</w:t>
                  </w:r>
                </w:p>
              </w:tc>
            </w:tr>
            <w:tr w14:paraId="7BEB24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263240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422872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6</w:t>
                  </w:r>
                </w:p>
              </w:tc>
              <w:tc>
                <w:tcPr>
                  <w:tcW w:w="5355" w:type="dxa"/>
                  <w:shd w:val="clear" w:color="auto" w:fill="auto"/>
                  <w:vAlign w:val="center"/>
                </w:tcPr>
                <w:p w14:paraId="6AFD96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机房南侧CT通道门外侧30cm（CT设备间）</w:t>
                  </w:r>
                </w:p>
              </w:tc>
              <w:tc>
                <w:tcPr>
                  <w:tcW w:w="1385" w:type="dxa"/>
                  <w:shd w:val="clear" w:color="auto" w:fill="auto"/>
                  <w:vAlign w:val="center"/>
                </w:tcPr>
                <w:p w14:paraId="76E708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4.5</w:t>
                  </w:r>
                </w:p>
              </w:tc>
            </w:tr>
            <w:tr w14:paraId="464099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6FCC7D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4BAA79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7</w:t>
                  </w:r>
                </w:p>
              </w:tc>
              <w:tc>
                <w:tcPr>
                  <w:tcW w:w="5355" w:type="dxa"/>
                  <w:shd w:val="clear" w:color="auto" w:fill="auto"/>
                  <w:vAlign w:val="center"/>
                </w:tcPr>
                <w:p w14:paraId="3C8E24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机房南侧墙体外侧30cm（CT设备间）</w:t>
                  </w:r>
                </w:p>
              </w:tc>
              <w:tc>
                <w:tcPr>
                  <w:tcW w:w="1385" w:type="dxa"/>
                  <w:shd w:val="clear" w:color="auto" w:fill="auto"/>
                  <w:vAlign w:val="center"/>
                </w:tcPr>
                <w:p w14:paraId="325B57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4.5</w:t>
                  </w:r>
                </w:p>
              </w:tc>
            </w:tr>
            <w:tr w14:paraId="1DA1C6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70E26A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3EF956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8</w:t>
                  </w:r>
                </w:p>
              </w:tc>
              <w:tc>
                <w:tcPr>
                  <w:tcW w:w="5355" w:type="dxa"/>
                  <w:shd w:val="clear" w:color="auto" w:fill="auto"/>
                  <w:vAlign w:val="center"/>
                </w:tcPr>
                <w:p w14:paraId="3789F2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机房南侧患者通道门外侧30cm（患者通道）</w:t>
                  </w:r>
                </w:p>
              </w:tc>
              <w:tc>
                <w:tcPr>
                  <w:tcW w:w="1385" w:type="dxa"/>
                  <w:shd w:val="clear" w:color="auto" w:fill="auto"/>
                  <w:vAlign w:val="center"/>
                </w:tcPr>
                <w:p w14:paraId="3B9BA0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5.3</w:t>
                  </w:r>
                </w:p>
              </w:tc>
            </w:tr>
            <w:tr w14:paraId="7EE3D5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07BB6F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6FB5A5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9</w:t>
                  </w:r>
                </w:p>
              </w:tc>
              <w:tc>
                <w:tcPr>
                  <w:tcW w:w="5355" w:type="dxa"/>
                  <w:shd w:val="clear" w:color="auto" w:fill="auto"/>
                  <w:vAlign w:val="center"/>
                </w:tcPr>
                <w:p w14:paraId="11FCCF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机房西侧墙体外侧30cm（患者通道）</w:t>
                  </w:r>
                </w:p>
              </w:tc>
              <w:tc>
                <w:tcPr>
                  <w:tcW w:w="1385" w:type="dxa"/>
                  <w:shd w:val="clear" w:color="auto" w:fill="auto"/>
                  <w:vAlign w:val="center"/>
                </w:tcPr>
                <w:p w14:paraId="5DD7B23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4.7</w:t>
                  </w:r>
                </w:p>
              </w:tc>
            </w:tr>
            <w:tr w14:paraId="6B33D4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5802AD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3F15AC6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10</w:t>
                  </w:r>
                </w:p>
              </w:tc>
              <w:tc>
                <w:tcPr>
                  <w:tcW w:w="5355" w:type="dxa"/>
                  <w:shd w:val="clear" w:color="auto" w:fill="auto"/>
                  <w:vAlign w:val="center"/>
                </w:tcPr>
                <w:p w14:paraId="4211E0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机房顶板上方距地面30cm（屋顶）</w:t>
                  </w:r>
                </w:p>
              </w:tc>
              <w:tc>
                <w:tcPr>
                  <w:tcW w:w="1385" w:type="dxa"/>
                  <w:shd w:val="clear" w:color="auto" w:fill="auto"/>
                  <w:vAlign w:val="center"/>
                </w:tcPr>
                <w:p w14:paraId="09851A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4.1</w:t>
                  </w:r>
                </w:p>
              </w:tc>
            </w:tr>
            <w:tr w14:paraId="7C2C8F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7A127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4CF4D9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11</w:t>
                  </w:r>
                </w:p>
              </w:tc>
              <w:tc>
                <w:tcPr>
                  <w:tcW w:w="5355" w:type="dxa"/>
                  <w:shd w:val="clear" w:color="auto" w:fill="auto"/>
                  <w:vAlign w:val="center"/>
                </w:tcPr>
                <w:p w14:paraId="13F03CB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1385" w:type="dxa"/>
                  <w:shd w:val="clear" w:color="auto" w:fill="auto"/>
                  <w:vAlign w:val="center"/>
                </w:tcPr>
                <w:p w14:paraId="6FC352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4.9</w:t>
                  </w:r>
                </w:p>
              </w:tc>
            </w:tr>
            <w:tr w14:paraId="6F2B23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restart"/>
                  <w:shd w:val="clear" w:color="auto" w:fill="auto"/>
                  <w:vAlign w:val="center"/>
                </w:tcPr>
                <w:p w14:paraId="55AA2E3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DSA手术室OR09</w:t>
                  </w:r>
                </w:p>
              </w:tc>
              <w:tc>
                <w:tcPr>
                  <w:tcW w:w="795" w:type="dxa"/>
                  <w:shd w:val="clear" w:color="auto" w:fill="auto"/>
                  <w:vAlign w:val="center"/>
                </w:tcPr>
                <w:p w14:paraId="043C8A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12</w:t>
                  </w:r>
                </w:p>
              </w:tc>
              <w:tc>
                <w:tcPr>
                  <w:tcW w:w="5355" w:type="dxa"/>
                  <w:shd w:val="clear" w:color="auto" w:fill="auto"/>
                  <w:vAlign w:val="center"/>
                </w:tcPr>
                <w:p w14:paraId="24A3B6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机房北侧患者通道门外侧30cm（患者通道）</w:t>
                  </w:r>
                </w:p>
              </w:tc>
              <w:tc>
                <w:tcPr>
                  <w:tcW w:w="1385" w:type="dxa"/>
                  <w:shd w:val="clear" w:color="auto" w:fill="auto"/>
                  <w:vAlign w:val="center"/>
                </w:tcPr>
                <w:p w14:paraId="28D43ED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6.0</w:t>
                  </w:r>
                </w:p>
              </w:tc>
            </w:tr>
            <w:tr w14:paraId="37F2EB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2C80E4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51CA9A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13</w:t>
                  </w:r>
                </w:p>
              </w:tc>
              <w:tc>
                <w:tcPr>
                  <w:tcW w:w="5355" w:type="dxa"/>
                  <w:shd w:val="clear" w:color="auto" w:fill="auto"/>
                  <w:vAlign w:val="center"/>
                </w:tcPr>
                <w:p w14:paraId="03717DB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机房北侧墙体外侧30cm（患者通道）</w:t>
                  </w:r>
                </w:p>
              </w:tc>
              <w:tc>
                <w:tcPr>
                  <w:tcW w:w="1385" w:type="dxa"/>
                  <w:shd w:val="clear" w:color="auto" w:fill="auto"/>
                  <w:vAlign w:val="center"/>
                </w:tcPr>
                <w:p w14:paraId="740BDE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6.2</w:t>
                  </w:r>
                </w:p>
              </w:tc>
            </w:tr>
            <w:tr w14:paraId="730853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62C6A2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21CD65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14</w:t>
                  </w:r>
                </w:p>
              </w:tc>
              <w:tc>
                <w:tcPr>
                  <w:tcW w:w="5355" w:type="dxa"/>
                  <w:shd w:val="clear" w:color="auto" w:fill="auto"/>
                  <w:vAlign w:val="center"/>
                </w:tcPr>
                <w:p w14:paraId="78787D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机房东侧观察窗外侧1m（控制室操作位）</w:t>
                  </w:r>
                </w:p>
              </w:tc>
              <w:tc>
                <w:tcPr>
                  <w:tcW w:w="1385" w:type="dxa"/>
                  <w:shd w:val="clear" w:color="auto" w:fill="auto"/>
                  <w:vAlign w:val="center"/>
                </w:tcPr>
                <w:p w14:paraId="17BCA6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5.3</w:t>
                  </w:r>
                </w:p>
              </w:tc>
            </w:tr>
            <w:tr w14:paraId="0DC01D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15AD88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24B3C7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15</w:t>
                  </w:r>
                </w:p>
              </w:tc>
              <w:tc>
                <w:tcPr>
                  <w:tcW w:w="5355" w:type="dxa"/>
                  <w:shd w:val="clear" w:color="auto" w:fill="auto"/>
                  <w:vAlign w:val="center"/>
                </w:tcPr>
                <w:p w14:paraId="20754D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机房东侧控制室门外侧30cm（共用控制室）</w:t>
                  </w:r>
                </w:p>
              </w:tc>
              <w:tc>
                <w:tcPr>
                  <w:tcW w:w="1385" w:type="dxa"/>
                  <w:shd w:val="clear" w:color="auto" w:fill="auto"/>
                  <w:vAlign w:val="center"/>
                </w:tcPr>
                <w:p w14:paraId="320CF0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4.8</w:t>
                  </w:r>
                </w:p>
              </w:tc>
            </w:tr>
            <w:tr w14:paraId="3ABCE6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254E10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13FDE5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16</w:t>
                  </w:r>
                </w:p>
              </w:tc>
              <w:tc>
                <w:tcPr>
                  <w:tcW w:w="5355" w:type="dxa"/>
                  <w:shd w:val="clear" w:color="auto" w:fill="auto"/>
                  <w:vAlign w:val="center"/>
                </w:tcPr>
                <w:p w14:paraId="30CB4A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机房东侧墙体外侧30cm（共用控制室）</w:t>
                  </w:r>
                </w:p>
              </w:tc>
              <w:tc>
                <w:tcPr>
                  <w:tcW w:w="1385" w:type="dxa"/>
                  <w:shd w:val="clear" w:color="auto" w:fill="auto"/>
                  <w:vAlign w:val="center"/>
                </w:tcPr>
                <w:p w14:paraId="3E3CFD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4.6</w:t>
                  </w:r>
                </w:p>
              </w:tc>
            </w:tr>
            <w:tr w14:paraId="597031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5150FF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429B51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17</w:t>
                  </w:r>
                </w:p>
              </w:tc>
              <w:tc>
                <w:tcPr>
                  <w:tcW w:w="5355" w:type="dxa"/>
                  <w:shd w:val="clear" w:color="auto" w:fill="auto"/>
                  <w:vAlign w:val="center"/>
                </w:tcPr>
                <w:p w14:paraId="28CF61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机房南侧医生通道门外侧30cm（医生通道）</w:t>
                  </w:r>
                </w:p>
              </w:tc>
              <w:tc>
                <w:tcPr>
                  <w:tcW w:w="1385" w:type="dxa"/>
                  <w:shd w:val="clear" w:color="auto" w:fill="auto"/>
                  <w:vAlign w:val="center"/>
                </w:tcPr>
                <w:p w14:paraId="08C661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3.8</w:t>
                  </w:r>
                </w:p>
              </w:tc>
            </w:tr>
            <w:tr w14:paraId="0FD98F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61A0D7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74DACD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18</w:t>
                  </w:r>
                </w:p>
              </w:tc>
              <w:tc>
                <w:tcPr>
                  <w:tcW w:w="5355" w:type="dxa"/>
                  <w:shd w:val="clear" w:color="auto" w:fill="auto"/>
                  <w:vAlign w:val="center"/>
                </w:tcPr>
                <w:p w14:paraId="00BEC17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机房南侧墙体外侧30cm（医生通道）</w:t>
                  </w:r>
                </w:p>
              </w:tc>
              <w:tc>
                <w:tcPr>
                  <w:tcW w:w="1385" w:type="dxa"/>
                  <w:shd w:val="clear" w:color="auto" w:fill="auto"/>
                  <w:vAlign w:val="center"/>
                </w:tcPr>
                <w:p w14:paraId="3C4627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3.3</w:t>
                  </w:r>
                </w:p>
              </w:tc>
            </w:tr>
            <w:tr w14:paraId="0BA0BE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2EB9CE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58E581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19</w:t>
                  </w:r>
                </w:p>
              </w:tc>
              <w:tc>
                <w:tcPr>
                  <w:tcW w:w="5355" w:type="dxa"/>
                  <w:shd w:val="clear" w:color="auto" w:fill="auto"/>
                  <w:vAlign w:val="center"/>
                </w:tcPr>
                <w:p w14:paraId="29CFD2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机房西侧墙体外侧30cm（患者通道）</w:t>
                  </w:r>
                </w:p>
              </w:tc>
              <w:tc>
                <w:tcPr>
                  <w:tcW w:w="1385" w:type="dxa"/>
                  <w:shd w:val="clear" w:color="auto" w:fill="auto"/>
                  <w:vAlign w:val="center"/>
                </w:tcPr>
                <w:p w14:paraId="4DCB39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4.6</w:t>
                  </w:r>
                </w:p>
              </w:tc>
            </w:tr>
            <w:tr w14:paraId="46A7C4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19142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6E28D80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20</w:t>
                  </w:r>
                </w:p>
              </w:tc>
              <w:tc>
                <w:tcPr>
                  <w:tcW w:w="5355" w:type="dxa"/>
                  <w:shd w:val="clear" w:color="auto" w:fill="auto"/>
                  <w:vAlign w:val="center"/>
                </w:tcPr>
                <w:p w14:paraId="6CAFB4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机房顶板上方距地面30cm（屋顶）</w:t>
                  </w:r>
                </w:p>
              </w:tc>
              <w:tc>
                <w:tcPr>
                  <w:tcW w:w="1385" w:type="dxa"/>
                  <w:shd w:val="clear" w:color="auto" w:fill="auto"/>
                  <w:vAlign w:val="center"/>
                </w:tcPr>
                <w:p w14:paraId="4B3962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r>
                    <w:rPr>
                      <w:rFonts w:hint="eastAsia"/>
                      <w:color w:val="auto"/>
                      <w:spacing w:val="0"/>
                      <w:kern w:val="0"/>
                      <w:sz w:val="21"/>
                      <w:szCs w:val="21"/>
                      <w:highlight w:val="none"/>
                      <w:lang w:val="en-US" w:eastAsia="zh-CN"/>
                    </w:rPr>
                    <w:t>4.1</w:t>
                  </w:r>
                </w:p>
              </w:tc>
            </w:tr>
            <w:tr w14:paraId="3795A6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94FA9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2A47182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21</w:t>
                  </w:r>
                </w:p>
              </w:tc>
              <w:tc>
                <w:tcPr>
                  <w:tcW w:w="5355" w:type="dxa"/>
                  <w:shd w:val="clear" w:color="auto" w:fill="auto"/>
                  <w:vAlign w:val="center"/>
                </w:tcPr>
                <w:p w14:paraId="10CBB2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1385" w:type="dxa"/>
                  <w:shd w:val="clear" w:color="auto" w:fill="auto"/>
                  <w:vAlign w:val="center"/>
                </w:tcPr>
                <w:p w14:paraId="18107C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r>
                    <w:rPr>
                      <w:rFonts w:hint="eastAsia"/>
                      <w:color w:val="auto"/>
                      <w:spacing w:val="0"/>
                      <w:kern w:val="0"/>
                      <w:sz w:val="21"/>
                      <w:szCs w:val="21"/>
                      <w:highlight w:val="none"/>
                      <w:lang w:val="en-US" w:eastAsia="zh-CN"/>
                    </w:rPr>
                    <w:t>4.9</w:t>
                  </w:r>
                </w:p>
              </w:tc>
            </w:tr>
            <w:tr w14:paraId="7BF38D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restart"/>
                  <w:shd w:val="clear" w:color="auto" w:fill="auto"/>
                  <w:vAlign w:val="center"/>
                </w:tcPr>
                <w:p w14:paraId="622F1F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r>
                    <w:rPr>
                      <w:rFonts w:hint="eastAsia"/>
                      <w:bCs/>
                      <w:sz w:val="21"/>
                      <w:szCs w:val="21"/>
                      <w:lang w:val="en-US" w:eastAsia="zh-CN"/>
                    </w:rPr>
                    <w:t>DSA手术室OR10</w:t>
                  </w:r>
                </w:p>
              </w:tc>
              <w:tc>
                <w:tcPr>
                  <w:tcW w:w="795" w:type="dxa"/>
                  <w:shd w:val="clear" w:color="auto" w:fill="auto"/>
                  <w:vAlign w:val="center"/>
                </w:tcPr>
                <w:p w14:paraId="723402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22</w:t>
                  </w:r>
                </w:p>
              </w:tc>
              <w:tc>
                <w:tcPr>
                  <w:tcW w:w="5355" w:type="dxa"/>
                  <w:shd w:val="clear" w:color="auto" w:fill="auto"/>
                  <w:vAlign w:val="center"/>
                </w:tcPr>
                <w:p w14:paraId="331A22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机房北侧患者通道门外侧30cm（患者通道）</w:t>
                  </w:r>
                </w:p>
              </w:tc>
              <w:tc>
                <w:tcPr>
                  <w:tcW w:w="1385" w:type="dxa"/>
                  <w:shd w:val="clear" w:color="auto" w:fill="auto"/>
                  <w:vAlign w:val="center"/>
                </w:tcPr>
                <w:p w14:paraId="004ED4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6.5</w:t>
                  </w:r>
                </w:p>
              </w:tc>
            </w:tr>
            <w:tr w14:paraId="663850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66B68C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5B3248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23</w:t>
                  </w:r>
                </w:p>
              </w:tc>
              <w:tc>
                <w:tcPr>
                  <w:tcW w:w="5355" w:type="dxa"/>
                  <w:shd w:val="clear" w:color="auto" w:fill="auto"/>
                  <w:vAlign w:val="center"/>
                </w:tcPr>
                <w:p w14:paraId="701223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机房北侧墙体外侧30cm（患者通道）</w:t>
                  </w:r>
                </w:p>
              </w:tc>
              <w:tc>
                <w:tcPr>
                  <w:tcW w:w="1385" w:type="dxa"/>
                  <w:shd w:val="clear" w:color="auto" w:fill="auto"/>
                  <w:vAlign w:val="center"/>
                </w:tcPr>
                <w:p w14:paraId="39BC92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5.8</w:t>
                  </w:r>
                </w:p>
              </w:tc>
            </w:tr>
            <w:tr w14:paraId="06C372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674F77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6F978D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24</w:t>
                  </w:r>
                </w:p>
              </w:tc>
              <w:tc>
                <w:tcPr>
                  <w:tcW w:w="5355" w:type="dxa"/>
                  <w:shd w:val="clear" w:color="auto" w:fill="auto"/>
                  <w:vAlign w:val="center"/>
                </w:tcPr>
                <w:p w14:paraId="5209AF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机房西侧观察窗外侧1m（控制室操作位）</w:t>
                  </w:r>
                </w:p>
              </w:tc>
              <w:tc>
                <w:tcPr>
                  <w:tcW w:w="1385" w:type="dxa"/>
                  <w:shd w:val="clear" w:color="auto" w:fill="auto"/>
                  <w:vAlign w:val="center"/>
                </w:tcPr>
                <w:p w14:paraId="081881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6.0</w:t>
                  </w:r>
                </w:p>
              </w:tc>
            </w:tr>
            <w:tr w14:paraId="7C71B0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4FAB95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57E6E4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25</w:t>
                  </w:r>
                </w:p>
              </w:tc>
              <w:tc>
                <w:tcPr>
                  <w:tcW w:w="5355" w:type="dxa"/>
                  <w:shd w:val="clear" w:color="auto" w:fill="auto"/>
                  <w:vAlign w:val="center"/>
                </w:tcPr>
                <w:p w14:paraId="4DF786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机房西侧控制室门外侧30cm（共用控制室）</w:t>
                  </w:r>
                </w:p>
              </w:tc>
              <w:tc>
                <w:tcPr>
                  <w:tcW w:w="1385" w:type="dxa"/>
                  <w:shd w:val="clear" w:color="auto" w:fill="auto"/>
                  <w:vAlign w:val="center"/>
                </w:tcPr>
                <w:p w14:paraId="3B1A53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5.5</w:t>
                  </w:r>
                </w:p>
              </w:tc>
            </w:tr>
            <w:tr w14:paraId="0C38D3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7D35F1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4D3B03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26</w:t>
                  </w:r>
                </w:p>
              </w:tc>
              <w:tc>
                <w:tcPr>
                  <w:tcW w:w="5355" w:type="dxa"/>
                  <w:shd w:val="clear" w:color="auto" w:fill="auto"/>
                  <w:vAlign w:val="center"/>
                </w:tcPr>
                <w:p w14:paraId="1589D5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机房西侧墙体外侧30cm（共用控制室）</w:t>
                  </w:r>
                </w:p>
              </w:tc>
              <w:tc>
                <w:tcPr>
                  <w:tcW w:w="1385" w:type="dxa"/>
                  <w:shd w:val="clear" w:color="auto" w:fill="auto"/>
                  <w:vAlign w:val="center"/>
                </w:tcPr>
                <w:p w14:paraId="70F9EB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5.3</w:t>
                  </w:r>
                </w:p>
              </w:tc>
            </w:tr>
            <w:tr w14:paraId="4BB71F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61C7BA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35F749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27</w:t>
                  </w:r>
                </w:p>
              </w:tc>
              <w:tc>
                <w:tcPr>
                  <w:tcW w:w="5355" w:type="dxa"/>
                  <w:shd w:val="clear" w:color="auto" w:fill="auto"/>
                  <w:vAlign w:val="center"/>
                </w:tcPr>
                <w:p w14:paraId="1B1F1B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机房南侧医生通道门外侧30cm（医生通道）</w:t>
                  </w:r>
                </w:p>
              </w:tc>
              <w:tc>
                <w:tcPr>
                  <w:tcW w:w="1385" w:type="dxa"/>
                  <w:shd w:val="clear" w:color="auto" w:fill="auto"/>
                  <w:vAlign w:val="center"/>
                </w:tcPr>
                <w:p w14:paraId="7485E2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3.8</w:t>
                  </w:r>
                </w:p>
              </w:tc>
            </w:tr>
            <w:tr w14:paraId="1D674A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0EF2D8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33EAF6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28</w:t>
                  </w:r>
                </w:p>
              </w:tc>
              <w:tc>
                <w:tcPr>
                  <w:tcW w:w="5355" w:type="dxa"/>
                  <w:shd w:val="clear" w:color="auto" w:fill="auto"/>
                  <w:vAlign w:val="center"/>
                </w:tcPr>
                <w:p w14:paraId="1E7822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机房南侧墙体外侧30cm（医生通道）</w:t>
                  </w:r>
                </w:p>
              </w:tc>
              <w:tc>
                <w:tcPr>
                  <w:tcW w:w="1385" w:type="dxa"/>
                  <w:shd w:val="clear" w:color="auto" w:fill="auto"/>
                  <w:vAlign w:val="center"/>
                </w:tcPr>
                <w:p w14:paraId="5DFF75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3.6</w:t>
                  </w:r>
                </w:p>
              </w:tc>
            </w:tr>
            <w:tr w14:paraId="54B7E3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23F818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590C23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29</w:t>
                  </w:r>
                </w:p>
              </w:tc>
              <w:tc>
                <w:tcPr>
                  <w:tcW w:w="5355" w:type="dxa"/>
                  <w:shd w:val="clear" w:color="auto" w:fill="auto"/>
                  <w:vAlign w:val="center"/>
                </w:tcPr>
                <w:p w14:paraId="644CEF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机房东侧墙体外侧30cm（DSA手术室OR11）</w:t>
                  </w:r>
                </w:p>
              </w:tc>
              <w:tc>
                <w:tcPr>
                  <w:tcW w:w="1385" w:type="dxa"/>
                  <w:shd w:val="clear" w:color="auto" w:fill="auto"/>
                  <w:vAlign w:val="center"/>
                </w:tcPr>
                <w:p w14:paraId="44C776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4.2</w:t>
                  </w:r>
                </w:p>
              </w:tc>
            </w:tr>
            <w:tr w14:paraId="48AEA9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1061F44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65A567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30</w:t>
                  </w:r>
                </w:p>
              </w:tc>
              <w:tc>
                <w:tcPr>
                  <w:tcW w:w="5355" w:type="dxa"/>
                  <w:shd w:val="clear" w:color="auto" w:fill="auto"/>
                  <w:vAlign w:val="center"/>
                </w:tcPr>
                <w:p w14:paraId="5FDDBF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机房顶板上方距地面30cm（净化机房）</w:t>
                  </w:r>
                </w:p>
              </w:tc>
              <w:tc>
                <w:tcPr>
                  <w:tcW w:w="1385" w:type="dxa"/>
                  <w:shd w:val="clear" w:color="auto" w:fill="auto"/>
                  <w:vAlign w:val="center"/>
                </w:tcPr>
                <w:p w14:paraId="36B4E6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r>
                    <w:rPr>
                      <w:rFonts w:hint="eastAsia"/>
                      <w:color w:val="auto"/>
                      <w:spacing w:val="0"/>
                      <w:kern w:val="0"/>
                      <w:sz w:val="21"/>
                      <w:szCs w:val="21"/>
                      <w:highlight w:val="none"/>
                      <w:lang w:val="en-US" w:eastAsia="zh-CN"/>
                    </w:rPr>
                    <w:t>4.1</w:t>
                  </w:r>
                </w:p>
              </w:tc>
            </w:tr>
            <w:tr w14:paraId="4562EC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53041A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02D219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31</w:t>
                  </w:r>
                </w:p>
              </w:tc>
              <w:tc>
                <w:tcPr>
                  <w:tcW w:w="5355" w:type="dxa"/>
                  <w:shd w:val="clear" w:color="auto" w:fill="auto"/>
                  <w:vAlign w:val="center"/>
                </w:tcPr>
                <w:p w14:paraId="1B5FFB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1385" w:type="dxa"/>
                  <w:shd w:val="clear" w:color="auto" w:fill="auto"/>
                  <w:vAlign w:val="center"/>
                </w:tcPr>
                <w:p w14:paraId="360544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r>
                    <w:rPr>
                      <w:rFonts w:hint="eastAsia"/>
                      <w:color w:val="auto"/>
                      <w:spacing w:val="0"/>
                      <w:kern w:val="0"/>
                      <w:sz w:val="21"/>
                      <w:szCs w:val="21"/>
                      <w:highlight w:val="none"/>
                      <w:lang w:val="en-US" w:eastAsia="zh-CN"/>
                    </w:rPr>
                    <w:t>4.9</w:t>
                  </w:r>
                </w:p>
              </w:tc>
            </w:tr>
            <w:tr w14:paraId="797D2E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restart"/>
                  <w:shd w:val="clear" w:color="auto" w:fill="auto"/>
                  <w:vAlign w:val="center"/>
                </w:tcPr>
                <w:p w14:paraId="1CCED77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DSA手术室OR11</w:t>
                  </w:r>
                </w:p>
              </w:tc>
              <w:tc>
                <w:tcPr>
                  <w:tcW w:w="795" w:type="dxa"/>
                  <w:shd w:val="clear" w:color="auto" w:fill="auto"/>
                  <w:vAlign w:val="center"/>
                </w:tcPr>
                <w:p w14:paraId="6D0EB37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32</w:t>
                  </w:r>
                </w:p>
              </w:tc>
              <w:tc>
                <w:tcPr>
                  <w:tcW w:w="5355" w:type="dxa"/>
                  <w:shd w:val="clear" w:color="auto" w:fill="auto"/>
                  <w:vAlign w:val="center"/>
                </w:tcPr>
                <w:p w14:paraId="632DBD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机房北侧患者通道门外侧30cm（患者通道）</w:t>
                  </w:r>
                </w:p>
              </w:tc>
              <w:tc>
                <w:tcPr>
                  <w:tcW w:w="1385" w:type="dxa"/>
                  <w:shd w:val="clear" w:color="auto" w:fill="auto"/>
                  <w:vAlign w:val="center"/>
                </w:tcPr>
                <w:p w14:paraId="651300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6.1</w:t>
                  </w:r>
                </w:p>
              </w:tc>
            </w:tr>
            <w:tr w14:paraId="18ECD3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0B1961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1DE783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33</w:t>
                  </w:r>
                </w:p>
              </w:tc>
              <w:tc>
                <w:tcPr>
                  <w:tcW w:w="5355" w:type="dxa"/>
                  <w:shd w:val="clear" w:color="auto" w:fill="auto"/>
                  <w:vAlign w:val="center"/>
                </w:tcPr>
                <w:p w14:paraId="088A4B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机房北侧墙体外侧30cm（患者通道）</w:t>
                  </w:r>
                </w:p>
              </w:tc>
              <w:tc>
                <w:tcPr>
                  <w:tcW w:w="1385" w:type="dxa"/>
                  <w:shd w:val="clear" w:color="auto" w:fill="auto"/>
                  <w:vAlign w:val="center"/>
                </w:tcPr>
                <w:p w14:paraId="2A5E35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5.8</w:t>
                  </w:r>
                </w:p>
              </w:tc>
            </w:tr>
            <w:tr w14:paraId="3248ED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03B903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5E64BB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34</w:t>
                  </w:r>
                </w:p>
              </w:tc>
              <w:tc>
                <w:tcPr>
                  <w:tcW w:w="5355" w:type="dxa"/>
                  <w:shd w:val="clear" w:color="auto" w:fill="auto"/>
                  <w:vAlign w:val="center"/>
                </w:tcPr>
                <w:p w14:paraId="13248F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机房东侧观察窗外侧1m（控制室操作位）</w:t>
                  </w:r>
                </w:p>
              </w:tc>
              <w:tc>
                <w:tcPr>
                  <w:tcW w:w="1385" w:type="dxa"/>
                  <w:shd w:val="clear" w:color="auto" w:fill="auto"/>
                  <w:vAlign w:val="center"/>
                </w:tcPr>
                <w:p w14:paraId="1EE18B7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5.4</w:t>
                  </w:r>
                </w:p>
              </w:tc>
            </w:tr>
            <w:tr w14:paraId="0A33DA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1CC91D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46BD40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35</w:t>
                  </w:r>
                </w:p>
              </w:tc>
              <w:tc>
                <w:tcPr>
                  <w:tcW w:w="5355" w:type="dxa"/>
                  <w:shd w:val="clear" w:color="auto" w:fill="auto"/>
                  <w:vAlign w:val="center"/>
                </w:tcPr>
                <w:p w14:paraId="583434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机房东侧控制室门外侧30cm（控制室）</w:t>
                  </w:r>
                </w:p>
              </w:tc>
              <w:tc>
                <w:tcPr>
                  <w:tcW w:w="1385" w:type="dxa"/>
                  <w:shd w:val="clear" w:color="auto" w:fill="auto"/>
                  <w:vAlign w:val="center"/>
                </w:tcPr>
                <w:p w14:paraId="2C9CFE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4.8</w:t>
                  </w:r>
                </w:p>
              </w:tc>
            </w:tr>
            <w:tr w14:paraId="31AC04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2B0FFA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62ABD6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36</w:t>
                  </w:r>
                </w:p>
              </w:tc>
              <w:tc>
                <w:tcPr>
                  <w:tcW w:w="5355" w:type="dxa"/>
                  <w:shd w:val="clear" w:color="auto" w:fill="auto"/>
                  <w:vAlign w:val="center"/>
                </w:tcPr>
                <w:p w14:paraId="6503E9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机房东侧墙体外侧30cm（控制室）</w:t>
                  </w:r>
                </w:p>
              </w:tc>
              <w:tc>
                <w:tcPr>
                  <w:tcW w:w="1385" w:type="dxa"/>
                  <w:shd w:val="clear" w:color="auto" w:fill="auto"/>
                  <w:vAlign w:val="center"/>
                </w:tcPr>
                <w:p w14:paraId="35E4B9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4.7</w:t>
                  </w:r>
                </w:p>
              </w:tc>
            </w:tr>
            <w:tr w14:paraId="655BDA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255DBF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6BE126F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37</w:t>
                  </w:r>
                </w:p>
              </w:tc>
              <w:tc>
                <w:tcPr>
                  <w:tcW w:w="5355" w:type="dxa"/>
                  <w:shd w:val="clear" w:color="auto" w:fill="auto"/>
                  <w:vAlign w:val="center"/>
                </w:tcPr>
                <w:p w14:paraId="570D0A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机房南侧医生通道门外侧30cm（医生通道）</w:t>
                  </w:r>
                </w:p>
              </w:tc>
              <w:tc>
                <w:tcPr>
                  <w:tcW w:w="1385" w:type="dxa"/>
                  <w:shd w:val="clear" w:color="auto" w:fill="auto"/>
                  <w:vAlign w:val="center"/>
                </w:tcPr>
                <w:p w14:paraId="1A55F3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4.0</w:t>
                  </w:r>
                </w:p>
              </w:tc>
            </w:tr>
            <w:tr w14:paraId="780C4A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6DEA58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3FB92A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38</w:t>
                  </w:r>
                </w:p>
              </w:tc>
              <w:tc>
                <w:tcPr>
                  <w:tcW w:w="5355" w:type="dxa"/>
                  <w:shd w:val="clear" w:color="auto" w:fill="auto"/>
                  <w:vAlign w:val="center"/>
                </w:tcPr>
                <w:p w14:paraId="7B5908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机房南侧墙体外侧30cm（医生通道）</w:t>
                  </w:r>
                </w:p>
              </w:tc>
              <w:tc>
                <w:tcPr>
                  <w:tcW w:w="1385" w:type="dxa"/>
                  <w:shd w:val="clear" w:color="auto" w:fill="auto"/>
                  <w:vAlign w:val="center"/>
                </w:tcPr>
                <w:p w14:paraId="2750AA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3.7</w:t>
                  </w:r>
                </w:p>
              </w:tc>
            </w:tr>
            <w:tr w14:paraId="66B7DF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0676C7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3D83AF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39</w:t>
                  </w:r>
                </w:p>
              </w:tc>
              <w:tc>
                <w:tcPr>
                  <w:tcW w:w="5355" w:type="dxa"/>
                  <w:shd w:val="clear" w:color="auto" w:fill="auto"/>
                  <w:vAlign w:val="center"/>
                </w:tcPr>
                <w:p w14:paraId="76D945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机房西侧墙体外侧30cm（DSA手术室OR10）</w:t>
                  </w:r>
                </w:p>
              </w:tc>
              <w:tc>
                <w:tcPr>
                  <w:tcW w:w="1385" w:type="dxa"/>
                  <w:shd w:val="clear" w:color="auto" w:fill="auto"/>
                  <w:vAlign w:val="center"/>
                </w:tcPr>
                <w:p w14:paraId="471AE4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4.9</w:t>
                  </w:r>
                </w:p>
              </w:tc>
            </w:tr>
            <w:tr w14:paraId="6A1E33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19734B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752799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40</w:t>
                  </w:r>
                </w:p>
              </w:tc>
              <w:tc>
                <w:tcPr>
                  <w:tcW w:w="5355" w:type="dxa"/>
                  <w:shd w:val="clear" w:color="auto" w:fill="auto"/>
                  <w:vAlign w:val="center"/>
                </w:tcPr>
                <w:p w14:paraId="378430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机房顶板上方距地面30cm（净化机房）</w:t>
                  </w:r>
                </w:p>
              </w:tc>
              <w:tc>
                <w:tcPr>
                  <w:tcW w:w="1385" w:type="dxa"/>
                  <w:shd w:val="clear" w:color="auto" w:fill="auto"/>
                  <w:vAlign w:val="center"/>
                </w:tcPr>
                <w:p w14:paraId="40FCA2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r>
                    <w:rPr>
                      <w:rFonts w:hint="eastAsia"/>
                      <w:color w:val="auto"/>
                      <w:spacing w:val="0"/>
                      <w:kern w:val="0"/>
                      <w:sz w:val="21"/>
                      <w:szCs w:val="21"/>
                      <w:highlight w:val="none"/>
                      <w:lang w:val="en-US" w:eastAsia="zh-CN"/>
                    </w:rPr>
                    <w:t>4.1</w:t>
                  </w:r>
                </w:p>
              </w:tc>
            </w:tr>
            <w:tr w14:paraId="06AEE8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089F753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0CF792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41</w:t>
                  </w:r>
                </w:p>
              </w:tc>
              <w:tc>
                <w:tcPr>
                  <w:tcW w:w="5355" w:type="dxa"/>
                  <w:shd w:val="clear" w:color="auto" w:fill="auto"/>
                  <w:vAlign w:val="center"/>
                </w:tcPr>
                <w:p w14:paraId="46CC97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1385" w:type="dxa"/>
                  <w:shd w:val="clear" w:color="auto" w:fill="auto"/>
                  <w:vAlign w:val="center"/>
                </w:tcPr>
                <w:p w14:paraId="47E419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rPr>
                  </w:pPr>
                  <w:r>
                    <w:rPr>
                      <w:rFonts w:hint="eastAsia"/>
                      <w:color w:val="auto"/>
                      <w:spacing w:val="0"/>
                      <w:kern w:val="0"/>
                      <w:sz w:val="21"/>
                      <w:szCs w:val="21"/>
                      <w:highlight w:val="none"/>
                      <w:lang w:val="en-US" w:eastAsia="zh-CN"/>
                    </w:rPr>
                    <w:t>4.9</w:t>
                  </w:r>
                </w:p>
              </w:tc>
            </w:tr>
            <w:tr w14:paraId="3F804A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restart"/>
                  <w:shd w:val="clear" w:color="auto" w:fill="auto"/>
                  <w:vAlign w:val="center"/>
                </w:tcPr>
                <w:p w14:paraId="64CC49D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r>
                    <w:rPr>
                      <w:rFonts w:hint="eastAsia"/>
                      <w:bCs/>
                      <w:sz w:val="21"/>
                      <w:szCs w:val="21"/>
                      <w:lang w:val="en-US" w:eastAsia="zh-CN"/>
                    </w:rPr>
                    <w:t>ERCP室</w:t>
                  </w:r>
                </w:p>
              </w:tc>
              <w:tc>
                <w:tcPr>
                  <w:tcW w:w="795" w:type="dxa"/>
                  <w:shd w:val="clear" w:color="auto" w:fill="auto"/>
                  <w:vAlign w:val="center"/>
                </w:tcPr>
                <w:p w14:paraId="2AC28F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42</w:t>
                  </w:r>
                </w:p>
              </w:tc>
              <w:tc>
                <w:tcPr>
                  <w:tcW w:w="5355" w:type="dxa"/>
                  <w:shd w:val="clear" w:color="auto" w:fill="auto"/>
                  <w:vAlign w:val="center"/>
                </w:tcPr>
                <w:p w14:paraId="3EE02C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机房北侧墙体外侧30cm（医生通道）</w:t>
                  </w:r>
                </w:p>
              </w:tc>
              <w:tc>
                <w:tcPr>
                  <w:tcW w:w="1385" w:type="dxa"/>
                  <w:shd w:val="clear" w:color="auto" w:fill="auto"/>
                  <w:vAlign w:val="center"/>
                </w:tcPr>
                <w:p w14:paraId="18A404C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3.6</w:t>
                  </w:r>
                </w:p>
              </w:tc>
            </w:tr>
            <w:tr w14:paraId="238BEC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5792C6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3B912F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43</w:t>
                  </w:r>
                </w:p>
              </w:tc>
              <w:tc>
                <w:tcPr>
                  <w:tcW w:w="5355" w:type="dxa"/>
                  <w:shd w:val="clear" w:color="auto" w:fill="auto"/>
                  <w:vAlign w:val="center"/>
                </w:tcPr>
                <w:p w14:paraId="20E619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机房东侧观察窗外侧1m（控制室操作位）</w:t>
                  </w:r>
                </w:p>
              </w:tc>
              <w:tc>
                <w:tcPr>
                  <w:tcW w:w="1385" w:type="dxa"/>
                  <w:shd w:val="clear" w:color="auto" w:fill="auto"/>
                  <w:vAlign w:val="center"/>
                </w:tcPr>
                <w:p w14:paraId="4BFE77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4.3</w:t>
                  </w:r>
                </w:p>
              </w:tc>
            </w:tr>
            <w:tr w14:paraId="6ADAF8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1A33A5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666228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44</w:t>
                  </w:r>
                </w:p>
              </w:tc>
              <w:tc>
                <w:tcPr>
                  <w:tcW w:w="5355" w:type="dxa"/>
                  <w:shd w:val="clear" w:color="auto" w:fill="auto"/>
                  <w:vAlign w:val="center"/>
                </w:tcPr>
                <w:p w14:paraId="053D1E6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机房东侧控制室门外侧30cm（控制室）</w:t>
                  </w:r>
                </w:p>
              </w:tc>
              <w:tc>
                <w:tcPr>
                  <w:tcW w:w="1385" w:type="dxa"/>
                  <w:shd w:val="clear" w:color="auto" w:fill="auto"/>
                  <w:vAlign w:val="center"/>
                </w:tcPr>
                <w:p w14:paraId="71C126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4.0</w:t>
                  </w:r>
                </w:p>
              </w:tc>
            </w:tr>
            <w:tr w14:paraId="4579AB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0CD01C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sz w:val="21"/>
                      <w:szCs w:val="21"/>
                      <w:lang w:val="en-US" w:eastAsia="zh-CN" w:bidi="ar-SA"/>
                    </w:rPr>
                  </w:pPr>
                </w:p>
              </w:tc>
              <w:tc>
                <w:tcPr>
                  <w:tcW w:w="795" w:type="dxa"/>
                  <w:shd w:val="clear" w:color="auto" w:fill="auto"/>
                  <w:vAlign w:val="center"/>
                </w:tcPr>
                <w:p w14:paraId="05FC73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45</w:t>
                  </w:r>
                </w:p>
              </w:tc>
              <w:tc>
                <w:tcPr>
                  <w:tcW w:w="5355" w:type="dxa"/>
                  <w:shd w:val="clear" w:color="auto" w:fill="auto"/>
                  <w:vAlign w:val="center"/>
                </w:tcPr>
                <w:p w14:paraId="554D03A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机房东侧准备间门外侧30cm（准备间）</w:t>
                  </w:r>
                </w:p>
              </w:tc>
              <w:tc>
                <w:tcPr>
                  <w:tcW w:w="1385" w:type="dxa"/>
                  <w:shd w:val="clear" w:color="auto" w:fill="auto"/>
                  <w:vAlign w:val="center"/>
                </w:tcPr>
                <w:p w14:paraId="53548B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4.1</w:t>
                  </w:r>
                </w:p>
              </w:tc>
            </w:tr>
            <w:tr w14:paraId="72B1AA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342517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3CBCB73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46</w:t>
                  </w:r>
                </w:p>
              </w:tc>
              <w:tc>
                <w:tcPr>
                  <w:tcW w:w="5355" w:type="dxa"/>
                  <w:shd w:val="clear" w:color="auto" w:fill="auto"/>
                  <w:vAlign w:val="center"/>
                </w:tcPr>
                <w:p w14:paraId="28A724F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机房东侧墙体外侧30cm（控制室）</w:t>
                  </w:r>
                </w:p>
              </w:tc>
              <w:tc>
                <w:tcPr>
                  <w:tcW w:w="1385" w:type="dxa"/>
                  <w:shd w:val="clear" w:color="auto" w:fill="auto"/>
                  <w:vAlign w:val="center"/>
                </w:tcPr>
                <w:p w14:paraId="0994AA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3.6</w:t>
                  </w:r>
                </w:p>
              </w:tc>
            </w:tr>
            <w:tr w14:paraId="41A716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6990E7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4395BC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47</w:t>
                  </w:r>
                </w:p>
              </w:tc>
              <w:tc>
                <w:tcPr>
                  <w:tcW w:w="5355" w:type="dxa"/>
                  <w:shd w:val="clear" w:color="auto" w:fill="auto"/>
                  <w:vAlign w:val="center"/>
                </w:tcPr>
                <w:p w14:paraId="77A18C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机房南侧患者通道门外侧30cm（患者通道）</w:t>
                  </w:r>
                </w:p>
              </w:tc>
              <w:tc>
                <w:tcPr>
                  <w:tcW w:w="1385" w:type="dxa"/>
                  <w:shd w:val="clear" w:color="auto" w:fill="auto"/>
                  <w:vAlign w:val="center"/>
                </w:tcPr>
                <w:p w14:paraId="758A14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5.9</w:t>
                  </w:r>
                </w:p>
              </w:tc>
            </w:tr>
            <w:tr w14:paraId="6DD7B6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28472EB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77DA92B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48</w:t>
                  </w:r>
                </w:p>
              </w:tc>
              <w:tc>
                <w:tcPr>
                  <w:tcW w:w="5355" w:type="dxa"/>
                  <w:shd w:val="clear" w:color="auto" w:fill="auto"/>
                  <w:vAlign w:val="center"/>
                </w:tcPr>
                <w:p w14:paraId="7BDCD7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机房南侧墙体外侧30cm（患者通道）</w:t>
                  </w:r>
                </w:p>
              </w:tc>
              <w:tc>
                <w:tcPr>
                  <w:tcW w:w="1385" w:type="dxa"/>
                  <w:shd w:val="clear" w:color="auto" w:fill="auto"/>
                  <w:vAlign w:val="center"/>
                </w:tcPr>
                <w:p w14:paraId="2F1BE4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3.7</w:t>
                  </w:r>
                </w:p>
              </w:tc>
            </w:tr>
            <w:tr w14:paraId="3EF658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7BD61A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6BCDEB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49</w:t>
                  </w:r>
                </w:p>
              </w:tc>
              <w:tc>
                <w:tcPr>
                  <w:tcW w:w="5355" w:type="dxa"/>
                  <w:shd w:val="clear" w:color="auto" w:fill="auto"/>
                  <w:vAlign w:val="center"/>
                </w:tcPr>
                <w:p w14:paraId="12EA0B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机房西侧墙体外侧30cm（治疗室R9）</w:t>
                  </w:r>
                </w:p>
              </w:tc>
              <w:tc>
                <w:tcPr>
                  <w:tcW w:w="1385" w:type="dxa"/>
                  <w:shd w:val="clear" w:color="auto" w:fill="auto"/>
                  <w:vAlign w:val="center"/>
                </w:tcPr>
                <w:p w14:paraId="3A9124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2.9</w:t>
                  </w:r>
                </w:p>
              </w:tc>
            </w:tr>
            <w:tr w14:paraId="2D42BA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83" w:type="dxa"/>
                  <w:vMerge w:val="continue"/>
                  <w:shd w:val="clear" w:color="auto" w:fill="auto"/>
                  <w:vAlign w:val="center"/>
                </w:tcPr>
                <w:p w14:paraId="2A206D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Cs/>
                      <w:sz w:val="21"/>
                      <w:szCs w:val="21"/>
                      <w:lang w:val="en-US" w:eastAsia="zh-CN"/>
                    </w:rPr>
                  </w:pPr>
                </w:p>
              </w:tc>
              <w:tc>
                <w:tcPr>
                  <w:tcW w:w="795" w:type="dxa"/>
                  <w:shd w:val="clear" w:color="auto" w:fill="auto"/>
                  <w:vAlign w:val="center"/>
                </w:tcPr>
                <w:p w14:paraId="1254B8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50</w:t>
                  </w:r>
                </w:p>
              </w:tc>
              <w:tc>
                <w:tcPr>
                  <w:tcW w:w="5355" w:type="dxa"/>
                  <w:shd w:val="clear" w:color="auto" w:fill="auto"/>
                  <w:vAlign w:val="center"/>
                </w:tcPr>
                <w:p w14:paraId="39186D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机房顶板上方距地面30cm（屋顶）</w:t>
                  </w:r>
                </w:p>
              </w:tc>
              <w:tc>
                <w:tcPr>
                  <w:tcW w:w="1385" w:type="dxa"/>
                  <w:shd w:val="clear" w:color="auto" w:fill="auto"/>
                  <w:vAlign w:val="center"/>
                </w:tcPr>
                <w:p w14:paraId="126B11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4.1</w:t>
                  </w:r>
                </w:p>
              </w:tc>
            </w:tr>
            <w:tr w14:paraId="249D0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vMerge w:val="continue"/>
                  <w:shd w:val="clear" w:color="auto" w:fill="auto"/>
                  <w:vAlign w:val="center"/>
                </w:tcPr>
                <w:p w14:paraId="703A8F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p>
              </w:tc>
              <w:tc>
                <w:tcPr>
                  <w:tcW w:w="795" w:type="dxa"/>
                  <w:shd w:val="clear" w:color="auto" w:fill="auto"/>
                  <w:vAlign w:val="center"/>
                </w:tcPr>
                <w:p w14:paraId="2C0DBD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51</w:t>
                  </w:r>
                </w:p>
              </w:tc>
              <w:tc>
                <w:tcPr>
                  <w:tcW w:w="5355" w:type="dxa"/>
                  <w:shd w:val="clear" w:color="auto" w:fill="auto"/>
                  <w:vAlign w:val="center"/>
                </w:tcPr>
                <w:p w14:paraId="3EDFFB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机房地板下方距地面1.5m（妇产科盆底筛查治疗室）</w:t>
                  </w:r>
                </w:p>
              </w:tc>
              <w:tc>
                <w:tcPr>
                  <w:tcW w:w="1385" w:type="dxa"/>
                  <w:shd w:val="clear" w:color="auto" w:fill="auto"/>
                  <w:vAlign w:val="center"/>
                </w:tcPr>
                <w:p w14:paraId="76155F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4.9</w:t>
                  </w:r>
                </w:p>
              </w:tc>
            </w:tr>
            <w:tr w14:paraId="308EDB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shd w:val="clear" w:color="auto" w:fill="auto"/>
                  <w:vAlign w:val="center"/>
                </w:tcPr>
                <w:p w14:paraId="0A5F50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w:t>
                  </w:r>
                </w:p>
              </w:tc>
              <w:tc>
                <w:tcPr>
                  <w:tcW w:w="795" w:type="dxa"/>
                  <w:shd w:val="clear" w:color="auto" w:fill="auto"/>
                  <w:vAlign w:val="center"/>
                </w:tcPr>
                <w:p w14:paraId="0ED2BD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52</w:t>
                  </w:r>
                </w:p>
              </w:tc>
              <w:tc>
                <w:tcPr>
                  <w:tcW w:w="5355" w:type="dxa"/>
                  <w:shd w:val="clear" w:color="auto" w:fill="auto"/>
                  <w:vAlign w:val="center"/>
                </w:tcPr>
                <w:p w14:paraId="0E81D2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2"/>
                      <w:sz w:val="21"/>
                      <w:szCs w:val="21"/>
                      <w:highlight w:val="none"/>
                      <w:lang w:val="en-US" w:eastAsia="zh-CN" w:bidi="ar-SA"/>
                    </w:rPr>
                    <w:t>机房内</w:t>
                  </w:r>
                  <w:r>
                    <w:rPr>
                      <w:color w:val="auto"/>
                      <w:spacing w:val="0"/>
                      <w:kern w:val="0"/>
                      <w:sz w:val="21"/>
                      <w:szCs w:val="21"/>
                      <w:highlight w:val="none"/>
                    </w:rPr>
                    <w:t>第一术者位</w:t>
                  </w:r>
                </w:p>
              </w:tc>
              <w:tc>
                <w:tcPr>
                  <w:tcW w:w="1385" w:type="dxa"/>
                  <w:shd w:val="clear" w:color="auto" w:fill="auto"/>
                  <w:vAlign w:val="center"/>
                </w:tcPr>
                <w:p w14:paraId="4EA2706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0.3</w:t>
                  </w:r>
                </w:p>
              </w:tc>
            </w:tr>
            <w:tr w14:paraId="7F3703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383" w:type="dxa"/>
                  <w:shd w:val="clear" w:color="auto" w:fill="auto"/>
                  <w:vAlign w:val="center"/>
                </w:tcPr>
                <w:p w14:paraId="62DC6D5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w:t>
                  </w:r>
                </w:p>
              </w:tc>
              <w:tc>
                <w:tcPr>
                  <w:tcW w:w="795" w:type="dxa"/>
                  <w:shd w:val="clear" w:color="auto" w:fill="auto"/>
                  <w:vAlign w:val="center"/>
                </w:tcPr>
                <w:p w14:paraId="56808A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53</w:t>
                  </w:r>
                </w:p>
              </w:tc>
              <w:tc>
                <w:tcPr>
                  <w:tcW w:w="5355" w:type="dxa"/>
                  <w:shd w:val="clear" w:color="auto" w:fill="auto"/>
                  <w:vAlign w:val="center"/>
                </w:tcPr>
                <w:p w14:paraId="113FBCF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2"/>
                      <w:sz w:val="21"/>
                      <w:szCs w:val="21"/>
                      <w:highlight w:val="none"/>
                      <w:lang w:val="en-US" w:eastAsia="zh-CN" w:bidi="ar-SA"/>
                    </w:rPr>
                    <w:t>机房内</w:t>
                  </w:r>
                  <w:r>
                    <w:rPr>
                      <w:color w:val="auto"/>
                      <w:spacing w:val="0"/>
                      <w:kern w:val="0"/>
                      <w:sz w:val="21"/>
                      <w:szCs w:val="21"/>
                      <w:highlight w:val="none"/>
                    </w:rPr>
                    <w:t>第二术者位</w:t>
                  </w:r>
                </w:p>
              </w:tc>
              <w:tc>
                <w:tcPr>
                  <w:tcW w:w="1385" w:type="dxa"/>
                  <w:shd w:val="clear" w:color="auto" w:fill="auto"/>
                  <w:vAlign w:val="center"/>
                </w:tcPr>
                <w:p w14:paraId="61B1D0B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1.0</w:t>
                  </w:r>
                </w:p>
              </w:tc>
            </w:tr>
            <w:tr w14:paraId="50D872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83" w:type="dxa"/>
                  <w:shd w:val="clear" w:color="auto" w:fill="auto"/>
                  <w:vAlign w:val="center"/>
                </w:tcPr>
                <w:p w14:paraId="160B67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w:t>
                  </w:r>
                </w:p>
              </w:tc>
              <w:tc>
                <w:tcPr>
                  <w:tcW w:w="795" w:type="dxa"/>
                  <w:shd w:val="clear" w:color="auto" w:fill="auto"/>
                  <w:vAlign w:val="center"/>
                </w:tcPr>
                <w:p w14:paraId="58CB37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54</w:t>
                  </w:r>
                </w:p>
              </w:tc>
              <w:tc>
                <w:tcPr>
                  <w:tcW w:w="5355" w:type="dxa"/>
                  <w:shd w:val="clear" w:color="auto" w:fill="auto"/>
                  <w:vAlign w:val="center"/>
                </w:tcPr>
                <w:p w14:paraId="50A77A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2"/>
                      <w:sz w:val="21"/>
                      <w:szCs w:val="21"/>
                      <w:highlight w:val="none"/>
                      <w:lang w:val="en-US" w:eastAsia="zh-CN" w:bidi="ar-SA"/>
                    </w:rPr>
                    <w:t>机房内</w:t>
                  </w:r>
                  <w:r>
                    <w:rPr>
                      <w:rFonts w:hint="eastAsia"/>
                      <w:color w:val="auto"/>
                      <w:spacing w:val="0"/>
                      <w:kern w:val="0"/>
                      <w:sz w:val="21"/>
                      <w:szCs w:val="21"/>
                      <w:highlight w:val="none"/>
                    </w:rPr>
                    <w:t>护士位</w:t>
                  </w:r>
                </w:p>
              </w:tc>
              <w:tc>
                <w:tcPr>
                  <w:tcW w:w="1385" w:type="dxa"/>
                  <w:shd w:val="clear" w:color="auto" w:fill="auto"/>
                  <w:vAlign w:val="center"/>
                </w:tcPr>
                <w:p w14:paraId="59DC9A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宋体"/>
                      <w:color w:val="auto"/>
                      <w:spacing w:val="0"/>
                      <w:kern w:val="0"/>
                      <w:sz w:val="21"/>
                      <w:szCs w:val="21"/>
                      <w:highlight w:val="none"/>
                      <w:lang w:val="en-US" w:eastAsia="zh-CN"/>
                    </w:rPr>
                  </w:pPr>
                  <w:r>
                    <w:rPr>
                      <w:rFonts w:hint="eastAsia"/>
                      <w:color w:val="auto"/>
                      <w:spacing w:val="0"/>
                      <w:kern w:val="0"/>
                      <w:sz w:val="21"/>
                      <w:szCs w:val="21"/>
                      <w:highlight w:val="none"/>
                      <w:lang w:val="en-US" w:eastAsia="zh-CN"/>
                    </w:rPr>
                    <w:t>1.5</w:t>
                  </w:r>
                </w:p>
              </w:tc>
            </w:tr>
          </w:tbl>
          <w:p w14:paraId="6E68ED4D">
            <w:pPr>
              <w:rPr>
                <w:color w:val="auto"/>
                <w:highlight w:val="none"/>
              </w:rPr>
            </w:pPr>
          </w:p>
          <w:p w14:paraId="7BCCA9DA">
            <w:pPr>
              <w:pStyle w:val="281"/>
              <w:spacing w:line="360" w:lineRule="auto"/>
              <w:ind w:firstLine="482" w:firstLineChars="200"/>
              <w:jc w:val="both"/>
              <w:rPr>
                <w:b/>
                <w:bCs/>
                <w:color w:val="auto"/>
                <w:sz w:val="24"/>
                <w:szCs w:val="32"/>
                <w:highlight w:val="none"/>
              </w:rPr>
            </w:pPr>
            <w:r>
              <w:rPr>
                <w:rFonts w:hint="eastAsia"/>
                <w:b/>
                <w:bCs/>
                <w:color w:val="auto"/>
                <w:sz w:val="24"/>
                <w:szCs w:val="32"/>
                <w:highlight w:val="none"/>
              </w:rPr>
              <w:t>2、</w:t>
            </w:r>
            <w:r>
              <w:rPr>
                <w:b/>
                <w:bCs/>
                <w:color w:val="auto"/>
                <w:sz w:val="24"/>
                <w:szCs w:val="32"/>
                <w:highlight w:val="none"/>
              </w:rPr>
              <w:t>主射线束剂量</w:t>
            </w:r>
            <w:r>
              <w:rPr>
                <w:rFonts w:hint="eastAsia"/>
                <w:b/>
                <w:bCs/>
                <w:color w:val="auto"/>
                <w:sz w:val="24"/>
                <w:szCs w:val="32"/>
                <w:highlight w:val="none"/>
              </w:rPr>
              <w:t>率</w:t>
            </w:r>
            <w:r>
              <w:rPr>
                <w:b/>
                <w:bCs/>
                <w:color w:val="auto"/>
                <w:sz w:val="24"/>
                <w:szCs w:val="32"/>
                <w:highlight w:val="none"/>
              </w:rPr>
              <w:t>估算</w:t>
            </w:r>
          </w:p>
          <w:p w14:paraId="0878766C">
            <w:pPr>
              <w:pStyle w:val="281"/>
              <w:spacing w:line="360" w:lineRule="auto"/>
              <w:ind w:firstLine="480" w:firstLineChars="200"/>
              <w:jc w:val="both"/>
              <w:rPr>
                <w:color w:val="auto"/>
                <w:kern w:val="0"/>
                <w:sz w:val="24"/>
                <w:highlight w:val="none"/>
              </w:rPr>
            </w:pPr>
            <w:bookmarkStart w:id="58" w:name="_Hlk195876580"/>
            <w:r>
              <w:rPr>
                <w:color w:val="auto"/>
                <w:kern w:val="0"/>
                <w:sz w:val="24"/>
                <w:highlight w:val="none"/>
              </w:rPr>
              <w:t>根据《辐射防护手册》（第一分册）（李德平、潘自强主编），DSA</w:t>
            </w:r>
            <w:r>
              <w:rPr>
                <w:rFonts w:hint="eastAsia"/>
                <w:color w:val="auto"/>
                <w:kern w:val="0"/>
                <w:sz w:val="24"/>
                <w:highlight w:val="none"/>
                <w:lang w:val="en-US" w:eastAsia="zh-CN"/>
              </w:rPr>
              <w:t>影像检查</w:t>
            </w:r>
            <w:r>
              <w:rPr>
                <w:color w:val="auto"/>
                <w:kern w:val="0"/>
                <w:sz w:val="24"/>
                <w:highlight w:val="none"/>
              </w:rPr>
              <w:t>和</w:t>
            </w:r>
            <w:r>
              <w:rPr>
                <w:rFonts w:hint="eastAsia"/>
                <w:color w:val="auto"/>
                <w:kern w:val="0"/>
                <w:sz w:val="24"/>
                <w:highlight w:val="none"/>
                <w:lang w:val="en-US" w:eastAsia="zh-CN"/>
              </w:rPr>
              <w:t>介入操作</w:t>
            </w:r>
            <w:r>
              <w:rPr>
                <w:color w:val="auto"/>
                <w:kern w:val="0"/>
                <w:sz w:val="24"/>
                <w:highlight w:val="none"/>
              </w:rPr>
              <w:t>过程对主射方向所造成的辐射剂量可按下式估算：</w:t>
            </w:r>
          </w:p>
          <w:p w14:paraId="4B091C84">
            <w:pPr>
              <w:pStyle w:val="281"/>
              <w:spacing w:line="360" w:lineRule="auto"/>
              <w:ind w:right="840" w:firstLine="420" w:firstLineChars="200"/>
              <w:jc w:val="right"/>
              <w:rPr>
                <w:rFonts w:hint="eastAsia" w:eastAsiaTheme="minorEastAsia"/>
                <w:b/>
                <w:bCs/>
                <w:color w:val="auto"/>
                <w:kern w:val="0"/>
                <w:sz w:val="24"/>
                <w:highlight w:val="none"/>
                <w:lang w:eastAsia="zh-CN"/>
              </w:rPr>
            </w:pPr>
            <w:r>
              <w:rPr>
                <w:i/>
                <w:iCs/>
                <w:color w:val="auto"/>
                <w:position w:val="-24"/>
                <w:sz w:val="21"/>
                <w:szCs w:val="21"/>
                <w:highlight w:val="none"/>
              </w:rPr>
              <w:object>
                <v:shape id="_x0000_i1029" o:spt="75" type="#_x0000_t75" style="height:46pt;width:191pt;" o:ole="t" filled="f" o:preferrelative="t" stroked="f" coordsize="21600,21600">
                  <v:path/>
                  <v:fill on="f" focussize="0,0"/>
                  <v:stroke on="f"/>
                  <v:imagedata r:id="rId43" o:title=""/>
                  <o:lock v:ext="edit" aspectratio="t"/>
                  <w10:wrap type="none"/>
                  <w10:anchorlock/>
                </v:shape>
                <o:OLEObject Type="Embed" ProgID="Equation.KSEE3" ShapeID="_x0000_i1029" DrawAspect="Content" ObjectID="_1468075729" r:id="rId42">
                  <o:LockedField>false</o:LockedField>
                </o:OLEObject>
              </w:object>
            </w:r>
            <w:r>
              <w:rPr>
                <w:i/>
                <w:iCs/>
                <w:color w:val="auto"/>
                <w:kern w:val="0"/>
                <w:sz w:val="21"/>
                <w:szCs w:val="21"/>
                <w:highlight w:val="none"/>
              </w:rPr>
              <w:t>....................</w:t>
            </w:r>
            <w:r>
              <w:rPr>
                <w:color w:val="auto"/>
                <w:sz w:val="24"/>
                <w:szCs w:val="32"/>
                <w:highlight w:val="none"/>
              </w:rPr>
              <w:t>式11-</w:t>
            </w:r>
            <w:r>
              <w:rPr>
                <w:rFonts w:hint="eastAsia"/>
                <w:color w:val="auto"/>
                <w:sz w:val="24"/>
                <w:szCs w:val="32"/>
                <w:highlight w:val="none"/>
                <w:lang w:val="en-US" w:eastAsia="zh-CN"/>
              </w:rPr>
              <w:t>8</w:t>
            </w:r>
          </w:p>
          <w:p w14:paraId="532A8DF7">
            <w:pPr>
              <w:widowControl/>
              <w:ind w:firstLine="480" w:firstLineChars="200"/>
              <w:rPr>
                <w:color w:val="auto"/>
                <w:kern w:val="0"/>
                <w:highlight w:val="none"/>
                <w:lang w:bidi="ar"/>
              </w:rPr>
            </w:pPr>
            <w:r>
              <w:rPr>
                <w:color w:val="auto"/>
                <w:kern w:val="0"/>
                <w:highlight w:val="none"/>
                <w:lang w:bidi="ar"/>
              </w:rPr>
              <w:t>式中：</w:t>
            </w:r>
            <w:r>
              <w:rPr>
                <w:color w:val="auto"/>
                <w:position w:val="-4"/>
                <w:highlight w:val="none"/>
              </w:rPr>
              <w:object>
                <v:shape id="_x0000_i1030" o:spt="75" type="#_x0000_t75" style="height:21pt;width:13.95pt;" o:ole="t" filled="f" o:preferrelative="t" stroked="f" coordsize="21600,21600">
                  <v:path/>
                  <v:fill on="f" focussize="0,0"/>
                  <v:stroke on="f"/>
                  <v:imagedata r:id="rId45" o:title=""/>
                  <o:lock v:ext="edit" aspectratio="t"/>
                  <w10:wrap type="none"/>
                  <w10:anchorlock/>
                </v:shape>
                <o:OLEObject Type="Embed" ProgID="Equation.KSEE3" ShapeID="_x0000_i1030" DrawAspect="Content" ObjectID="_1468075730" r:id="rId44">
                  <o:LockedField>false</o:LockedField>
                </o:OLEObject>
              </w:object>
            </w:r>
            <w:r>
              <w:rPr>
                <w:color w:val="auto"/>
                <w:kern w:val="0"/>
                <w:highlight w:val="none"/>
                <w:lang w:bidi="ar"/>
              </w:rPr>
              <w:t>—关注点处的辐射当量剂量率，μSv/h；</w:t>
            </w:r>
          </w:p>
          <w:p w14:paraId="26B497C6">
            <w:pPr>
              <w:pStyle w:val="20"/>
              <w:ind w:firstLine="1080" w:firstLineChars="450"/>
              <w:rPr>
                <w:rFonts w:hint="eastAsia"/>
                <w:color w:val="auto"/>
                <w:highlight w:val="none"/>
              </w:rPr>
            </w:pPr>
            <w:r>
              <w:rPr>
                <w:color w:val="auto"/>
                <w:position w:val="-12"/>
                <w:highlight w:val="none"/>
              </w:rPr>
              <w:object>
                <v:shape id="_x0000_i1031" o:spt="75" type="#_x0000_t75" style="height:24.95pt;width:23pt;" o:ole="t" filled="f" o:preferrelative="t" stroked="f" coordsize="21600,21600">
                  <v:path/>
                  <v:fill on="f" focussize="0,0"/>
                  <v:stroke on="f"/>
                  <v:imagedata r:id="rId47" o:title=""/>
                  <o:lock v:ext="edit" aspectratio="t"/>
                  <w10:wrap type="none"/>
                  <w10:anchorlock/>
                </v:shape>
                <o:OLEObject Type="Embed" ProgID="Equation.KSEE3" ShapeID="_x0000_i1031" DrawAspect="Content" ObjectID="_1468075731" r:id="rId46">
                  <o:LockedField>false</o:LockedField>
                </o:OLEObject>
              </w:object>
            </w:r>
            <w:r>
              <w:rPr>
                <w:color w:val="auto"/>
                <w:kern w:val="0"/>
                <w:highlight w:val="none"/>
                <w:lang w:bidi="ar"/>
              </w:rPr>
              <w:t>—每mA管电压产生的X射线在1m处的照射量率，</w:t>
            </w:r>
            <w:r>
              <w:rPr>
                <w:color w:val="auto"/>
                <w:highlight w:val="none"/>
              </w:rPr>
              <w:t>R·mA</w:t>
            </w:r>
            <w:r>
              <w:rPr>
                <w:color w:val="auto"/>
                <w:highlight w:val="none"/>
                <w:vertAlign w:val="superscript"/>
              </w:rPr>
              <w:t>-1</w:t>
            </w:r>
            <w:r>
              <w:rPr>
                <w:color w:val="auto"/>
                <w:highlight w:val="none"/>
              </w:rPr>
              <w:t>·min</w:t>
            </w:r>
            <w:r>
              <w:rPr>
                <w:color w:val="auto"/>
                <w:highlight w:val="none"/>
                <w:vertAlign w:val="superscript"/>
              </w:rPr>
              <w:t>-1</w:t>
            </w:r>
          </w:p>
          <w:p w14:paraId="1FAC138A">
            <w:pPr>
              <w:widowControl/>
              <w:ind w:firstLine="1200" w:firstLineChars="500"/>
              <w:rPr>
                <w:i/>
                <w:iCs/>
                <w:color w:val="auto"/>
                <w:kern w:val="0"/>
                <w:highlight w:val="none"/>
                <w:lang w:bidi="ar"/>
              </w:rPr>
            </w:pPr>
            <w:r>
              <w:rPr>
                <w:i/>
                <w:iCs/>
                <w:color w:val="auto"/>
                <w:kern w:val="0"/>
                <w:highlight w:val="none"/>
                <w:lang w:bidi="ar"/>
              </w:rPr>
              <w:t>R</w:t>
            </w:r>
            <w:r>
              <w:rPr>
                <w:color w:val="auto"/>
                <w:kern w:val="0"/>
                <w:highlight w:val="none"/>
                <w:lang w:bidi="ar"/>
              </w:rPr>
              <w:t>—辐射源点（靶点）至关注点的距离，m；</w:t>
            </w:r>
          </w:p>
          <w:p w14:paraId="0217E944">
            <w:pPr>
              <w:widowControl/>
              <w:ind w:firstLine="1200" w:firstLineChars="500"/>
              <w:rPr>
                <w:color w:val="auto"/>
                <w:highlight w:val="none"/>
              </w:rPr>
            </w:pPr>
            <w:r>
              <w:rPr>
                <w:i/>
                <w:iCs/>
                <w:color w:val="auto"/>
                <w:kern w:val="0"/>
                <w:highlight w:val="none"/>
                <w:lang w:bidi="ar"/>
              </w:rPr>
              <w:t>I—</w:t>
            </w:r>
            <w:r>
              <w:rPr>
                <w:color w:val="auto"/>
                <w:kern w:val="0"/>
                <w:highlight w:val="none"/>
                <w:lang w:bidi="ar"/>
              </w:rPr>
              <w:t>管电流，mA</w:t>
            </w:r>
            <w:r>
              <w:rPr>
                <w:rFonts w:hint="eastAsia"/>
                <w:color w:val="auto"/>
                <w:kern w:val="0"/>
                <w:highlight w:val="none"/>
                <w:lang w:bidi="ar"/>
              </w:rPr>
              <w:t>，</w:t>
            </w:r>
            <w:r>
              <w:rPr>
                <w:rFonts w:hint="eastAsia"/>
                <w:color w:val="auto"/>
                <w:kern w:val="0"/>
                <w:highlight w:val="none"/>
                <w:lang w:val="en-US" w:eastAsia="zh-CN" w:bidi="ar"/>
              </w:rPr>
              <w:t>影像检查</w:t>
            </w:r>
            <w:r>
              <w:rPr>
                <w:rFonts w:hint="eastAsia"/>
                <w:color w:val="auto"/>
                <w:kern w:val="0"/>
                <w:highlight w:val="none"/>
                <w:lang w:bidi="ar"/>
              </w:rPr>
              <w:t>5</w:t>
            </w:r>
            <w:r>
              <w:rPr>
                <w:color w:val="auto"/>
                <w:kern w:val="0"/>
                <w:highlight w:val="none"/>
                <w:lang w:bidi="ar"/>
              </w:rPr>
              <w:t>50mA，</w:t>
            </w:r>
            <w:r>
              <w:rPr>
                <w:rFonts w:hint="eastAsia"/>
                <w:color w:val="auto"/>
                <w:kern w:val="0"/>
                <w:highlight w:val="none"/>
                <w:lang w:val="en-US" w:eastAsia="zh-CN" w:bidi="ar"/>
              </w:rPr>
              <w:t>介入操作</w:t>
            </w:r>
            <w:r>
              <w:rPr>
                <w:color w:val="auto"/>
                <w:kern w:val="0"/>
                <w:highlight w:val="none"/>
                <w:lang w:bidi="ar"/>
              </w:rPr>
              <w:t>12mA；</w:t>
            </w:r>
          </w:p>
          <w:p w14:paraId="08D93D45">
            <w:pPr>
              <w:widowControl/>
              <w:ind w:firstLine="1200" w:firstLineChars="500"/>
              <w:rPr>
                <w:i/>
                <w:iCs/>
                <w:color w:val="auto"/>
                <w:kern w:val="0"/>
                <w:highlight w:val="none"/>
                <w:lang w:bidi="ar"/>
              </w:rPr>
            </w:pPr>
            <w:r>
              <w:rPr>
                <w:i/>
                <w:iCs/>
                <w:color w:val="auto"/>
                <w:kern w:val="0"/>
                <w:highlight w:val="none"/>
                <w:lang w:bidi="ar"/>
              </w:rPr>
              <w:t>μ—</w:t>
            </w:r>
            <w:r>
              <w:rPr>
                <w:color w:val="auto"/>
                <w:kern w:val="0"/>
                <w:highlight w:val="none"/>
                <w:lang w:bidi="ar"/>
              </w:rPr>
              <w:t>利用因子，取1；</w:t>
            </w:r>
          </w:p>
          <w:p w14:paraId="1D6AD66A">
            <w:pPr>
              <w:widowControl/>
              <w:ind w:firstLine="1200" w:firstLineChars="500"/>
              <w:rPr>
                <w:color w:val="auto"/>
                <w:kern w:val="0"/>
                <w:highlight w:val="none"/>
                <w:lang w:bidi="ar"/>
              </w:rPr>
            </w:pPr>
            <w:r>
              <w:rPr>
                <w:i/>
                <w:iCs/>
                <w:color w:val="auto"/>
                <w:kern w:val="0"/>
                <w:highlight w:val="none"/>
                <w:lang w:bidi="ar"/>
              </w:rPr>
              <w:t>W</w:t>
            </w:r>
            <w:r>
              <w:rPr>
                <w:i/>
                <w:iCs/>
                <w:color w:val="auto"/>
                <w:kern w:val="0"/>
                <w:highlight w:val="none"/>
                <w:vertAlign w:val="subscript"/>
                <w:lang w:bidi="ar"/>
              </w:rPr>
              <w:t>R</w:t>
            </w:r>
            <w:r>
              <w:rPr>
                <w:color w:val="auto"/>
                <w:kern w:val="0"/>
                <w:highlight w:val="none"/>
                <w:lang w:bidi="ar"/>
              </w:rPr>
              <w:t>—辐射权重因子，取1；</w:t>
            </w:r>
          </w:p>
          <w:p w14:paraId="4D979123">
            <w:pPr>
              <w:widowControl/>
              <w:ind w:firstLine="1200" w:firstLineChars="500"/>
              <w:rPr>
                <w:rFonts w:hint="eastAsia"/>
                <w:color w:val="auto"/>
                <w:kern w:val="0"/>
                <w:highlight w:val="none"/>
                <w:lang w:bidi="ar"/>
              </w:rPr>
            </w:pPr>
            <w:r>
              <w:rPr>
                <w:i/>
                <w:iCs/>
                <w:color w:val="auto"/>
                <w:kern w:val="0"/>
                <w:highlight w:val="none"/>
                <w:lang w:bidi="ar"/>
              </w:rPr>
              <w:t>B</w:t>
            </w:r>
            <w:r>
              <w:rPr>
                <w:color w:val="auto"/>
                <w:kern w:val="0"/>
                <w:highlight w:val="none"/>
                <w:lang w:bidi="ar"/>
              </w:rPr>
              <w:t>—屏蔽透射因子，</w:t>
            </w:r>
            <w:r>
              <w:rPr>
                <w:rFonts w:hint="eastAsia"/>
                <w:color w:val="auto"/>
                <w:kern w:val="0"/>
                <w:highlight w:val="none"/>
                <w:lang w:bidi="ar"/>
              </w:rPr>
              <w:t>见表11-1</w:t>
            </w:r>
            <w:r>
              <w:rPr>
                <w:rFonts w:hint="eastAsia"/>
                <w:color w:val="auto"/>
                <w:kern w:val="0"/>
                <w:highlight w:val="none"/>
                <w:lang w:val="en-US" w:eastAsia="zh-CN" w:bidi="ar"/>
              </w:rPr>
              <w:t>0</w:t>
            </w:r>
            <w:r>
              <w:rPr>
                <w:rFonts w:hint="eastAsia"/>
                <w:color w:val="auto"/>
                <w:kern w:val="0"/>
                <w:highlight w:val="none"/>
                <w:lang w:bidi="ar"/>
              </w:rPr>
              <w:t>；</w:t>
            </w:r>
          </w:p>
          <w:bookmarkEnd w:id="58"/>
          <w:p w14:paraId="40663EA6">
            <w:pPr>
              <w:pStyle w:val="20"/>
              <w:ind w:firstLine="480" w:firstLineChars="200"/>
              <w:rPr>
                <w:color w:val="auto"/>
                <w:kern w:val="0"/>
                <w:highlight w:val="none"/>
                <w:lang w:bidi="ar"/>
              </w:rPr>
            </w:pPr>
            <w:r>
              <w:rPr>
                <w:color w:val="auto"/>
                <w:kern w:val="0"/>
                <w:highlight w:val="none"/>
                <w:lang w:bidi="ar"/>
              </w:rPr>
              <w:t>根据NCRP147报告，患者对初始线束的减弱倍数为10~100倍，因此主射方向照射量率保守取主射束的10%。据此，本项目</w:t>
            </w:r>
            <w:r>
              <w:rPr>
                <w:rFonts w:hint="eastAsia"/>
                <w:color w:val="auto"/>
                <w:kern w:val="0"/>
                <w:highlight w:val="none"/>
                <w:lang w:val="en-US" w:eastAsia="zh-CN" w:bidi="ar"/>
              </w:rPr>
              <w:t>四层各机房</w:t>
            </w:r>
            <w:r>
              <w:rPr>
                <w:color w:val="auto"/>
                <w:kern w:val="0"/>
                <w:highlight w:val="none"/>
                <w:lang w:bidi="ar"/>
              </w:rPr>
              <w:t>主射方向辐射剂量率计算结果见下表。</w:t>
            </w:r>
          </w:p>
          <w:p w14:paraId="3ACDF321">
            <w:pPr>
              <w:spacing w:before="163" w:beforeLines="50"/>
              <w:jc w:val="center"/>
              <w:rPr>
                <w:rFonts w:eastAsia="黑体"/>
                <w:b/>
                <w:color w:val="auto"/>
                <w:highlight w:val="none"/>
              </w:rPr>
            </w:pPr>
            <w:bookmarkStart w:id="59" w:name="_Hlk195708792"/>
            <w:r>
              <w:rPr>
                <w:rFonts w:eastAsia="黑体"/>
                <w:b/>
                <w:color w:val="auto"/>
                <w:highlight w:val="none"/>
              </w:rPr>
              <w:t>表11-</w:t>
            </w:r>
            <w:r>
              <w:rPr>
                <w:rFonts w:hint="eastAsia" w:eastAsia="黑体"/>
                <w:b/>
                <w:color w:val="auto"/>
                <w:highlight w:val="none"/>
                <w:lang w:val="en-US" w:eastAsia="zh-CN"/>
              </w:rPr>
              <w:t>12</w:t>
            </w:r>
            <w:r>
              <w:rPr>
                <w:rFonts w:eastAsia="黑体"/>
                <w:b/>
                <w:color w:val="auto"/>
                <w:highlight w:val="none"/>
              </w:rPr>
              <w:t xml:space="preserve">  </w:t>
            </w:r>
            <w:r>
              <w:rPr>
                <w:rFonts w:hint="eastAsia" w:eastAsia="黑体"/>
                <w:b/>
                <w:color w:val="auto"/>
                <w:highlight w:val="none"/>
                <w:lang w:val="en-US" w:eastAsia="zh-CN"/>
              </w:rPr>
              <w:t>四层各机房</w:t>
            </w:r>
            <w:r>
              <w:rPr>
                <w:rFonts w:eastAsia="黑体"/>
                <w:b/>
                <w:color w:val="auto"/>
                <w:highlight w:val="none"/>
              </w:rPr>
              <w:t>主射方向辐射剂量预测结果表</w:t>
            </w:r>
          </w:p>
          <w:tbl>
            <w:tblPr>
              <w:tblStyle w:val="57"/>
              <w:tblW w:w="498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6"/>
              <w:gridCol w:w="645"/>
              <w:gridCol w:w="1462"/>
              <w:gridCol w:w="659"/>
              <w:gridCol w:w="1164"/>
              <w:gridCol w:w="1898"/>
              <w:gridCol w:w="1042"/>
              <w:gridCol w:w="1169"/>
            </w:tblGrid>
            <w:tr w14:paraId="0C94DA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blHeader/>
                <w:jc w:val="center"/>
              </w:trPr>
              <w:tc>
                <w:tcPr>
                  <w:tcW w:w="501" w:type="pct"/>
                  <w:vMerge w:val="restart"/>
                  <w:noWrap w:val="0"/>
                  <w:vAlign w:val="center"/>
                </w:tcPr>
                <w:p w14:paraId="1D9614D3">
                  <w:pPr>
                    <w:spacing w:line="240" w:lineRule="auto"/>
                    <w:jc w:val="center"/>
                    <w:rPr>
                      <w:rFonts w:hint="default" w:eastAsia="宋体"/>
                      <w:b/>
                      <w:bCs/>
                      <w:color w:val="auto"/>
                      <w:spacing w:val="-6"/>
                      <w:kern w:val="0"/>
                      <w:sz w:val="21"/>
                      <w:szCs w:val="21"/>
                      <w:highlight w:val="none"/>
                      <w:lang w:val="en-US" w:eastAsia="zh-CN"/>
                    </w:rPr>
                  </w:pPr>
                  <w:r>
                    <w:rPr>
                      <w:rFonts w:hint="eastAsia"/>
                      <w:b/>
                      <w:bCs/>
                      <w:color w:val="auto"/>
                      <w:spacing w:val="-6"/>
                      <w:kern w:val="0"/>
                      <w:sz w:val="21"/>
                      <w:szCs w:val="21"/>
                      <w:highlight w:val="none"/>
                      <w:lang w:val="en-US" w:eastAsia="zh-CN"/>
                    </w:rPr>
                    <w:t>机房名称</w:t>
                  </w:r>
                </w:p>
              </w:tc>
              <w:tc>
                <w:tcPr>
                  <w:tcW w:w="1179" w:type="pct"/>
                  <w:gridSpan w:val="2"/>
                  <w:noWrap w:val="0"/>
                  <w:vAlign w:val="center"/>
                </w:tcPr>
                <w:p w14:paraId="566D35E6">
                  <w:pPr>
                    <w:spacing w:line="240" w:lineRule="auto"/>
                    <w:jc w:val="center"/>
                    <w:rPr>
                      <w:b/>
                      <w:bCs/>
                      <w:color w:val="auto"/>
                      <w:spacing w:val="-6"/>
                      <w:kern w:val="0"/>
                      <w:sz w:val="21"/>
                      <w:szCs w:val="21"/>
                      <w:highlight w:val="none"/>
                    </w:rPr>
                  </w:pPr>
                  <w:r>
                    <w:rPr>
                      <w:b/>
                      <w:bCs/>
                      <w:color w:val="auto"/>
                      <w:spacing w:val="-6"/>
                      <w:kern w:val="0"/>
                      <w:sz w:val="21"/>
                      <w:szCs w:val="21"/>
                      <w:highlight w:val="none"/>
                    </w:rPr>
                    <w:t>预测点位</w:t>
                  </w:r>
                </w:p>
              </w:tc>
              <w:tc>
                <w:tcPr>
                  <w:tcW w:w="368" w:type="pct"/>
                  <w:vMerge w:val="restart"/>
                  <w:noWrap w:val="0"/>
                  <w:vAlign w:val="center"/>
                </w:tcPr>
                <w:p w14:paraId="4D0958BA">
                  <w:pPr>
                    <w:spacing w:line="240" w:lineRule="auto"/>
                    <w:jc w:val="center"/>
                    <w:rPr>
                      <w:b/>
                      <w:bCs/>
                      <w:color w:val="auto"/>
                      <w:spacing w:val="-6"/>
                      <w:kern w:val="0"/>
                      <w:sz w:val="21"/>
                      <w:szCs w:val="21"/>
                      <w:highlight w:val="none"/>
                    </w:rPr>
                  </w:pPr>
                  <w:r>
                    <w:rPr>
                      <w:b/>
                      <w:bCs/>
                      <w:color w:val="auto"/>
                      <w:spacing w:val="-6"/>
                      <w:kern w:val="0"/>
                      <w:sz w:val="21"/>
                      <w:szCs w:val="21"/>
                      <w:highlight w:val="none"/>
                    </w:rPr>
                    <w:t>模式</w:t>
                  </w:r>
                </w:p>
              </w:tc>
              <w:tc>
                <w:tcPr>
                  <w:tcW w:w="651" w:type="pct"/>
                  <w:vMerge w:val="restart"/>
                  <w:noWrap w:val="0"/>
                  <w:vAlign w:val="center"/>
                </w:tcPr>
                <w:p w14:paraId="433C23A7">
                  <w:pPr>
                    <w:spacing w:line="240" w:lineRule="auto"/>
                    <w:jc w:val="center"/>
                    <w:rPr>
                      <w:b/>
                      <w:bCs/>
                      <w:color w:val="auto"/>
                      <w:spacing w:val="-6"/>
                      <w:kern w:val="0"/>
                      <w:sz w:val="21"/>
                      <w:szCs w:val="21"/>
                      <w:highlight w:val="none"/>
                    </w:rPr>
                  </w:pPr>
                  <w:r>
                    <w:rPr>
                      <w:b/>
                      <w:bCs/>
                      <w:color w:val="auto"/>
                      <w:spacing w:val="-17"/>
                      <w:kern w:val="0"/>
                      <w:sz w:val="21"/>
                      <w:szCs w:val="21"/>
                      <w:highlight w:val="none"/>
                    </w:rPr>
                    <w:t>辐射源点至关注点的距离R（m）</w:t>
                  </w:r>
                </w:p>
              </w:tc>
              <w:tc>
                <w:tcPr>
                  <w:tcW w:w="1062" w:type="pct"/>
                  <w:vMerge w:val="restart"/>
                  <w:noWrap w:val="0"/>
                  <w:vAlign w:val="center"/>
                </w:tcPr>
                <w:p w14:paraId="64364349">
                  <w:pPr>
                    <w:spacing w:line="240" w:lineRule="auto"/>
                    <w:jc w:val="center"/>
                    <w:rPr>
                      <w:b/>
                      <w:bCs/>
                      <w:color w:val="auto"/>
                      <w:spacing w:val="-6"/>
                      <w:kern w:val="0"/>
                      <w:sz w:val="21"/>
                      <w:szCs w:val="21"/>
                      <w:highlight w:val="none"/>
                    </w:rPr>
                  </w:pPr>
                  <w:r>
                    <w:rPr>
                      <w:b/>
                      <w:bCs/>
                      <w:color w:val="auto"/>
                      <w:spacing w:val="-6"/>
                      <w:kern w:val="0"/>
                      <w:sz w:val="21"/>
                      <w:szCs w:val="21"/>
                      <w:highlight w:val="none"/>
                    </w:rPr>
                    <w:t>防护情况</w:t>
                  </w:r>
                </w:p>
              </w:tc>
              <w:tc>
                <w:tcPr>
                  <w:tcW w:w="583" w:type="pct"/>
                  <w:vMerge w:val="restart"/>
                  <w:noWrap w:val="0"/>
                  <w:vAlign w:val="center"/>
                </w:tcPr>
                <w:p w14:paraId="0E9E43E3">
                  <w:pPr>
                    <w:spacing w:line="240" w:lineRule="auto"/>
                    <w:jc w:val="center"/>
                    <w:rPr>
                      <w:b/>
                      <w:bCs/>
                      <w:color w:val="auto"/>
                      <w:spacing w:val="-6"/>
                      <w:kern w:val="0"/>
                      <w:sz w:val="21"/>
                      <w:szCs w:val="21"/>
                      <w:highlight w:val="none"/>
                    </w:rPr>
                  </w:pPr>
                  <w:r>
                    <w:rPr>
                      <w:b/>
                      <w:bCs/>
                      <w:color w:val="auto"/>
                      <w:spacing w:val="-6"/>
                      <w:kern w:val="0"/>
                      <w:sz w:val="21"/>
                      <w:szCs w:val="21"/>
                      <w:highlight w:val="none"/>
                    </w:rPr>
                    <w:t>屏蔽透射</w:t>
                  </w:r>
                </w:p>
                <w:p w14:paraId="4AD1C120">
                  <w:pPr>
                    <w:spacing w:line="240" w:lineRule="auto"/>
                    <w:jc w:val="center"/>
                    <w:rPr>
                      <w:b/>
                      <w:bCs/>
                      <w:color w:val="auto"/>
                      <w:spacing w:val="-6"/>
                      <w:kern w:val="0"/>
                      <w:sz w:val="21"/>
                      <w:szCs w:val="21"/>
                      <w:highlight w:val="none"/>
                    </w:rPr>
                  </w:pPr>
                  <w:r>
                    <w:rPr>
                      <w:b/>
                      <w:bCs/>
                      <w:color w:val="auto"/>
                      <w:spacing w:val="-6"/>
                      <w:kern w:val="0"/>
                      <w:sz w:val="21"/>
                      <w:szCs w:val="21"/>
                      <w:highlight w:val="none"/>
                    </w:rPr>
                    <w:t>因子</w:t>
                  </w:r>
                  <w:r>
                    <w:rPr>
                      <w:b/>
                      <w:bCs/>
                      <w:i/>
                      <w:iCs/>
                      <w:color w:val="auto"/>
                      <w:spacing w:val="-6"/>
                      <w:kern w:val="0"/>
                      <w:sz w:val="21"/>
                      <w:szCs w:val="21"/>
                      <w:highlight w:val="none"/>
                    </w:rPr>
                    <w:t>B</w:t>
                  </w:r>
                </w:p>
              </w:tc>
              <w:tc>
                <w:tcPr>
                  <w:tcW w:w="654" w:type="pct"/>
                  <w:vMerge w:val="restart"/>
                  <w:noWrap w:val="0"/>
                  <w:vAlign w:val="center"/>
                </w:tcPr>
                <w:p w14:paraId="52C0D611">
                  <w:pPr>
                    <w:spacing w:line="240" w:lineRule="auto"/>
                    <w:jc w:val="center"/>
                    <w:rPr>
                      <w:b/>
                      <w:bCs/>
                      <w:color w:val="auto"/>
                      <w:spacing w:val="-6"/>
                      <w:kern w:val="0"/>
                      <w:sz w:val="21"/>
                      <w:szCs w:val="21"/>
                      <w:highlight w:val="none"/>
                    </w:rPr>
                  </w:pPr>
                  <w:r>
                    <w:rPr>
                      <w:rFonts w:hint="eastAsia"/>
                      <w:b/>
                      <w:bCs/>
                      <w:color w:val="auto"/>
                      <w:spacing w:val="-6"/>
                      <w:kern w:val="0"/>
                      <w:sz w:val="21"/>
                      <w:szCs w:val="21"/>
                      <w:highlight w:val="none"/>
                    </w:rPr>
                    <w:t>主射线束</w:t>
                  </w:r>
                  <w:r>
                    <w:rPr>
                      <w:b/>
                      <w:bCs/>
                      <w:color w:val="auto"/>
                      <w:spacing w:val="-6"/>
                      <w:kern w:val="0"/>
                      <w:sz w:val="21"/>
                      <w:szCs w:val="21"/>
                      <w:highlight w:val="none"/>
                    </w:rPr>
                    <w:t>剂量率</w:t>
                  </w:r>
                </w:p>
                <w:p w14:paraId="7145FD2D">
                  <w:pPr>
                    <w:spacing w:line="240" w:lineRule="auto"/>
                    <w:jc w:val="center"/>
                    <w:rPr>
                      <w:b/>
                      <w:bCs/>
                      <w:color w:val="auto"/>
                      <w:spacing w:val="-6"/>
                      <w:kern w:val="0"/>
                      <w:sz w:val="21"/>
                      <w:szCs w:val="21"/>
                      <w:highlight w:val="none"/>
                    </w:rPr>
                  </w:pPr>
                  <w:r>
                    <w:rPr>
                      <w:b/>
                      <w:bCs/>
                      <w:color w:val="auto"/>
                      <w:spacing w:val="-6"/>
                      <w:kern w:val="0"/>
                      <w:sz w:val="21"/>
                      <w:szCs w:val="21"/>
                      <w:highlight w:val="none"/>
                    </w:rPr>
                    <w:t>（μSv/h）</w:t>
                  </w:r>
                </w:p>
              </w:tc>
            </w:tr>
            <w:tr w14:paraId="7B3C27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01" w:type="pct"/>
                  <w:vMerge w:val="continue"/>
                  <w:noWrap w:val="0"/>
                  <w:vAlign w:val="center"/>
                </w:tcPr>
                <w:p w14:paraId="3779CA52">
                  <w:pPr>
                    <w:spacing w:line="240" w:lineRule="auto"/>
                    <w:jc w:val="center"/>
                    <w:rPr>
                      <w:rFonts w:hint="eastAsia"/>
                      <w:b/>
                      <w:bCs/>
                      <w:color w:val="auto"/>
                      <w:spacing w:val="-6"/>
                      <w:kern w:val="0"/>
                      <w:sz w:val="21"/>
                      <w:szCs w:val="21"/>
                      <w:highlight w:val="none"/>
                      <w:lang w:val="en-US" w:eastAsia="zh-CN"/>
                    </w:rPr>
                  </w:pPr>
                </w:p>
              </w:tc>
              <w:tc>
                <w:tcPr>
                  <w:tcW w:w="360" w:type="pct"/>
                  <w:noWrap w:val="0"/>
                  <w:vAlign w:val="center"/>
                </w:tcPr>
                <w:p w14:paraId="174D0537">
                  <w:pPr>
                    <w:spacing w:line="240" w:lineRule="auto"/>
                    <w:jc w:val="center"/>
                    <w:rPr>
                      <w:rFonts w:hint="eastAsia" w:eastAsia="宋体"/>
                      <w:b/>
                      <w:bCs/>
                      <w:color w:val="auto"/>
                      <w:spacing w:val="-6"/>
                      <w:kern w:val="0"/>
                      <w:sz w:val="21"/>
                      <w:szCs w:val="21"/>
                      <w:highlight w:val="none"/>
                      <w:lang w:eastAsia="zh-CN"/>
                    </w:rPr>
                  </w:pPr>
                  <w:r>
                    <w:rPr>
                      <w:rFonts w:hint="eastAsia"/>
                      <w:b/>
                      <w:bCs/>
                      <w:color w:val="auto"/>
                      <w:spacing w:val="-6"/>
                      <w:kern w:val="0"/>
                      <w:sz w:val="21"/>
                      <w:szCs w:val="21"/>
                      <w:highlight w:val="none"/>
                      <w:lang w:val="en-US" w:eastAsia="zh-CN"/>
                    </w:rPr>
                    <w:t>序号</w:t>
                  </w:r>
                </w:p>
              </w:tc>
              <w:tc>
                <w:tcPr>
                  <w:tcW w:w="818" w:type="pct"/>
                  <w:noWrap w:val="0"/>
                  <w:vAlign w:val="center"/>
                </w:tcPr>
                <w:p w14:paraId="55131BE1">
                  <w:pPr>
                    <w:spacing w:line="240" w:lineRule="auto"/>
                    <w:jc w:val="center"/>
                    <w:rPr>
                      <w:b/>
                      <w:bCs/>
                      <w:color w:val="auto"/>
                      <w:spacing w:val="-6"/>
                      <w:kern w:val="0"/>
                      <w:sz w:val="21"/>
                      <w:szCs w:val="21"/>
                      <w:highlight w:val="none"/>
                    </w:rPr>
                  </w:pPr>
                  <w:r>
                    <w:rPr>
                      <w:b/>
                      <w:bCs/>
                      <w:color w:val="auto"/>
                      <w:spacing w:val="-6"/>
                      <w:kern w:val="0"/>
                      <w:sz w:val="21"/>
                      <w:szCs w:val="21"/>
                      <w:highlight w:val="none"/>
                    </w:rPr>
                    <w:t>位置</w:t>
                  </w:r>
                </w:p>
              </w:tc>
              <w:tc>
                <w:tcPr>
                  <w:tcW w:w="368" w:type="pct"/>
                  <w:vMerge w:val="continue"/>
                  <w:noWrap w:val="0"/>
                  <w:vAlign w:val="center"/>
                </w:tcPr>
                <w:p w14:paraId="7C50E8C5">
                  <w:pPr>
                    <w:spacing w:line="240" w:lineRule="auto"/>
                    <w:jc w:val="center"/>
                    <w:rPr>
                      <w:color w:val="auto"/>
                      <w:spacing w:val="-6"/>
                      <w:kern w:val="0"/>
                      <w:sz w:val="21"/>
                      <w:szCs w:val="21"/>
                      <w:highlight w:val="none"/>
                    </w:rPr>
                  </w:pPr>
                </w:p>
              </w:tc>
              <w:tc>
                <w:tcPr>
                  <w:tcW w:w="651" w:type="pct"/>
                  <w:vMerge w:val="continue"/>
                  <w:noWrap w:val="0"/>
                  <w:vAlign w:val="center"/>
                </w:tcPr>
                <w:p w14:paraId="38589255">
                  <w:pPr>
                    <w:spacing w:line="240" w:lineRule="auto"/>
                    <w:jc w:val="center"/>
                    <w:rPr>
                      <w:color w:val="auto"/>
                      <w:spacing w:val="-6"/>
                      <w:kern w:val="0"/>
                      <w:sz w:val="21"/>
                      <w:szCs w:val="21"/>
                      <w:highlight w:val="none"/>
                    </w:rPr>
                  </w:pPr>
                </w:p>
              </w:tc>
              <w:tc>
                <w:tcPr>
                  <w:tcW w:w="1062" w:type="pct"/>
                  <w:vMerge w:val="continue"/>
                  <w:noWrap w:val="0"/>
                  <w:vAlign w:val="center"/>
                </w:tcPr>
                <w:p w14:paraId="27097E37">
                  <w:pPr>
                    <w:spacing w:line="240" w:lineRule="auto"/>
                    <w:jc w:val="center"/>
                    <w:rPr>
                      <w:color w:val="auto"/>
                      <w:spacing w:val="-6"/>
                      <w:kern w:val="0"/>
                      <w:sz w:val="21"/>
                      <w:szCs w:val="21"/>
                      <w:highlight w:val="none"/>
                    </w:rPr>
                  </w:pPr>
                </w:p>
              </w:tc>
              <w:tc>
                <w:tcPr>
                  <w:tcW w:w="583" w:type="pct"/>
                  <w:vMerge w:val="continue"/>
                  <w:noWrap w:val="0"/>
                  <w:vAlign w:val="center"/>
                </w:tcPr>
                <w:p w14:paraId="57F0EF9A">
                  <w:pPr>
                    <w:spacing w:line="240" w:lineRule="auto"/>
                    <w:jc w:val="center"/>
                    <w:rPr>
                      <w:color w:val="auto"/>
                      <w:spacing w:val="-6"/>
                      <w:kern w:val="0"/>
                      <w:sz w:val="21"/>
                      <w:szCs w:val="21"/>
                      <w:highlight w:val="none"/>
                    </w:rPr>
                  </w:pPr>
                </w:p>
              </w:tc>
              <w:tc>
                <w:tcPr>
                  <w:tcW w:w="654" w:type="pct"/>
                  <w:vMerge w:val="continue"/>
                  <w:noWrap w:val="0"/>
                  <w:vAlign w:val="center"/>
                </w:tcPr>
                <w:p w14:paraId="3A8CB39D">
                  <w:pPr>
                    <w:spacing w:line="240" w:lineRule="auto"/>
                    <w:jc w:val="center"/>
                    <w:rPr>
                      <w:color w:val="auto"/>
                      <w:spacing w:val="-6"/>
                      <w:kern w:val="0"/>
                      <w:sz w:val="21"/>
                      <w:szCs w:val="21"/>
                      <w:highlight w:val="none"/>
                    </w:rPr>
                  </w:pPr>
                </w:p>
              </w:tc>
            </w:tr>
            <w:tr w14:paraId="575522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01" w:type="pct"/>
                  <w:vMerge w:val="restart"/>
                  <w:shd w:val="clear" w:color="auto" w:fill="auto"/>
                  <w:noWrap w:val="0"/>
                  <w:vAlign w:val="center"/>
                </w:tcPr>
                <w:p w14:paraId="6D11E48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color w:val="auto"/>
                      <w:spacing w:val="0"/>
                      <w:kern w:val="0"/>
                      <w:sz w:val="21"/>
                      <w:szCs w:val="21"/>
                      <w:highlight w:val="none"/>
                      <w:lang w:val="en-US" w:eastAsia="zh-CN"/>
                    </w:rPr>
                  </w:pPr>
                  <w:r>
                    <w:rPr>
                      <w:rFonts w:hint="eastAsia"/>
                      <w:color w:val="auto"/>
                      <w:spacing w:val="0"/>
                      <w:sz w:val="21"/>
                      <w:szCs w:val="21"/>
                      <w:highlight w:val="none"/>
                      <w:lang w:val="en-US" w:eastAsia="zh-CN"/>
                    </w:rPr>
                    <w:t>DSA+CT复合手术室</w:t>
                  </w:r>
                </w:p>
              </w:tc>
              <w:tc>
                <w:tcPr>
                  <w:tcW w:w="360" w:type="pct"/>
                  <w:vMerge w:val="restart"/>
                  <w:shd w:val="clear" w:color="auto" w:fill="auto"/>
                  <w:noWrap w:val="0"/>
                  <w:vAlign w:val="center"/>
                </w:tcPr>
                <w:p w14:paraId="08E7FB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10</w:t>
                  </w:r>
                </w:p>
              </w:tc>
              <w:tc>
                <w:tcPr>
                  <w:tcW w:w="818" w:type="pct"/>
                  <w:vMerge w:val="restart"/>
                  <w:shd w:val="clear" w:color="auto" w:fill="auto"/>
                  <w:noWrap w:val="0"/>
                  <w:vAlign w:val="center"/>
                </w:tcPr>
                <w:p w14:paraId="6EACC46F">
                  <w:pPr>
                    <w:spacing w:line="240" w:lineRule="auto"/>
                    <w:jc w:val="center"/>
                    <w:rPr>
                      <w:rFonts w:hint="default" w:eastAsia="宋体"/>
                      <w:color w:val="auto"/>
                      <w:spacing w:val="-6"/>
                      <w:sz w:val="21"/>
                      <w:szCs w:val="21"/>
                      <w:highlight w:val="none"/>
                      <w:lang w:val="en-US" w:eastAsia="zh-CN"/>
                    </w:rPr>
                  </w:pPr>
                  <w:r>
                    <w:rPr>
                      <w:rFonts w:hint="eastAsia" w:cs="Times New Roman"/>
                      <w:color w:val="auto"/>
                      <w:spacing w:val="0"/>
                      <w:kern w:val="0"/>
                      <w:sz w:val="21"/>
                      <w:szCs w:val="21"/>
                      <w:highlight w:val="none"/>
                      <w:lang w:val="en-US" w:eastAsia="zh-CN" w:bidi="ar-SA"/>
                    </w:rPr>
                    <w:t>机房顶板上方距地面30cm（屋顶）</w:t>
                  </w:r>
                </w:p>
              </w:tc>
              <w:tc>
                <w:tcPr>
                  <w:tcW w:w="368" w:type="pct"/>
                  <w:noWrap w:val="0"/>
                  <w:vAlign w:val="center"/>
                </w:tcPr>
                <w:p w14:paraId="4D5A1945">
                  <w:pPr>
                    <w:spacing w:line="240" w:lineRule="auto"/>
                    <w:jc w:val="center"/>
                    <w:rPr>
                      <w:rFonts w:hint="default" w:eastAsia="宋体"/>
                      <w:color w:val="auto"/>
                      <w:spacing w:val="-6"/>
                      <w:sz w:val="21"/>
                      <w:szCs w:val="21"/>
                      <w:highlight w:val="none"/>
                      <w:lang w:val="en-US" w:eastAsia="zh-CN"/>
                    </w:rPr>
                  </w:pPr>
                  <w:r>
                    <w:rPr>
                      <w:rFonts w:hint="eastAsia"/>
                      <w:color w:val="auto"/>
                      <w:spacing w:val="-6"/>
                      <w:kern w:val="0"/>
                      <w:sz w:val="21"/>
                      <w:szCs w:val="21"/>
                      <w:highlight w:val="none"/>
                      <w:lang w:val="en-US" w:eastAsia="zh-CN"/>
                    </w:rPr>
                    <w:t>介入</w:t>
                  </w:r>
                </w:p>
              </w:tc>
              <w:tc>
                <w:tcPr>
                  <w:tcW w:w="651" w:type="pct"/>
                  <w:vMerge w:val="restart"/>
                  <w:noWrap w:val="0"/>
                  <w:vAlign w:val="center"/>
                </w:tcPr>
                <w:p w14:paraId="64C21929">
                  <w:pPr>
                    <w:spacing w:line="240" w:lineRule="auto"/>
                    <w:jc w:val="center"/>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4.1</w:t>
                  </w:r>
                </w:p>
              </w:tc>
              <w:tc>
                <w:tcPr>
                  <w:tcW w:w="1062" w:type="pct"/>
                  <w:vMerge w:val="restart"/>
                  <w:noWrap w:val="0"/>
                  <w:vAlign w:val="center"/>
                </w:tcPr>
                <w:p w14:paraId="7BD51FB8">
                  <w:pPr>
                    <w:spacing w:line="240" w:lineRule="auto"/>
                    <w:jc w:val="center"/>
                    <w:rPr>
                      <w:rFonts w:hint="default" w:eastAsia="宋体"/>
                      <w:color w:val="auto"/>
                      <w:highlight w:val="none"/>
                      <w:lang w:val="en-US" w:eastAsia="zh-CN"/>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硫酸钡板，约3.26mmPb</w:t>
                  </w:r>
                </w:p>
              </w:tc>
              <w:tc>
                <w:tcPr>
                  <w:tcW w:w="583" w:type="pct"/>
                  <w:noWrap w:val="0"/>
                  <w:vAlign w:val="center"/>
                </w:tcPr>
                <w:p w14:paraId="0BDA26E8">
                  <w:pPr>
                    <w:keepNext w:val="0"/>
                    <w:keepLines w:val="0"/>
                    <w:pageBreakBefore w:val="0"/>
                    <w:widowControl/>
                    <w:suppressLineNumbers w:val="0"/>
                    <w:kinsoku/>
                    <w:wordWrap/>
                    <w:overflowPunct/>
                    <w:topLinePunct w:val="0"/>
                    <w:bidi w:val="0"/>
                    <w:adjustRightInd/>
                    <w:snapToGrid/>
                    <w:spacing w:line="300" w:lineRule="exact"/>
                    <w:jc w:val="center"/>
                    <w:textAlignment w:val="center"/>
                    <w:rPr>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1.71E-08</w:t>
                  </w:r>
                </w:p>
              </w:tc>
              <w:tc>
                <w:tcPr>
                  <w:tcW w:w="654" w:type="pct"/>
                  <w:noWrap w:val="0"/>
                  <w:vAlign w:val="center"/>
                </w:tcPr>
                <w:p w14:paraId="3E75633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4.16E-04</w:t>
                  </w:r>
                </w:p>
              </w:tc>
            </w:tr>
            <w:tr w14:paraId="49B881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01" w:type="pct"/>
                  <w:vMerge w:val="continue"/>
                  <w:noWrap w:val="0"/>
                  <w:vAlign w:val="center"/>
                </w:tcPr>
                <w:p w14:paraId="605479DD">
                  <w:pPr>
                    <w:spacing w:line="240" w:lineRule="auto"/>
                    <w:jc w:val="center"/>
                    <w:rPr>
                      <w:color w:val="auto"/>
                      <w:spacing w:val="-6"/>
                      <w:kern w:val="0"/>
                      <w:sz w:val="21"/>
                      <w:szCs w:val="21"/>
                      <w:highlight w:val="none"/>
                    </w:rPr>
                  </w:pPr>
                </w:p>
              </w:tc>
              <w:tc>
                <w:tcPr>
                  <w:tcW w:w="360" w:type="pct"/>
                  <w:vMerge w:val="continue"/>
                  <w:noWrap w:val="0"/>
                  <w:vAlign w:val="center"/>
                </w:tcPr>
                <w:p w14:paraId="262371C4">
                  <w:pPr>
                    <w:spacing w:line="240" w:lineRule="auto"/>
                    <w:jc w:val="center"/>
                    <w:rPr>
                      <w:color w:val="auto"/>
                      <w:spacing w:val="-6"/>
                      <w:kern w:val="0"/>
                      <w:sz w:val="21"/>
                      <w:szCs w:val="21"/>
                      <w:highlight w:val="none"/>
                    </w:rPr>
                  </w:pPr>
                </w:p>
              </w:tc>
              <w:tc>
                <w:tcPr>
                  <w:tcW w:w="818" w:type="pct"/>
                  <w:vMerge w:val="continue"/>
                  <w:noWrap w:val="0"/>
                  <w:vAlign w:val="center"/>
                </w:tcPr>
                <w:p w14:paraId="2C46B985">
                  <w:pPr>
                    <w:spacing w:line="240" w:lineRule="auto"/>
                    <w:jc w:val="center"/>
                    <w:rPr>
                      <w:color w:val="auto"/>
                      <w:spacing w:val="-6"/>
                      <w:sz w:val="21"/>
                      <w:szCs w:val="21"/>
                      <w:highlight w:val="none"/>
                    </w:rPr>
                  </w:pPr>
                </w:p>
              </w:tc>
              <w:tc>
                <w:tcPr>
                  <w:tcW w:w="368" w:type="pct"/>
                  <w:noWrap w:val="0"/>
                  <w:vAlign w:val="center"/>
                </w:tcPr>
                <w:p w14:paraId="4F218B75">
                  <w:pPr>
                    <w:spacing w:line="240" w:lineRule="auto"/>
                    <w:jc w:val="center"/>
                    <w:rPr>
                      <w:rFonts w:hint="default" w:eastAsia="宋体"/>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影像</w:t>
                  </w:r>
                </w:p>
              </w:tc>
              <w:tc>
                <w:tcPr>
                  <w:tcW w:w="651" w:type="pct"/>
                  <w:vMerge w:val="continue"/>
                  <w:noWrap w:val="0"/>
                  <w:vAlign w:val="center"/>
                </w:tcPr>
                <w:p w14:paraId="440B0B95">
                  <w:pPr>
                    <w:spacing w:line="240" w:lineRule="auto"/>
                    <w:jc w:val="center"/>
                    <w:rPr>
                      <w:color w:val="auto"/>
                      <w:spacing w:val="-6"/>
                      <w:sz w:val="21"/>
                      <w:szCs w:val="21"/>
                      <w:highlight w:val="none"/>
                    </w:rPr>
                  </w:pPr>
                </w:p>
              </w:tc>
              <w:tc>
                <w:tcPr>
                  <w:tcW w:w="1062" w:type="pct"/>
                  <w:vMerge w:val="continue"/>
                  <w:noWrap w:val="0"/>
                  <w:vAlign w:val="center"/>
                </w:tcPr>
                <w:p w14:paraId="545160FA">
                  <w:pPr>
                    <w:widowControl/>
                    <w:spacing w:line="240" w:lineRule="auto"/>
                    <w:jc w:val="center"/>
                    <w:textAlignment w:val="center"/>
                    <w:rPr>
                      <w:color w:val="auto"/>
                      <w:spacing w:val="-6"/>
                      <w:kern w:val="0"/>
                      <w:sz w:val="21"/>
                      <w:szCs w:val="21"/>
                      <w:highlight w:val="none"/>
                      <w:lang w:bidi="ar"/>
                    </w:rPr>
                  </w:pPr>
                </w:p>
              </w:tc>
              <w:tc>
                <w:tcPr>
                  <w:tcW w:w="583" w:type="pct"/>
                  <w:noWrap w:val="0"/>
                  <w:vAlign w:val="center"/>
                </w:tcPr>
                <w:p w14:paraId="79ABFF27">
                  <w:pPr>
                    <w:keepNext w:val="0"/>
                    <w:keepLines w:val="0"/>
                    <w:pageBreakBefore w:val="0"/>
                    <w:widowControl/>
                    <w:suppressLineNumbers w:val="0"/>
                    <w:kinsoku/>
                    <w:wordWrap/>
                    <w:overflowPunct/>
                    <w:topLinePunct w:val="0"/>
                    <w:bidi w:val="0"/>
                    <w:adjustRightInd/>
                    <w:snapToGrid/>
                    <w:spacing w:line="300" w:lineRule="exact"/>
                    <w:jc w:val="center"/>
                    <w:textAlignment w:val="center"/>
                    <w:rPr>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8.62E-07</w:t>
                  </w:r>
                </w:p>
              </w:tc>
              <w:tc>
                <w:tcPr>
                  <w:tcW w:w="654" w:type="pct"/>
                  <w:noWrap w:val="0"/>
                  <w:vAlign w:val="center"/>
                </w:tcPr>
                <w:p w14:paraId="74D070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1.18E+00</w:t>
                  </w:r>
                </w:p>
              </w:tc>
            </w:tr>
            <w:tr w14:paraId="618FF5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01" w:type="pct"/>
                  <w:vMerge w:val="restart"/>
                  <w:noWrap w:val="0"/>
                  <w:vAlign w:val="center"/>
                </w:tcPr>
                <w:p w14:paraId="22C67906">
                  <w:pPr>
                    <w:spacing w:line="240" w:lineRule="auto"/>
                    <w:jc w:val="center"/>
                    <w:rPr>
                      <w:color w:val="auto"/>
                      <w:spacing w:val="-6"/>
                      <w:kern w:val="0"/>
                      <w:sz w:val="21"/>
                      <w:szCs w:val="21"/>
                      <w:highlight w:val="none"/>
                    </w:rPr>
                  </w:pPr>
                  <w:r>
                    <w:rPr>
                      <w:rFonts w:hint="eastAsia"/>
                      <w:bCs/>
                      <w:sz w:val="21"/>
                      <w:szCs w:val="21"/>
                      <w:lang w:val="en-US" w:eastAsia="zh-CN"/>
                    </w:rPr>
                    <w:t>DSA手术室OR09</w:t>
                  </w:r>
                </w:p>
              </w:tc>
              <w:tc>
                <w:tcPr>
                  <w:tcW w:w="360" w:type="pct"/>
                  <w:vMerge w:val="restart"/>
                  <w:noWrap w:val="0"/>
                  <w:vAlign w:val="center"/>
                </w:tcPr>
                <w:p w14:paraId="26AB5719">
                  <w:pPr>
                    <w:spacing w:line="240" w:lineRule="auto"/>
                    <w:jc w:val="center"/>
                    <w:rPr>
                      <w:rFonts w:hint="default" w:eastAsia="宋体"/>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20</w:t>
                  </w:r>
                </w:p>
              </w:tc>
              <w:tc>
                <w:tcPr>
                  <w:tcW w:w="818" w:type="pct"/>
                  <w:vMerge w:val="restart"/>
                  <w:noWrap w:val="0"/>
                  <w:vAlign w:val="center"/>
                </w:tcPr>
                <w:p w14:paraId="1E0104FF">
                  <w:pPr>
                    <w:spacing w:line="240" w:lineRule="auto"/>
                    <w:jc w:val="center"/>
                    <w:rPr>
                      <w:color w:val="auto"/>
                      <w:spacing w:val="-6"/>
                      <w:sz w:val="21"/>
                      <w:szCs w:val="21"/>
                      <w:highlight w:val="none"/>
                    </w:rPr>
                  </w:pPr>
                  <w:r>
                    <w:rPr>
                      <w:rFonts w:hint="eastAsia" w:cs="Times New Roman"/>
                      <w:color w:val="auto"/>
                      <w:spacing w:val="0"/>
                      <w:kern w:val="0"/>
                      <w:sz w:val="21"/>
                      <w:szCs w:val="21"/>
                      <w:highlight w:val="none"/>
                      <w:lang w:val="en-US" w:eastAsia="zh-CN" w:bidi="ar-SA"/>
                    </w:rPr>
                    <w:t>机房顶板上方距地面30cm（屋顶）</w:t>
                  </w:r>
                </w:p>
              </w:tc>
              <w:tc>
                <w:tcPr>
                  <w:tcW w:w="368" w:type="pct"/>
                  <w:shd w:val="clear" w:color="auto" w:fill="auto"/>
                  <w:noWrap w:val="0"/>
                  <w:vAlign w:val="center"/>
                </w:tcPr>
                <w:p w14:paraId="774434E9">
                  <w:pPr>
                    <w:spacing w:line="240" w:lineRule="auto"/>
                    <w:jc w:val="center"/>
                    <w:rPr>
                      <w:rFonts w:hint="eastAsia" w:ascii="Times New Roman" w:hAnsi="Times New Roman" w:eastAsia="宋体" w:cs="Times New Roman"/>
                      <w:color w:val="auto"/>
                      <w:spacing w:val="-6"/>
                      <w:sz w:val="21"/>
                      <w:szCs w:val="21"/>
                      <w:highlight w:val="none"/>
                      <w:lang w:val="en-US" w:eastAsia="zh-CN" w:bidi="ar-SA"/>
                    </w:rPr>
                  </w:pPr>
                  <w:r>
                    <w:rPr>
                      <w:rFonts w:hint="eastAsia"/>
                      <w:color w:val="auto"/>
                      <w:spacing w:val="-6"/>
                      <w:kern w:val="0"/>
                      <w:sz w:val="21"/>
                      <w:szCs w:val="21"/>
                      <w:highlight w:val="none"/>
                      <w:lang w:val="en-US" w:eastAsia="zh-CN"/>
                    </w:rPr>
                    <w:t>介入</w:t>
                  </w:r>
                </w:p>
              </w:tc>
              <w:tc>
                <w:tcPr>
                  <w:tcW w:w="651" w:type="pct"/>
                  <w:vMerge w:val="restart"/>
                  <w:noWrap w:val="0"/>
                  <w:vAlign w:val="center"/>
                </w:tcPr>
                <w:p w14:paraId="1B7D64C3">
                  <w:pPr>
                    <w:spacing w:line="240" w:lineRule="auto"/>
                    <w:jc w:val="center"/>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4.1</w:t>
                  </w:r>
                </w:p>
              </w:tc>
              <w:tc>
                <w:tcPr>
                  <w:tcW w:w="1062" w:type="pct"/>
                  <w:vMerge w:val="restart"/>
                  <w:noWrap w:val="0"/>
                  <w:vAlign w:val="center"/>
                </w:tcPr>
                <w:p w14:paraId="775DEBCD">
                  <w:pPr>
                    <w:widowControl/>
                    <w:spacing w:line="240" w:lineRule="auto"/>
                    <w:jc w:val="center"/>
                    <w:textAlignment w:val="center"/>
                    <w:rPr>
                      <w:color w:val="auto"/>
                      <w:spacing w:val="-6"/>
                      <w:kern w:val="0"/>
                      <w:sz w:val="21"/>
                      <w:szCs w:val="21"/>
                      <w:highlight w:val="none"/>
                      <w:lang w:bidi="ar"/>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硫酸钡板，约3.06mmPb</w:t>
                  </w:r>
                </w:p>
              </w:tc>
              <w:tc>
                <w:tcPr>
                  <w:tcW w:w="583" w:type="pct"/>
                  <w:noWrap w:val="0"/>
                  <w:vAlign w:val="center"/>
                </w:tcPr>
                <w:p w14:paraId="33050D9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4.35E-08</w:t>
                  </w:r>
                </w:p>
              </w:tc>
              <w:tc>
                <w:tcPr>
                  <w:tcW w:w="654" w:type="pct"/>
                  <w:noWrap w:val="0"/>
                  <w:vAlign w:val="center"/>
                </w:tcPr>
                <w:p w14:paraId="4B11E5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1.06E-03</w:t>
                  </w:r>
                </w:p>
              </w:tc>
            </w:tr>
            <w:tr w14:paraId="484973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01" w:type="pct"/>
                  <w:vMerge w:val="continue"/>
                  <w:noWrap w:val="0"/>
                  <w:vAlign w:val="center"/>
                </w:tcPr>
                <w:p w14:paraId="7C3C082E">
                  <w:pPr>
                    <w:spacing w:line="240" w:lineRule="auto"/>
                    <w:jc w:val="center"/>
                    <w:rPr>
                      <w:color w:val="auto"/>
                      <w:spacing w:val="-6"/>
                      <w:kern w:val="0"/>
                      <w:sz w:val="21"/>
                      <w:szCs w:val="21"/>
                      <w:highlight w:val="none"/>
                    </w:rPr>
                  </w:pPr>
                </w:p>
              </w:tc>
              <w:tc>
                <w:tcPr>
                  <w:tcW w:w="360" w:type="pct"/>
                  <w:vMerge w:val="continue"/>
                  <w:noWrap w:val="0"/>
                  <w:vAlign w:val="center"/>
                </w:tcPr>
                <w:p w14:paraId="4CF7D64F">
                  <w:pPr>
                    <w:spacing w:line="240" w:lineRule="auto"/>
                    <w:jc w:val="center"/>
                    <w:rPr>
                      <w:color w:val="auto"/>
                      <w:spacing w:val="-6"/>
                      <w:kern w:val="0"/>
                      <w:sz w:val="21"/>
                      <w:szCs w:val="21"/>
                      <w:highlight w:val="none"/>
                    </w:rPr>
                  </w:pPr>
                </w:p>
              </w:tc>
              <w:tc>
                <w:tcPr>
                  <w:tcW w:w="818" w:type="pct"/>
                  <w:vMerge w:val="continue"/>
                  <w:noWrap w:val="0"/>
                  <w:vAlign w:val="center"/>
                </w:tcPr>
                <w:p w14:paraId="529FB6B7">
                  <w:pPr>
                    <w:spacing w:line="240" w:lineRule="auto"/>
                    <w:jc w:val="center"/>
                    <w:rPr>
                      <w:color w:val="auto"/>
                      <w:spacing w:val="-6"/>
                      <w:sz w:val="21"/>
                      <w:szCs w:val="21"/>
                      <w:highlight w:val="none"/>
                    </w:rPr>
                  </w:pPr>
                </w:p>
              </w:tc>
              <w:tc>
                <w:tcPr>
                  <w:tcW w:w="368" w:type="pct"/>
                  <w:shd w:val="clear" w:color="auto" w:fill="auto"/>
                  <w:noWrap w:val="0"/>
                  <w:vAlign w:val="center"/>
                </w:tcPr>
                <w:p w14:paraId="6D3AE79D">
                  <w:pPr>
                    <w:spacing w:line="240" w:lineRule="auto"/>
                    <w:jc w:val="center"/>
                    <w:rPr>
                      <w:rFonts w:hint="eastAsia" w:ascii="Times New Roman" w:hAnsi="Times New Roman" w:eastAsia="宋体" w:cs="Times New Roman"/>
                      <w:color w:val="auto"/>
                      <w:spacing w:val="-6"/>
                      <w:kern w:val="0"/>
                      <w:sz w:val="21"/>
                      <w:szCs w:val="21"/>
                      <w:highlight w:val="none"/>
                      <w:lang w:val="en-US" w:eastAsia="zh-CN" w:bidi="ar-SA"/>
                    </w:rPr>
                  </w:pPr>
                  <w:r>
                    <w:rPr>
                      <w:rFonts w:hint="eastAsia"/>
                      <w:color w:val="auto"/>
                      <w:spacing w:val="-6"/>
                      <w:kern w:val="0"/>
                      <w:sz w:val="21"/>
                      <w:szCs w:val="21"/>
                      <w:highlight w:val="none"/>
                      <w:lang w:val="en-US" w:eastAsia="zh-CN"/>
                    </w:rPr>
                    <w:t>影像</w:t>
                  </w:r>
                </w:p>
              </w:tc>
              <w:tc>
                <w:tcPr>
                  <w:tcW w:w="651" w:type="pct"/>
                  <w:vMerge w:val="continue"/>
                  <w:noWrap w:val="0"/>
                  <w:vAlign w:val="center"/>
                </w:tcPr>
                <w:p w14:paraId="064710DF">
                  <w:pPr>
                    <w:spacing w:line="240" w:lineRule="auto"/>
                    <w:jc w:val="center"/>
                    <w:rPr>
                      <w:color w:val="auto"/>
                      <w:spacing w:val="-6"/>
                      <w:sz w:val="21"/>
                      <w:szCs w:val="21"/>
                      <w:highlight w:val="none"/>
                    </w:rPr>
                  </w:pPr>
                </w:p>
              </w:tc>
              <w:tc>
                <w:tcPr>
                  <w:tcW w:w="1062" w:type="pct"/>
                  <w:vMerge w:val="continue"/>
                  <w:noWrap w:val="0"/>
                  <w:vAlign w:val="center"/>
                </w:tcPr>
                <w:p w14:paraId="43CD7B80">
                  <w:pPr>
                    <w:widowControl/>
                    <w:spacing w:line="240" w:lineRule="auto"/>
                    <w:jc w:val="center"/>
                    <w:textAlignment w:val="center"/>
                    <w:rPr>
                      <w:color w:val="auto"/>
                      <w:spacing w:val="-6"/>
                      <w:kern w:val="0"/>
                      <w:sz w:val="21"/>
                      <w:szCs w:val="21"/>
                      <w:highlight w:val="none"/>
                      <w:lang w:bidi="ar"/>
                    </w:rPr>
                  </w:pPr>
                </w:p>
              </w:tc>
              <w:tc>
                <w:tcPr>
                  <w:tcW w:w="583" w:type="pct"/>
                  <w:noWrap w:val="0"/>
                  <w:vAlign w:val="center"/>
                </w:tcPr>
                <w:p w14:paraId="2CCFF62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1.74E-06</w:t>
                  </w:r>
                </w:p>
              </w:tc>
              <w:tc>
                <w:tcPr>
                  <w:tcW w:w="654" w:type="pct"/>
                  <w:noWrap w:val="0"/>
                  <w:vAlign w:val="center"/>
                </w:tcPr>
                <w:p w14:paraId="18244A3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2.07E+00</w:t>
                  </w:r>
                </w:p>
              </w:tc>
            </w:tr>
            <w:tr w14:paraId="0FD9D9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01" w:type="pct"/>
                  <w:vMerge w:val="restart"/>
                  <w:noWrap w:val="0"/>
                  <w:vAlign w:val="center"/>
                </w:tcPr>
                <w:p w14:paraId="751E41B2">
                  <w:pPr>
                    <w:spacing w:line="240" w:lineRule="auto"/>
                    <w:jc w:val="center"/>
                    <w:rPr>
                      <w:rFonts w:hint="default"/>
                      <w:color w:val="auto"/>
                      <w:spacing w:val="-6"/>
                      <w:kern w:val="0"/>
                      <w:sz w:val="21"/>
                      <w:szCs w:val="21"/>
                      <w:highlight w:val="none"/>
                      <w:lang w:val="en-US"/>
                    </w:rPr>
                  </w:pPr>
                  <w:r>
                    <w:rPr>
                      <w:rFonts w:hint="eastAsia"/>
                      <w:bCs/>
                      <w:sz w:val="21"/>
                      <w:szCs w:val="21"/>
                      <w:lang w:val="en-US" w:eastAsia="zh-CN"/>
                    </w:rPr>
                    <w:t>DSA手术室OR10</w:t>
                  </w:r>
                </w:p>
              </w:tc>
              <w:tc>
                <w:tcPr>
                  <w:tcW w:w="360" w:type="pct"/>
                  <w:vMerge w:val="restart"/>
                  <w:noWrap w:val="0"/>
                  <w:vAlign w:val="center"/>
                </w:tcPr>
                <w:p w14:paraId="0325BCEE">
                  <w:pPr>
                    <w:spacing w:line="240" w:lineRule="auto"/>
                    <w:jc w:val="center"/>
                    <w:rPr>
                      <w:rFonts w:hint="default" w:eastAsia="宋体"/>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30</w:t>
                  </w:r>
                </w:p>
              </w:tc>
              <w:tc>
                <w:tcPr>
                  <w:tcW w:w="818" w:type="pct"/>
                  <w:vMerge w:val="restart"/>
                  <w:noWrap w:val="0"/>
                  <w:vAlign w:val="center"/>
                </w:tcPr>
                <w:p w14:paraId="4E4DDD84">
                  <w:pPr>
                    <w:spacing w:line="240" w:lineRule="auto"/>
                    <w:jc w:val="center"/>
                    <w:rPr>
                      <w:color w:val="auto"/>
                      <w:spacing w:val="-6"/>
                      <w:sz w:val="21"/>
                      <w:szCs w:val="21"/>
                      <w:highlight w:val="none"/>
                    </w:rPr>
                  </w:pPr>
                  <w:r>
                    <w:rPr>
                      <w:rFonts w:hint="eastAsia" w:cs="Times New Roman"/>
                      <w:color w:val="auto"/>
                      <w:spacing w:val="0"/>
                      <w:kern w:val="0"/>
                      <w:sz w:val="21"/>
                      <w:szCs w:val="21"/>
                      <w:highlight w:val="none"/>
                      <w:lang w:val="en-US" w:eastAsia="zh-CN" w:bidi="ar-SA"/>
                    </w:rPr>
                    <w:t>机房顶板上方距地面30cm（净化机房）</w:t>
                  </w:r>
                </w:p>
              </w:tc>
              <w:tc>
                <w:tcPr>
                  <w:tcW w:w="368" w:type="pct"/>
                  <w:noWrap w:val="0"/>
                  <w:vAlign w:val="center"/>
                </w:tcPr>
                <w:p w14:paraId="451BA096">
                  <w:pPr>
                    <w:spacing w:line="240" w:lineRule="auto"/>
                    <w:jc w:val="center"/>
                    <w:rPr>
                      <w:rFonts w:hint="eastAsia"/>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介入</w:t>
                  </w:r>
                </w:p>
              </w:tc>
              <w:tc>
                <w:tcPr>
                  <w:tcW w:w="651" w:type="pct"/>
                  <w:vMerge w:val="restart"/>
                  <w:noWrap w:val="0"/>
                  <w:vAlign w:val="center"/>
                </w:tcPr>
                <w:p w14:paraId="46D1EF42">
                  <w:pPr>
                    <w:spacing w:line="240" w:lineRule="auto"/>
                    <w:jc w:val="center"/>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4.1</w:t>
                  </w:r>
                </w:p>
              </w:tc>
              <w:tc>
                <w:tcPr>
                  <w:tcW w:w="1062" w:type="pct"/>
                  <w:vMerge w:val="restart"/>
                  <w:noWrap w:val="0"/>
                  <w:vAlign w:val="center"/>
                </w:tcPr>
                <w:p w14:paraId="616A15A7">
                  <w:pPr>
                    <w:widowControl/>
                    <w:spacing w:line="240" w:lineRule="auto"/>
                    <w:jc w:val="center"/>
                    <w:textAlignment w:val="center"/>
                    <w:rPr>
                      <w:color w:val="auto"/>
                      <w:spacing w:val="-6"/>
                      <w:kern w:val="0"/>
                      <w:sz w:val="21"/>
                      <w:szCs w:val="21"/>
                      <w:highlight w:val="none"/>
                      <w:lang w:bidi="ar"/>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硫酸钡板，约3.06mmPb</w:t>
                  </w:r>
                </w:p>
              </w:tc>
              <w:tc>
                <w:tcPr>
                  <w:tcW w:w="583" w:type="pct"/>
                  <w:noWrap w:val="0"/>
                  <w:vAlign w:val="center"/>
                </w:tcPr>
                <w:p w14:paraId="2865E67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4.35E-08</w:t>
                  </w:r>
                </w:p>
              </w:tc>
              <w:tc>
                <w:tcPr>
                  <w:tcW w:w="654" w:type="pct"/>
                  <w:noWrap w:val="0"/>
                  <w:vAlign w:val="center"/>
                </w:tcPr>
                <w:p w14:paraId="2333BB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1.06E-03</w:t>
                  </w:r>
                </w:p>
              </w:tc>
            </w:tr>
            <w:tr w14:paraId="789B00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01" w:type="pct"/>
                  <w:vMerge w:val="continue"/>
                  <w:noWrap w:val="0"/>
                  <w:vAlign w:val="center"/>
                </w:tcPr>
                <w:p w14:paraId="14DA046C">
                  <w:pPr>
                    <w:spacing w:line="240" w:lineRule="auto"/>
                    <w:jc w:val="center"/>
                    <w:rPr>
                      <w:color w:val="auto"/>
                      <w:spacing w:val="-6"/>
                      <w:kern w:val="0"/>
                      <w:sz w:val="21"/>
                      <w:szCs w:val="21"/>
                      <w:highlight w:val="none"/>
                    </w:rPr>
                  </w:pPr>
                </w:p>
              </w:tc>
              <w:tc>
                <w:tcPr>
                  <w:tcW w:w="360" w:type="pct"/>
                  <w:vMerge w:val="continue"/>
                  <w:noWrap w:val="0"/>
                  <w:vAlign w:val="center"/>
                </w:tcPr>
                <w:p w14:paraId="0E9BE42A">
                  <w:pPr>
                    <w:spacing w:line="240" w:lineRule="auto"/>
                    <w:jc w:val="center"/>
                    <w:rPr>
                      <w:color w:val="auto"/>
                      <w:spacing w:val="-6"/>
                      <w:kern w:val="0"/>
                      <w:sz w:val="21"/>
                      <w:szCs w:val="21"/>
                      <w:highlight w:val="none"/>
                    </w:rPr>
                  </w:pPr>
                </w:p>
              </w:tc>
              <w:tc>
                <w:tcPr>
                  <w:tcW w:w="818" w:type="pct"/>
                  <w:vMerge w:val="continue"/>
                  <w:noWrap w:val="0"/>
                  <w:vAlign w:val="center"/>
                </w:tcPr>
                <w:p w14:paraId="03BC515D">
                  <w:pPr>
                    <w:spacing w:line="240" w:lineRule="auto"/>
                    <w:jc w:val="center"/>
                    <w:rPr>
                      <w:color w:val="auto"/>
                      <w:spacing w:val="-6"/>
                      <w:sz w:val="21"/>
                      <w:szCs w:val="21"/>
                      <w:highlight w:val="none"/>
                    </w:rPr>
                  </w:pPr>
                </w:p>
              </w:tc>
              <w:tc>
                <w:tcPr>
                  <w:tcW w:w="368" w:type="pct"/>
                  <w:noWrap w:val="0"/>
                  <w:vAlign w:val="center"/>
                </w:tcPr>
                <w:p w14:paraId="01A6D155">
                  <w:pPr>
                    <w:spacing w:line="240" w:lineRule="auto"/>
                    <w:jc w:val="center"/>
                    <w:rPr>
                      <w:rFonts w:hint="eastAsia"/>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影像</w:t>
                  </w:r>
                </w:p>
              </w:tc>
              <w:tc>
                <w:tcPr>
                  <w:tcW w:w="651" w:type="pct"/>
                  <w:vMerge w:val="continue"/>
                  <w:noWrap w:val="0"/>
                  <w:vAlign w:val="center"/>
                </w:tcPr>
                <w:p w14:paraId="4482E7E5">
                  <w:pPr>
                    <w:spacing w:line="240" w:lineRule="auto"/>
                    <w:jc w:val="center"/>
                    <w:rPr>
                      <w:color w:val="auto"/>
                      <w:spacing w:val="-6"/>
                      <w:sz w:val="21"/>
                      <w:szCs w:val="21"/>
                      <w:highlight w:val="none"/>
                    </w:rPr>
                  </w:pPr>
                </w:p>
              </w:tc>
              <w:tc>
                <w:tcPr>
                  <w:tcW w:w="1062" w:type="pct"/>
                  <w:vMerge w:val="continue"/>
                  <w:noWrap w:val="0"/>
                  <w:vAlign w:val="center"/>
                </w:tcPr>
                <w:p w14:paraId="62EBBF83">
                  <w:pPr>
                    <w:widowControl/>
                    <w:spacing w:line="240" w:lineRule="auto"/>
                    <w:jc w:val="center"/>
                    <w:textAlignment w:val="center"/>
                    <w:rPr>
                      <w:color w:val="auto"/>
                      <w:spacing w:val="-6"/>
                      <w:kern w:val="0"/>
                      <w:sz w:val="21"/>
                      <w:szCs w:val="21"/>
                      <w:highlight w:val="none"/>
                      <w:lang w:bidi="ar"/>
                    </w:rPr>
                  </w:pPr>
                </w:p>
              </w:tc>
              <w:tc>
                <w:tcPr>
                  <w:tcW w:w="583" w:type="pct"/>
                  <w:noWrap w:val="0"/>
                  <w:vAlign w:val="center"/>
                </w:tcPr>
                <w:p w14:paraId="19F069F3">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1.74E-06</w:t>
                  </w:r>
                </w:p>
              </w:tc>
              <w:tc>
                <w:tcPr>
                  <w:tcW w:w="654" w:type="pct"/>
                  <w:noWrap w:val="0"/>
                  <w:vAlign w:val="center"/>
                </w:tcPr>
                <w:p w14:paraId="58176C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2.07E+00</w:t>
                  </w:r>
                </w:p>
              </w:tc>
            </w:tr>
            <w:tr w14:paraId="046FEE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01" w:type="pct"/>
                  <w:vMerge w:val="restart"/>
                  <w:noWrap w:val="0"/>
                  <w:vAlign w:val="center"/>
                </w:tcPr>
                <w:p w14:paraId="1711FE09">
                  <w:pPr>
                    <w:spacing w:line="240" w:lineRule="auto"/>
                    <w:jc w:val="center"/>
                    <w:rPr>
                      <w:color w:val="auto"/>
                      <w:spacing w:val="-6"/>
                      <w:kern w:val="0"/>
                      <w:sz w:val="21"/>
                      <w:szCs w:val="21"/>
                      <w:highlight w:val="none"/>
                    </w:rPr>
                  </w:pPr>
                  <w:r>
                    <w:rPr>
                      <w:rFonts w:hint="eastAsia"/>
                      <w:bCs/>
                      <w:sz w:val="21"/>
                      <w:szCs w:val="21"/>
                      <w:lang w:val="en-US" w:eastAsia="zh-CN"/>
                    </w:rPr>
                    <w:t>DSA手术室OR11</w:t>
                  </w:r>
                </w:p>
              </w:tc>
              <w:tc>
                <w:tcPr>
                  <w:tcW w:w="360" w:type="pct"/>
                  <w:vMerge w:val="restart"/>
                  <w:noWrap w:val="0"/>
                  <w:vAlign w:val="center"/>
                </w:tcPr>
                <w:p w14:paraId="5F9A8F29">
                  <w:pPr>
                    <w:spacing w:line="240" w:lineRule="auto"/>
                    <w:jc w:val="center"/>
                    <w:rPr>
                      <w:rFonts w:hint="default" w:eastAsia="宋体"/>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40</w:t>
                  </w:r>
                </w:p>
              </w:tc>
              <w:tc>
                <w:tcPr>
                  <w:tcW w:w="818" w:type="pct"/>
                  <w:vMerge w:val="restart"/>
                  <w:noWrap w:val="0"/>
                  <w:vAlign w:val="center"/>
                </w:tcPr>
                <w:p w14:paraId="503D2E85">
                  <w:pPr>
                    <w:spacing w:line="240" w:lineRule="auto"/>
                    <w:jc w:val="center"/>
                    <w:rPr>
                      <w:color w:val="auto"/>
                      <w:spacing w:val="-6"/>
                      <w:sz w:val="21"/>
                      <w:szCs w:val="21"/>
                      <w:highlight w:val="none"/>
                    </w:rPr>
                  </w:pPr>
                  <w:r>
                    <w:rPr>
                      <w:rFonts w:hint="eastAsia" w:cs="Times New Roman"/>
                      <w:color w:val="auto"/>
                      <w:spacing w:val="0"/>
                      <w:kern w:val="0"/>
                      <w:sz w:val="21"/>
                      <w:szCs w:val="21"/>
                      <w:highlight w:val="none"/>
                      <w:lang w:val="en-US" w:eastAsia="zh-CN" w:bidi="ar-SA"/>
                    </w:rPr>
                    <w:t>机房顶板上方距地面30cm（净化机房）</w:t>
                  </w:r>
                </w:p>
              </w:tc>
              <w:tc>
                <w:tcPr>
                  <w:tcW w:w="368" w:type="pct"/>
                  <w:shd w:val="clear" w:color="auto" w:fill="auto"/>
                  <w:noWrap w:val="0"/>
                  <w:vAlign w:val="center"/>
                </w:tcPr>
                <w:p w14:paraId="6674A202">
                  <w:pPr>
                    <w:spacing w:line="240" w:lineRule="auto"/>
                    <w:jc w:val="center"/>
                    <w:rPr>
                      <w:rFonts w:hint="eastAsia" w:ascii="Times New Roman" w:hAnsi="Times New Roman" w:eastAsia="宋体" w:cs="Times New Roman"/>
                      <w:color w:val="auto"/>
                      <w:spacing w:val="-6"/>
                      <w:kern w:val="0"/>
                      <w:sz w:val="21"/>
                      <w:szCs w:val="21"/>
                      <w:highlight w:val="none"/>
                      <w:lang w:val="en-US" w:eastAsia="zh-CN" w:bidi="ar-SA"/>
                    </w:rPr>
                  </w:pPr>
                  <w:r>
                    <w:rPr>
                      <w:rFonts w:hint="eastAsia"/>
                      <w:color w:val="auto"/>
                      <w:spacing w:val="-6"/>
                      <w:kern w:val="0"/>
                      <w:sz w:val="21"/>
                      <w:szCs w:val="21"/>
                      <w:highlight w:val="none"/>
                      <w:lang w:val="en-US" w:eastAsia="zh-CN"/>
                    </w:rPr>
                    <w:t>介入</w:t>
                  </w:r>
                </w:p>
              </w:tc>
              <w:tc>
                <w:tcPr>
                  <w:tcW w:w="651" w:type="pct"/>
                  <w:vMerge w:val="restart"/>
                  <w:noWrap w:val="0"/>
                  <w:vAlign w:val="center"/>
                </w:tcPr>
                <w:p w14:paraId="282C78DF">
                  <w:pPr>
                    <w:spacing w:line="240" w:lineRule="auto"/>
                    <w:jc w:val="center"/>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4.1</w:t>
                  </w:r>
                </w:p>
              </w:tc>
              <w:tc>
                <w:tcPr>
                  <w:tcW w:w="1062" w:type="pct"/>
                  <w:vMerge w:val="restart"/>
                  <w:noWrap w:val="0"/>
                  <w:vAlign w:val="center"/>
                </w:tcPr>
                <w:p w14:paraId="029F016B">
                  <w:pPr>
                    <w:widowControl/>
                    <w:spacing w:line="240" w:lineRule="auto"/>
                    <w:jc w:val="center"/>
                    <w:textAlignment w:val="center"/>
                    <w:rPr>
                      <w:color w:val="auto"/>
                      <w:spacing w:val="-6"/>
                      <w:kern w:val="0"/>
                      <w:sz w:val="21"/>
                      <w:szCs w:val="21"/>
                      <w:highlight w:val="none"/>
                      <w:lang w:bidi="ar"/>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硫酸钡板，约3.06mmPb</w:t>
                  </w:r>
                </w:p>
              </w:tc>
              <w:tc>
                <w:tcPr>
                  <w:tcW w:w="583" w:type="pct"/>
                  <w:noWrap w:val="0"/>
                  <w:vAlign w:val="center"/>
                </w:tcPr>
                <w:p w14:paraId="7DA7543B">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4.35E-08</w:t>
                  </w:r>
                </w:p>
              </w:tc>
              <w:tc>
                <w:tcPr>
                  <w:tcW w:w="654" w:type="pct"/>
                  <w:noWrap w:val="0"/>
                  <w:vAlign w:val="center"/>
                </w:tcPr>
                <w:p w14:paraId="10B363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1.06E-03</w:t>
                  </w:r>
                </w:p>
              </w:tc>
            </w:tr>
            <w:tr w14:paraId="410FB3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01" w:type="pct"/>
                  <w:vMerge w:val="continue"/>
                  <w:noWrap w:val="0"/>
                  <w:vAlign w:val="center"/>
                </w:tcPr>
                <w:p w14:paraId="38387E3B">
                  <w:pPr>
                    <w:spacing w:line="240" w:lineRule="auto"/>
                    <w:jc w:val="center"/>
                    <w:rPr>
                      <w:color w:val="auto"/>
                      <w:spacing w:val="-6"/>
                      <w:kern w:val="0"/>
                      <w:sz w:val="21"/>
                      <w:szCs w:val="21"/>
                      <w:highlight w:val="none"/>
                    </w:rPr>
                  </w:pPr>
                </w:p>
              </w:tc>
              <w:tc>
                <w:tcPr>
                  <w:tcW w:w="360" w:type="pct"/>
                  <w:vMerge w:val="continue"/>
                  <w:noWrap w:val="0"/>
                  <w:vAlign w:val="center"/>
                </w:tcPr>
                <w:p w14:paraId="4C824453">
                  <w:pPr>
                    <w:spacing w:line="240" w:lineRule="auto"/>
                    <w:jc w:val="center"/>
                    <w:rPr>
                      <w:color w:val="auto"/>
                      <w:spacing w:val="-6"/>
                      <w:kern w:val="0"/>
                      <w:sz w:val="21"/>
                      <w:szCs w:val="21"/>
                      <w:highlight w:val="none"/>
                    </w:rPr>
                  </w:pPr>
                </w:p>
              </w:tc>
              <w:tc>
                <w:tcPr>
                  <w:tcW w:w="818" w:type="pct"/>
                  <w:vMerge w:val="continue"/>
                  <w:noWrap w:val="0"/>
                  <w:vAlign w:val="center"/>
                </w:tcPr>
                <w:p w14:paraId="23ED9FB8">
                  <w:pPr>
                    <w:spacing w:line="240" w:lineRule="auto"/>
                    <w:jc w:val="center"/>
                    <w:rPr>
                      <w:color w:val="auto"/>
                      <w:spacing w:val="-6"/>
                      <w:sz w:val="21"/>
                      <w:szCs w:val="21"/>
                      <w:highlight w:val="none"/>
                    </w:rPr>
                  </w:pPr>
                </w:p>
              </w:tc>
              <w:tc>
                <w:tcPr>
                  <w:tcW w:w="368" w:type="pct"/>
                  <w:shd w:val="clear" w:color="auto" w:fill="auto"/>
                  <w:noWrap w:val="0"/>
                  <w:vAlign w:val="center"/>
                </w:tcPr>
                <w:p w14:paraId="61AA4941">
                  <w:pPr>
                    <w:spacing w:line="240" w:lineRule="auto"/>
                    <w:jc w:val="center"/>
                    <w:rPr>
                      <w:rFonts w:hint="eastAsia" w:ascii="Times New Roman" w:hAnsi="Times New Roman" w:eastAsia="宋体" w:cs="Times New Roman"/>
                      <w:color w:val="auto"/>
                      <w:spacing w:val="-6"/>
                      <w:kern w:val="0"/>
                      <w:sz w:val="21"/>
                      <w:szCs w:val="21"/>
                      <w:highlight w:val="none"/>
                      <w:lang w:val="en-US" w:eastAsia="zh-CN" w:bidi="ar-SA"/>
                    </w:rPr>
                  </w:pPr>
                  <w:r>
                    <w:rPr>
                      <w:rFonts w:hint="eastAsia"/>
                      <w:color w:val="auto"/>
                      <w:spacing w:val="-6"/>
                      <w:kern w:val="0"/>
                      <w:sz w:val="21"/>
                      <w:szCs w:val="21"/>
                      <w:highlight w:val="none"/>
                      <w:lang w:val="en-US" w:eastAsia="zh-CN"/>
                    </w:rPr>
                    <w:t>影像</w:t>
                  </w:r>
                </w:p>
              </w:tc>
              <w:tc>
                <w:tcPr>
                  <w:tcW w:w="651" w:type="pct"/>
                  <w:vMerge w:val="continue"/>
                  <w:noWrap w:val="0"/>
                  <w:vAlign w:val="center"/>
                </w:tcPr>
                <w:p w14:paraId="4B010CB7">
                  <w:pPr>
                    <w:spacing w:line="240" w:lineRule="auto"/>
                    <w:jc w:val="center"/>
                    <w:rPr>
                      <w:color w:val="auto"/>
                      <w:spacing w:val="-6"/>
                      <w:sz w:val="21"/>
                      <w:szCs w:val="21"/>
                      <w:highlight w:val="none"/>
                    </w:rPr>
                  </w:pPr>
                </w:p>
              </w:tc>
              <w:tc>
                <w:tcPr>
                  <w:tcW w:w="1062" w:type="pct"/>
                  <w:vMerge w:val="continue"/>
                  <w:noWrap w:val="0"/>
                  <w:vAlign w:val="center"/>
                </w:tcPr>
                <w:p w14:paraId="3BC20ED5">
                  <w:pPr>
                    <w:widowControl/>
                    <w:spacing w:line="240" w:lineRule="auto"/>
                    <w:jc w:val="center"/>
                    <w:textAlignment w:val="center"/>
                    <w:rPr>
                      <w:color w:val="auto"/>
                      <w:spacing w:val="-6"/>
                      <w:kern w:val="0"/>
                      <w:sz w:val="21"/>
                      <w:szCs w:val="21"/>
                      <w:highlight w:val="none"/>
                      <w:lang w:bidi="ar"/>
                    </w:rPr>
                  </w:pPr>
                </w:p>
              </w:tc>
              <w:tc>
                <w:tcPr>
                  <w:tcW w:w="583" w:type="pct"/>
                  <w:noWrap w:val="0"/>
                  <w:vAlign w:val="center"/>
                </w:tcPr>
                <w:p w14:paraId="4C3A3D4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1.74E-06</w:t>
                  </w:r>
                </w:p>
              </w:tc>
              <w:tc>
                <w:tcPr>
                  <w:tcW w:w="654" w:type="pct"/>
                  <w:noWrap w:val="0"/>
                  <w:vAlign w:val="center"/>
                </w:tcPr>
                <w:p w14:paraId="00D7BD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2.07E+00</w:t>
                  </w:r>
                </w:p>
              </w:tc>
            </w:tr>
            <w:tr w14:paraId="6F3B0E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61" w:hRule="atLeast"/>
                <w:jc w:val="center"/>
              </w:trPr>
              <w:tc>
                <w:tcPr>
                  <w:tcW w:w="501" w:type="pct"/>
                  <w:vMerge w:val="restart"/>
                  <w:noWrap w:val="0"/>
                  <w:vAlign w:val="center"/>
                </w:tcPr>
                <w:p w14:paraId="1FCCE368">
                  <w:pPr>
                    <w:spacing w:line="240" w:lineRule="auto"/>
                    <w:jc w:val="center"/>
                    <w:rPr>
                      <w:rFonts w:hint="default" w:eastAsia="宋体"/>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ERCP室</w:t>
                  </w:r>
                </w:p>
              </w:tc>
              <w:tc>
                <w:tcPr>
                  <w:tcW w:w="360" w:type="pct"/>
                  <w:vMerge w:val="restart"/>
                  <w:noWrap w:val="0"/>
                  <w:vAlign w:val="center"/>
                </w:tcPr>
                <w:p w14:paraId="442D612D">
                  <w:pPr>
                    <w:spacing w:line="240" w:lineRule="auto"/>
                    <w:jc w:val="center"/>
                    <w:rPr>
                      <w:rFonts w:hint="default" w:eastAsia="宋体"/>
                      <w:color w:val="auto"/>
                      <w:spacing w:val="-6"/>
                      <w:kern w:val="0"/>
                      <w:sz w:val="21"/>
                      <w:szCs w:val="21"/>
                      <w:highlight w:val="none"/>
                      <w:lang w:val="en-US" w:eastAsia="zh-CN"/>
                    </w:rPr>
                  </w:pPr>
                  <w:r>
                    <w:rPr>
                      <w:rFonts w:hint="eastAsia"/>
                      <w:color w:val="auto"/>
                      <w:spacing w:val="-6"/>
                      <w:kern w:val="0"/>
                      <w:sz w:val="21"/>
                      <w:szCs w:val="21"/>
                      <w:highlight w:val="none"/>
                      <w:lang w:val="en-US" w:eastAsia="zh-CN"/>
                    </w:rPr>
                    <w:t>50</w:t>
                  </w:r>
                </w:p>
              </w:tc>
              <w:tc>
                <w:tcPr>
                  <w:tcW w:w="818" w:type="pct"/>
                  <w:vMerge w:val="restart"/>
                  <w:noWrap w:val="0"/>
                  <w:vAlign w:val="center"/>
                </w:tcPr>
                <w:p w14:paraId="48AD572C">
                  <w:pPr>
                    <w:spacing w:line="240" w:lineRule="auto"/>
                    <w:jc w:val="center"/>
                    <w:rPr>
                      <w:color w:val="auto"/>
                      <w:spacing w:val="-6"/>
                      <w:sz w:val="21"/>
                      <w:szCs w:val="21"/>
                      <w:highlight w:val="none"/>
                    </w:rPr>
                  </w:pPr>
                  <w:r>
                    <w:rPr>
                      <w:rFonts w:hint="eastAsia" w:cs="Times New Roman"/>
                      <w:color w:val="auto"/>
                      <w:spacing w:val="0"/>
                      <w:kern w:val="0"/>
                      <w:sz w:val="21"/>
                      <w:szCs w:val="21"/>
                      <w:highlight w:val="none"/>
                      <w:lang w:val="en-US" w:eastAsia="zh-CN" w:bidi="ar-SA"/>
                    </w:rPr>
                    <w:t>机房顶板上方距地面30cm（屋顶）</w:t>
                  </w:r>
                </w:p>
              </w:tc>
              <w:tc>
                <w:tcPr>
                  <w:tcW w:w="368" w:type="pct"/>
                  <w:shd w:val="clear" w:color="auto" w:fill="auto"/>
                  <w:noWrap w:val="0"/>
                  <w:vAlign w:val="center"/>
                </w:tcPr>
                <w:p w14:paraId="345973C8">
                  <w:pPr>
                    <w:spacing w:line="240" w:lineRule="auto"/>
                    <w:jc w:val="center"/>
                    <w:rPr>
                      <w:rFonts w:hint="eastAsia" w:ascii="Times New Roman" w:hAnsi="Times New Roman" w:eastAsia="宋体" w:cs="Times New Roman"/>
                      <w:color w:val="auto"/>
                      <w:spacing w:val="-6"/>
                      <w:kern w:val="0"/>
                      <w:sz w:val="21"/>
                      <w:szCs w:val="21"/>
                      <w:highlight w:val="none"/>
                      <w:lang w:val="en-US" w:eastAsia="zh-CN" w:bidi="ar-SA"/>
                    </w:rPr>
                  </w:pPr>
                  <w:r>
                    <w:rPr>
                      <w:rFonts w:hint="eastAsia"/>
                      <w:color w:val="auto"/>
                      <w:spacing w:val="-6"/>
                      <w:kern w:val="0"/>
                      <w:sz w:val="21"/>
                      <w:szCs w:val="21"/>
                      <w:highlight w:val="none"/>
                      <w:lang w:val="en-US" w:eastAsia="zh-CN"/>
                    </w:rPr>
                    <w:t>介入</w:t>
                  </w:r>
                </w:p>
              </w:tc>
              <w:tc>
                <w:tcPr>
                  <w:tcW w:w="651" w:type="pct"/>
                  <w:vMerge w:val="restart"/>
                  <w:noWrap w:val="0"/>
                  <w:vAlign w:val="center"/>
                </w:tcPr>
                <w:p w14:paraId="14FCB377">
                  <w:pPr>
                    <w:spacing w:line="240" w:lineRule="auto"/>
                    <w:jc w:val="center"/>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4.1</w:t>
                  </w:r>
                </w:p>
              </w:tc>
              <w:tc>
                <w:tcPr>
                  <w:tcW w:w="1062" w:type="pct"/>
                  <w:vMerge w:val="restart"/>
                  <w:noWrap w:val="0"/>
                  <w:vAlign w:val="center"/>
                </w:tcPr>
                <w:p w14:paraId="4AEE0E4E">
                  <w:pPr>
                    <w:widowControl/>
                    <w:spacing w:line="240" w:lineRule="auto"/>
                    <w:jc w:val="center"/>
                    <w:textAlignment w:val="center"/>
                    <w:rPr>
                      <w:color w:val="auto"/>
                      <w:spacing w:val="-6"/>
                      <w:kern w:val="0"/>
                      <w:sz w:val="21"/>
                      <w:szCs w:val="21"/>
                      <w:highlight w:val="none"/>
                      <w:lang w:bidi="ar"/>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w:t>
                  </w:r>
                  <w:r>
                    <w:rPr>
                      <w:color w:val="auto"/>
                      <w:sz w:val="21"/>
                      <w:szCs w:val="21"/>
                      <w:highlight w:val="none"/>
                    </w:rPr>
                    <w:t>mm</w:t>
                  </w:r>
                  <w:r>
                    <w:rPr>
                      <w:rFonts w:hint="eastAsia"/>
                      <w:color w:val="auto"/>
                      <w:sz w:val="21"/>
                      <w:szCs w:val="21"/>
                      <w:highlight w:val="none"/>
                    </w:rPr>
                    <w:t>铅当量</w:t>
                  </w:r>
                  <w:r>
                    <w:rPr>
                      <w:rFonts w:hint="eastAsia"/>
                      <w:color w:val="auto"/>
                      <w:sz w:val="21"/>
                      <w:szCs w:val="21"/>
                      <w:highlight w:val="none"/>
                      <w:lang w:val="en-US" w:eastAsia="zh-CN"/>
                    </w:rPr>
                    <w:t>硫酸钡板，约3.06mmPb</w:t>
                  </w:r>
                </w:p>
              </w:tc>
              <w:tc>
                <w:tcPr>
                  <w:tcW w:w="583" w:type="pct"/>
                  <w:noWrap w:val="0"/>
                  <w:vAlign w:val="center"/>
                </w:tcPr>
                <w:p w14:paraId="7842714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4.35E-08</w:t>
                  </w:r>
                </w:p>
              </w:tc>
              <w:tc>
                <w:tcPr>
                  <w:tcW w:w="654" w:type="pct"/>
                  <w:noWrap w:val="0"/>
                  <w:vAlign w:val="center"/>
                </w:tcPr>
                <w:p w14:paraId="71F3BF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1.06E-03</w:t>
                  </w:r>
                </w:p>
              </w:tc>
            </w:tr>
            <w:tr w14:paraId="30FC98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01" w:type="pct"/>
                  <w:vMerge w:val="continue"/>
                  <w:noWrap w:val="0"/>
                  <w:vAlign w:val="center"/>
                </w:tcPr>
                <w:p w14:paraId="788DCD05">
                  <w:pPr>
                    <w:spacing w:line="240" w:lineRule="auto"/>
                    <w:jc w:val="center"/>
                    <w:rPr>
                      <w:color w:val="auto"/>
                      <w:spacing w:val="-6"/>
                      <w:kern w:val="0"/>
                      <w:sz w:val="21"/>
                      <w:szCs w:val="21"/>
                      <w:highlight w:val="none"/>
                    </w:rPr>
                  </w:pPr>
                </w:p>
              </w:tc>
              <w:tc>
                <w:tcPr>
                  <w:tcW w:w="360" w:type="pct"/>
                  <w:vMerge w:val="continue"/>
                  <w:noWrap w:val="0"/>
                  <w:vAlign w:val="center"/>
                </w:tcPr>
                <w:p w14:paraId="682B034F">
                  <w:pPr>
                    <w:spacing w:line="240" w:lineRule="auto"/>
                    <w:jc w:val="center"/>
                    <w:rPr>
                      <w:color w:val="auto"/>
                      <w:spacing w:val="-6"/>
                      <w:kern w:val="0"/>
                      <w:sz w:val="21"/>
                      <w:szCs w:val="21"/>
                      <w:highlight w:val="none"/>
                    </w:rPr>
                  </w:pPr>
                </w:p>
              </w:tc>
              <w:tc>
                <w:tcPr>
                  <w:tcW w:w="818" w:type="pct"/>
                  <w:vMerge w:val="continue"/>
                  <w:noWrap w:val="0"/>
                  <w:vAlign w:val="center"/>
                </w:tcPr>
                <w:p w14:paraId="1607F101">
                  <w:pPr>
                    <w:spacing w:line="240" w:lineRule="auto"/>
                    <w:jc w:val="center"/>
                    <w:rPr>
                      <w:color w:val="auto"/>
                      <w:spacing w:val="-6"/>
                      <w:sz w:val="21"/>
                      <w:szCs w:val="21"/>
                      <w:highlight w:val="none"/>
                    </w:rPr>
                  </w:pPr>
                </w:p>
              </w:tc>
              <w:tc>
                <w:tcPr>
                  <w:tcW w:w="368" w:type="pct"/>
                  <w:shd w:val="clear" w:color="auto" w:fill="auto"/>
                  <w:noWrap w:val="0"/>
                  <w:vAlign w:val="center"/>
                </w:tcPr>
                <w:p w14:paraId="594517A5">
                  <w:pPr>
                    <w:spacing w:line="240" w:lineRule="auto"/>
                    <w:jc w:val="center"/>
                    <w:rPr>
                      <w:rFonts w:hint="eastAsia" w:ascii="Times New Roman" w:hAnsi="Times New Roman" w:eastAsia="宋体" w:cs="Times New Roman"/>
                      <w:color w:val="auto"/>
                      <w:spacing w:val="-6"/>
                      <w:kern w:val="0"/>
                      <w:sz w:val="21"/>
                      <w:szCs w:val="21"/>
                      <w:highlight w:val="none"/>
                      <w:lang w:val="en-US" w:eastAsia="zh-CN" w:bidi="ar-SA"/>
                    </w:rPr>
                  </w:pPr>
                  <w:r>
                    <w:rPr>
                      <w:rFonts w:hint="eastAsia"/>
                      <w:color w:val="auto"/>
                      <w:spacing w:val="-6"/>
                      <w:kern w:val="0"/>
                      <w:sz w:val="21"/>
                      <w:szCs w:val="21"/>
                      <w:highlight w:val="none"/>
                      <w:lang w:val="en-US" w:eastAsia="zh-CN"/>
                    </w:rPr>
                    <w:t>影像</w:t>
                  </w:r>
                </w:p>
              </w:tc>
              <w:tc>
                <w:tcPr>
                  <w:tcW w:w="651" w:type="pct"/>
                  <w:vMerge w:val="continue"/>
                  <w:noWrap w:val="0"/>
                  <w:vAlign w:val="center"/>
                </w:tcPr>
                <w:p w14:paraId="44778777">
                  <w:pPr>
                    <w:spacing w:line="240" w:lineRule="auto"/>
                    <w:jc w:val="center"/>
                    <w:rPr>
                      <w:color w:val="auto"/>
                      <w:spacing w:val="-6"/>
                      <w:sz w:val="21"/>
                      <w:szCs w:val="21"/>
                      <w:highlight w:val="none"/>
                    </w:rPr>
                  </w:pPr>
                </w:p>
              </w:tc>
              <w:tc>
                <w:tcPr>
                  <w:tcW w:w="1062" w:type="pct"/>
                  <w:vMerge w:val="continue"/>
                  <w:noWrap w:val="0"/>
                  <w:vAlign w:val="center"/>
                </w:tcPr>
                <w:p w14:paraId="7069DA61">
                  <w:pPr>
                    <w:widowControl/>
                    <w:spacing w:line="240" w:lineRule="auto"/>
                    <w:jc w:val="center"/>
                    <w:textAlignment w:val="center"/>
                    <w:rPr>
                      <w:color w:val="auto"/>
                      <w:spacing w:val="-6"/>
                      <w:kern w:val="0"/>
                      <w:sz w:val="21"/>
                      <w:szCs w:val="21"/>
                      <w:highlight w:val="none"/>
                      <w:lang w:bidi="ar"/>
                    </w:rPr>
                  </w:pPr>
                </w:p>
              </w:tc>
              <w:tc>
                <w:tcPr>
                  <w:tcW w:w="583" w:type="pct"/>
                  <w:noWrap w:val="0"/>
                  <w:vAlign w:val="center"/>
                </w:tcPr>
                <w:p w14:paraId="45EA37D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1.74E-06</w:t>
                  </w:r>
                </w:p>
              </w:tc>
              <w:tc>
                <w:tcPr>
                  <w:tcW w:w="654" w:type="pct"/>
                  <w:noWrap w:val="0"/>
                  <w:vAlign w:val="center"/>
                </w:tcPr>
                <w:p w14:paraId="505490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2.07E+00</w:t>
                  </w:r>
                </w:p>
              </w:tc>
            </w:tr>
            <w:bookmarkEnd w:id="59"/>
          </w:tbl>
          <w:p w14:paraId="47408DC9">
            <w:pPr>
              <w:pStyle w:val="281"/>
              <w:spacing w:line="360" w:lineRule="auto"/>
              <w:ind w:firstLine="482" w:firstLineChars="200"/>
              <w:jc w:val="both"/>
              <w:rPr>
                <w:b/>
                <w:bCs/>
                <w:color w:val="auto"/>
                <w:kern w:val="0"/>
                <w:sz w:val="24"/>
                <w:highlight w:val="none"/>
              </w:rPr>
            </w:pPr>
            <w:r>
              <w:rPr>
                <w:rFonts w:hint="eastAsia"/>
                <w:b/>
                <w:bCs/>
                <w:color w:val="auto"/>
                <w:kern w:val="0"/>
                <w:sz w:val="24"/>
                <w:highlight w:val="none"/>
              </w:rPr>
              <w:t>3、</w:t>
            </w:r>
            <w:r>
              <w:rPr>
                <w:b/>
                <w:bCs/>
                <w:color w:val="auto"/>
                <w:kern w:val="0"/>
                <w:sz w:val="24"/>
                <w:highlight w:val="none"/>
              </w:rPr>
              <w:t>散射辐射</w:t>
            </w:r>
            <w:r>
              <w:rPr>
                <w:b/>
                <w:bCs/>
                <w:color w:val="auto"/>
                <w:sz w:val="24"/>
                <w:szCs w:val="32"/>
                <w:highlight w:val="none"/>
              </w:rPr>
              <w:t>剂量</w:t>
            </w:r>
            <w:r>
              <w:rPr>
                <w:rFonts w:hint="eastAsia"/>
                <w:b/>
                <w:bCs/>
                <w:color w:val="auto"/>
                <w:sz w:val="24"/>
                <w:szCs w:val="32"/>
                <w:highlight w:val="none"/>
              </w:rPr>
              <w:t>率</w:t>
            </w:r>
            <w:r>
              <w:rPr>
                <w:b/>
                <w:bCs/>
                <w:color w:val="auto"/>
                <w:sz w:val="24"/>
                <w:szCs w:val="32"/>
                <w:highlight w:val="none"/>
              </w:rPr>
              <w:t>估算</w:t>
            </w:r>
          </w:p>
          <w:p w14:paraId="7C71FCD6">
            <w:pPr>
              <w:ind w:firstLine="480" w:firstLineChars="200"/>
              <w:jc w:val="left"/>
              <w:rPr>
                <w:color w:val="auto"/>
                <w:highlight w:val="none"/>
              </w:rPr>
            </w:pPr>
            <w:r>
              <w:rPr>
                <w:bCs/>
                <w:color w:val="auto"/>
                <w:highlight w:val="none"/>
              </w:rPr>
              <w:t>根据</w:t>
            </w:r>
            <w:r>
              <w:rPr>
                <w:color w:val="auto"/>
                <w:kern w:val="0"/>
                <w:highlight w:val="none"/>
                <w:lang w:bidi="ar"/>
              </w:rPr>
              <w:t>《辐射防护手册》（第一分册）</w:t>
            </w:r>
            <w:r>
              <w:rPr>
                <w:bCs/>
                <w:color w:val="auto"/>
                <w:highlight w:val="none"/>
              </w:rPr>
              <w:t>（李德平、潘自强主编）</w:t>
            </w:r>
            <w:r>
              <w:rPr>
                <w:color w:val="auto"/>
                <w:spacing w:val="-2"/>
                <w:kern w:val="0"/>
                <w:highlight w:val="none"/>
              </w:rPr>
              <w:t>P437</w:t>
            </w:r>
            <w:r>
              <w:rPr>
                <w:rFonts w:hint="eastAsia"/>
                <w:color w:val="auto"/>
                <w:spacing w:val="-2"/>
                <w:kern w:val="0"/>
                <w:highlight w:val="none"/>
              </w:rPr>
              <w:t>，对</w:t>
            </w:r>
            <w:r>
              <w:rPr>
                <w:color w:val="auto"/>
                <w:highlight w:val="none"/>
              </w:rPr>
              <w:t>散射X射线可以用反照率法估计</w:t>
            </w:r>
            <w:r>
              <w:rPr>
                <w:rFonts w:hint="eastAsia"/>
                <w:color w:val="auto"/>
                <w:highlight w:val="none"/>
              </w:rPr>
              <w:t>，</w:t>
            </w:r>
            <w:r>
              <w:rPr>
                <w:color w:val="auto"/>
                <w:spacing w:val="-2"/>
                <w:kern w:val="0"/>
                <w:highlight w:val="none"/>
              </w:rPr>
              <w:t>可按下式进行预测估算：</w:t>
            </w:r>
          </w:p>
          <w:p w14:paraId="02813679">
            <w:pPr>
              <w:pStyle w:val="19"/>
              <w:ind w:right="420" w:firstLine="420" w:firstLineChars="200"/>
              <w:jc w:val="right"/>
              <w:rPr>
                <w:rFonts w:hint="eastAsia" w:eastAsia="宋体"/>
                <w:color w:val="auto"/>
                <w:sz w:val="24"/>
                <w:highlight w:val="none"/>
                <w:lang w:eastAsia="zh-CN"/>
              </w:rPr>
            </w:pPr>
            <w:r>
              <w:rPr>
                <w:color w:val="auto"/>
                <w:position w:val="-30"/>
                <w:szCs w:val="21"/>
                <w:highlight w:val="none"/>
              </w:rPr>
              <w:object>
                <v:shape id="_x0000_i1032" o:spt="75" type="#_x0000_t75" style="height:42pt;width:255pt;" o:ole="t" filled="f" o:preferrelative="t" stroked="f" coordsize="21600,21600">
                  <v:path/>
                  <v:fill on="f" focussize="0,0"/>
                  <v:stroke on="f"/>
                  <v:imagedata r:id="rId49" o:title=""/>
                  <o:lock v:ext="edit" aspectratio="t"/>
                  <w10:wrap type="none"/>
                  <w10:anchorlock/>
                </v:shape>
                <o:OLEObject Type="Embed" ProgID="Equation.KSEE3" ShapeID="_x0000_i1032" DrawAspect="Content" ObjectID="_1468075732" r:id="rId48">
                  <o:LockedField>false</o:LockedField>
                </o:OLEObject>
              </w:object>
            </w:r>
            <w:r>
              <w:rPr>
                <w:i/>
                <w:iCs/>
                <w:color w:val="auto"/>
                <w:szCs w:val="21"/>
                <w:highlight w:val="none"/>
              </w:rPr>
              <w:t xml:space="preserve"> </w:t>
            </w:r>
            <w:r>
              <w:rPr>
                <w:i/>
                <w:iCs/>
                <w:color w:val="auto"/>
                <w:kern w:val="0"/>
                <w:szCs w:val="21"/>
                <w:highlight w:val="none"/>
              </w:rPr>
              <w:t>........</w:t>
            </w:r>
            <w:r>
              <w:rPr>
                <w:i/>
                <w:iCs/>
                <w:color w:val="auto"/>
                <w:kern w:val="0"/>
                <w:sz w:val="24"/>
                <w:highlight w:val="none"/>
              </w:rPr>
              <w:t>.</w:t>
            </w:r>
            <w:r>
              <w:rPr>
                <w:color w:val="auto"/>
                <w:sz w:val="24"/>
                <w:highlight w:val="none"/>
              </w:rPr>
              <w:t>式11-</w:t>
            </w:r>
            <w:r>
              <w:rPr>
                <w:rFonts w:hint="eastAsia"/>
                <w:color w:val="auto"/>
                <w:sz w:val="24"/>
                <w:highlight w:val="none"/>
                <w:lang w:val="en-US" w:eastAsia="zh-CN"/>
              </w:rPr>
              <w:t>9</w:t>
            </w:r>
          </w:p>
          <w:p w14:paraId="040C42DB">
            <w:pPr>
              <w:widowControl/>
              <w:ind w:firstLine="480" w:firstLineChars="200"/>
              <w:rPr>
                <w:color w:val="auto"/>
                <w:highlight w:val="none"/>
              </w:rPr>
            </w:pPr>
            <w:r>
              <w:rPr>
                <w:color w:val="auto"/>
                <w:kern w:val="0"/>
                <w:highlight w:val="none"/>
                <w:lang w:bidi="ar"/>
              </w:rPr>
              <w:t>式中：</w:t>
            </w:r>
            <w:r>
              <w:rPr>
                <w:i/>
                <w:color w:val="auto"/>
                <w:kern w:val="0"/>
                <w:highlight w:val="none"/>
                <w:lang w:bidi="ar"/>
              </w:rPr>
              <w:t>H</w:t>
            </w:r>
            <w:r>
              <w:rPr>
                <w:i/>
                <w:color w:val="auto"/>
                <w:kern w:val="0"/>
                <w:highlight w:val="none"/>
                <w:vertAlign w:val="subscript"/>
                <w:lang w:bidi="ar"/>
              </w:rPr>
              <w:t>s</w:t>
            </w:r>
            <w:r>
              <w:rPr>
                <w:color w:val="auto"/>
                <w:kern w:val="0"/>
                <w:highlight w:val="none"/>
                <w:lang w:bidi="ar"/>
              </w:rPr>
              <w:t>—预测点处的散射当量剂量率，μSv/h；</w:t>
            </w:r>
          </w:p>
          <w:p w14:paraId="3963E740">
            <w:pPr>
              <w:keepNext w:val="0"/>
              <w:keepLines w:val="0"/>
              <w:pageBreakBefore w:val="0"/>
              <w:widowControl w:val="0"/>
              <w:kinsoku/>
              <w:wordWrap w:val="0"/>
              <w:overflowPunct/>
              <w:topLinePunct w:val="0"/>
              <w:autoSpaceDE/>
              <w:autoSpaceDN/>
              <w:bidi w:val="0"/>
              <w:adjustRightInd/>
              <w:snapToGrid/>
              <w:ind w:firstLine="1200" w:firstLineChars="500"/>
              <w:textAlignment w:val="auto"/>
              <w:rPr>
                <w:color w:val="auto"/>
                <w:kern w:val="0"/>
                <w:highlight w:val="none"/>
                <w:lang w:bidi="ar"/>
              </w:rPr>
            </w:pPr>
            <w:r>
              <w:rPr>
                <w:color w:val="auto"/>
                <w:position w:val="-12"/>
                <w:highlight w:val="none"/>
              </w:rPr>
              <w:object>
                <v:shape id="_x0000_i1033" o:spt="75" type="#_x0000_t75" style="height:24.95pt;width:23pt;" o:ole="t" filled="f" o:preferrelative="t" stroked="f" coordsize="21600,21600">
                  <v:path/>
                  <v:fill on="f" focussize="0,0"/>
                  <v:stroke on="f"/>
                  <v:imagedata r:id="rId47" o:title=""/>
                  <o:lock v:ext="edit" aspectratio="t"/>
                  <w10:wrap type="none"/>
                  <w10:anchorlock/>
                </v:shape>
                <o:OLEObject Type="Embed" ProgID="Equation.KSEE3" ShapeID="_x0000_i1033" DrawAspect="Content" ObjectID="_1468075733" r:id="rId50">
                  <o:LockedField>false</o:LockedField>
                </o:OLEObject>
              </w:object>
            </w:r>
            <w:r>
              <w:rPr>
                <w:color w:val="auto"/>
                <w:kern w:val="0"/>
                <w:highlight w:val="none"/>
                <w:lang w:bidi="ar"/>
              </w:rPr>
              <w:t>—每mA管电压产生的X射线在1m处的照射量率，</w:t>
            </w:r>
            <w:r>
              <w:rPr>
                <w:color w:val="auto"/>
                <w:highlight w:val="none"/>
              </w:rPr>
              <w:t>R·mA</w:t>
            </w:r>
            <w:r>
              <w:rPr>
                <w:color w:val="auto"/>
                <w:highlight w:val="none"/>
                <w:vertAlign w:val="superscript"/>
              </w:rPr>
              <w:t>-1</w:t>
            </w:r>
            <w:r>
              <w:rPr>
                <w:color w:val="auto"/>
                <w:highlight w:val="none"/>
              </w:rPr>
              <w:t>·min</w:t>
            </w:r>
            <w:r>
              <w:rPr>
                <w:color w:val="auto"/>
                <w:highlight w:val="none"/>
                <w:vertAlign w:val="superscript"/>
              </w:rPr>
              <w:t>-1</w:t>
            </w:r>
            <w:r>
              <w:rPr>
                <w:color w:val="auto"/>
                <w:kern w:val="0"/>
                <w:highlight w:val="none"/>
                <w:lang w:bidi="ar"/>
              </w:rPr>
              <w:t>。</w:t>
            </w:r>
          </w:p>
          <w:p w14:paraId="5E482A94">
            <w:pPr>
              <w:widowControl/>
              <w:ind w:firstLine="1200" w:firstLineChars="500"/>
              <w:rPr>
                <w:rFonts w:hint="eastAsia" w:eastAsia="宋体"/>
                <w:color w:val="auto"/>
                <w:highlight w:val="none"/>
                <w:lang w:eastAsia="zh-CN"/>
              </w:rPr>
            </w:pPr>
            <w:r>
              <w:rPr>
                <w:i/>
                <w:iCs/>
                <w:color w:val="auto"/>
                <w:kern w:val="0"/>
                <w:highlight w:val="none"/>
                <w:lang w:bidi="ar"/>
              </w:rPr>
              <w:t>α</w:t>
            </w:r>
            <w:r>
              <w:rPr>
                <w:color w:val="auto"/>
                <w:kern w:val="0"/>
                <w:highlight w:val="none"/>
                <w:lang w:bidi="ar"/>
              </w:rPr>
              <w:t>—</w:t>
            </w:r>
            <w:r>
              <w:rPr>
                <w:rFonts w:hint="eastAsia"/>
                <w:color w:val="auto"/>
                <w:kern w:val="0"/>
                <w:highlight w:val="none"/>
                <w:lang w:bidi="ar"/>
              </w:rPr>
              <w:t>人体对X射线的散射照射量与入射照射量之比值；</w:t>
            </w:r>
            <w:r>
              <w:rPr>
                <w:color w:val="auto"/>
                <w:highlight w:val="none"/>
              </w:rPr>
              <w:t>据《辐射防护手册》（第一分册）表10.1查表取值</w:t>
            </w:r>
            <w:r>
              <w:rPr>
                <w:rFonts w:hint="eastAsia"/>
                <w:color w:val="auto"/>
                <w:highlight w:val="none"/>
                <w:lang w:eastAsia="zh-CN"/>
              </w:rPr>
              <w:t>。</w:t>
            </w:r>
          </w:p>
          <w:p w14:paraId="5E37F4E9">
            <w:pPr>
              <w:widowControl/>
              <w:ind w:firstLine="1200" w:firstLineChars="500"/>
              <w:rPr>
                <w:color w:val="auto"/>
                <w:highlight w:val="none"/>
              </w:rPr>
            </w:pPr>
            <w:r>
              <w:rPr>
                <w:i/>
                <w:color w:val="auto"/>
                <w:kern w:val="0"/>
                <w:highlight w:val="none"/>
                <w:lang w:bidi="ar"/>
              </w:rPr>
              <w:t>s</w:t>
            </w:r>
            <w:r>
              <w:rPr>
                <w:color w:val="auto"/>
                <w:kern w:val="0"/>
                <w:highlight w:val="none"/>
                <w:lang w:bidi="ar"/>
              </w:rPr>
              <w:t>—散射面积，cm</w:t>
            </w:r>
            <w:r>
              <w:rPr>
                <w:color w:val="auto"/>
                <w:kern w:val="0"/>
                <w:highlight w:val="none"/>
                <w:vertAlign w:val="superscript"/>
                <w:lang w:bidi="ar"/>
              </w:rPr>
              <w:t>2</w:t>
            </w:r>
            <w:r>
              <w:rPr>
                <w:color w:val="auto"/>
                <w:kern w:val="0"/>
                <w:highlight w:val="none"/>
                <w:lang w:bidi="ar"/>
              </w:rPr>
              <w:t>，取100cm</w:t>
            </w:r>
            <w:r>
              <w:rPr>
                <w:color w:val="auto"/>
                <w:kern w:val="0"/>
                <w:highlight w:val="none"/>
                <w:vertAlign w:val="superscript"/>
                <w:lang w:bidi="ar"/>
              </w:rPr>
              <w:t>2</w:t>
            </w:r>
            <w:r>
              <w:rPr>
                <w:color w:val="auto"/>
                <w:kern w:val="0"/>
                <w:highlight w:val="none"/>
                <w:lang w:bidi="ar"/>
              </w:rPr>
              <w:t xml:space="preserve">； </w:t>
            </w:r>
          </w:p>
          <w:p w14:paraId="4E89EC06">
            <w:pPr>
              <w:widowControl/>
              <w:ind w:firstLine="1200" w:firstLineChars="500"/>
              <w:rPr>
                <w:color w:val="auto"/>
                <w:highlight w:val="none"/>
              </w:rPr>
            </w:pPr>
            <w:r>
              <w:rPr>
                <w:i/>
                <w:color w:val="auto"/>
                <w:kern w:val="0"/>
                <w:highlight w:val="none"/>
                <w:lang w:bidi="ar"/>
              </w:rPr>
              <w:t>d</w:t>
            </w:r>
            <w:r>
              <w:rPr>
                <w:i/>
                <w:color w:val="auto"/>
                <w:kern w:val="0"/>
                <w:highlight w:val="none"/>
                <w:vertAlign w:val="subscript"/>
                <w:lang w:bidi="ar"/>
              </w:rPr>
              <w:t>0</w:t>
            </w:r>
            <w:r>
              <w:rPr>
                <w:color w:val="auto"/>
                <w:kern w:val="0"/>
                <w:highlight w:val="none"/>
                <w:lang w:bidi="ar"/>
              </w:rPr>
              <w:t>—靶点与病人的距离，m，取0.5m；</w:t>
            </w:r>
          </w:p>
          <w:p w14:paraId="7EA80943">
            <w:pPr>
              <w:widowControl/>
              <w:ind w:firstLine="1200" w:firstLineChars="500"/>
              <w:rPr>
                <w:color w:val="auto"/>
                <w:highlight w:val="none"/>
              </w:rPr>
            </w:pPr>
            <w:r>
              <w:rPr>
                <w:i/>
                <w:color w:val="auto"/>
                <w:kern w:val="0"/>
                <w:highlight w:val="none"/>
                <w:lang w:bidi="ar"/>
              </w:rPr>
              <w:t>d</w:t>
            </w:r>
            <w:r>
              <w:rPr>
                <w:i/>
                <w:color w:val="auto"/>
                <w:kern w:val="0"/>
                <w:highlight w:val="none"/>
                <w:vertAlign w:val="subscript"/>
                <w:lang w:bidi="ar"/>
              </w:rPr>
              <w:t>s</w:t>
            </w:r>
            <w:r>
              <w:rPr>
                <w:color w:val="auto"/>
                <w:kern w:val="0"/>
                <w:highlight w:val="none"/>
                <w:lang w:bidi="ar"/>
              </w:rPr>
              <w:t>—病人</w:t>
            </w:r>
            <w:r>
              <w:rPr>
                <w:rFonts w:hint="eastAsia"/>
                <w:color w:val="auto"/>
                <w:kern w:val="0"/>
                <w:highlight w:val="none"/>
                <w:lang w:bidi="ar"/>
              </w:rPr>
              <w:t>（散射点）</w:t>
            </w:r>
            <w:r>
              <w:rPr>
                <w:color w:val="auto"/>
                <w:kern w:val="0"/>
                <w:highlight w:val="none"/>
                <w:lang w:bidi="ar"/>
              </w:rPr>
              <w:t>与预测点的距离，m；</w:t>
            </w:r>
          </w:p>
          <w:p w14:paraId="0467D74C">
            <w:pPr>
              <w:widowControl/>
              <w:ind w:firstLine="1200" w:firstLineChars="500"/>
              <w:rPr>
                <w:color w:val="auto"/>
                <w:kern w:val="0"/>
                <w:highlight w:val="none"/>
                <w:lang w:bidi="ar"/>
              </w:rPr>
            </w:pPr>
            <w:r>
              <w:rPr>
                <w:i/>
                <w:color w:val="auto"/>
                <w:kern w:val="0"/>
                <w:highlight w:val="none"/>
                <w:lang w:bidi="ar"/>
              </w:rPr>
              <w:t>B</w:t>
            </w:r>
            <w:r>
              <w:rPr>
                <w:color w:val="auto"/>
                <w:kern w:val="0"/>
                <w:highlight w:val="none"/>
                <w:lang w:bidi="ar"/>
              </w:rPr>
              <w:t>—屏蔽透射因子</w:t>
            </w:r>
            <w:r>
              <w:rPr>
                <w:rFonts w:hint="eastAsia"/>
                <w:color w:val="auto"/>
                <w:kern w:val="0"/>
                <w:highlight w:val="none"/>
                <w:lang w:bidi="ar"/>
              </w:rPr>
              <w:t>，见表11-1；</w:t>
            </w:r>
          </w:p>
          <w:p w14:paraId="0FB3D70B">
            <w:pPr>
              <w:widowControl/>
              <w:ind w:firstLine="1200" w:firstLineChars="500"/>
              <w:rPr>
                <w:color w:val="auto"/>
                <w:kern w:val="0"/>
                <w:highlight w:val="none"/>
                <w:lang w:bidi="ar"/>
              </w:rPr>
            </w:pPr>
            <w:r>
              <w:rPr>
                <w:i/>
                <w:iCs/>
                <w:color w:val="auto"/>
                <w:kern w:val="0"/>
                <w:highlight w:val="none"/>
                <w:lang w:bidi="ar"/>
              </w:rPr>
              <w:t>I—</w:t>
            </w:r>
            <w:r>
              <w:rPr>
                <w:color w:val="auto"/>
                <w:kern w:val="0"/>
                <w:highlight w:val="none"/>
                <w:lang w:bidi="ar"/>
              </w:rPr>
              <w:t>管电流，mA</w:t>
            </w:r>
            <w:r>
              <w:rPr>
                <w:rFonts w:hint="eastAsia"/>
                <w:color w:val="auto"/>
                <w:kern w:val="0"/>
                <w:highlight w:val="none"/>
                <w:lang w:bidi="ar"/>
              </w:rPr>
              <w:t>，</w:t>
            </w:r>
            <w:r>
              <w:rPr>
                <w:rFonts w:hint="eastAsia"/>
                <w:color w:val="auto"/>
                <w:kern w:val="0"/>
                <w:highlight w:val="none"/>
                <w:lang w:val="en-US" w:eastAsia="zh-CN" w:bidi="ar"/>
              </w:rPr>
              <w:t>影像检查</w:t>
            </w:r>
            <w:r>
              <w:rPr>
                <w:rFonts w:hint="eastAsia"/>
                <w:color w:val="auto"/>
                <w:kern w:val="0"/>
                <w:highlight w:val="none"/>
                <w:lang w:bidi="ar"/>
              </w:rPr>
              <w:t>5</w:t>
            </w:r>
            <w:r>
              <w:rPr>
                <w:color w:val="auto"/>
                <w:kern w:val="0"/>
                <w:highlight w:val="none"/>
                <w:lang w:bidi="ar"/>
              </w:rPr>
              <w:t>50mA，</w:t>
            </w:r>
            <w:r>
              <w:rPr>
                <w:rFonts w:hint="eastAsia"/>
                <w:color w:val="auto"/>
                <w:kern w:val="0"/>
                <w:highlight w:val="none"/>
                <w:lang w:val="en-US" w:eastAsia="zh-CN" w:bidi="ar"/>
              </w:rPr>
              <w:t>介入操作</w:t>
            </w:r>
            <w:r>
              <w:rPr>
                <w:color w:val="auto"/>
                <w:kern w:val="0"/>
                <w:highlight w:val="none"/>
                <w:lang w:bidi="ar"/>
              </w:rPr>
              <w:t>12mA；</w:t>
            </w:r>
          </w:p>
          <w:p w14:paraId="2CBB00EB">
            <w:pPr>
              <w:widowControl/>
              <w:ind w:firstLine="1200" w:firstLineChars="500"/>
              <w:rPr>
                <w:i/>
                <w:iCs/>
                <w:color w:val="auto"/>
                <w:kern w:val="0"/>
                <w:highlight w:val="none"/>
                <w:lang w:bidi="ar"/>
              </w:rPr>
            </w:pPr>
            <w:r>
              <w:rPr>
                <w:i/>
                <w:iCs/>
                <w:color w:val="auto"/>
                <w:kern w:val="0"/>
                <w:highlight w:val="none"/>
                <w:lang w:bidi="ar"/>
              </w:rPr>
              <w:t>μ—</w:t>
            </w:r>
            <w:r>
              <w:rPr>
                <w:color w:val="auto"/>
                <w:kern w:val="0"/>
                <w:highlight w:val="none"/>
                <w:lang w:bidi="ar"/>
              </w:rPr>
              <w:t>利用因子，取1；</w:t>
            </w:r>
          </w:p>
          <w:p w14:paraId="07F29A64">
            <w:pPr>
              <w:widowControl/>
              <w:ind w:firstLine="1200" w:firstLineChars="500"/>
              <w:rPr>
                <w:color w:val="auto"/>
                <w:kern w:val="0"/>
                <w:highlight w:val="none"/>
                <w:lang w:bidi="ar"/>
              </w:rPr>
            </w:pPr>
            <w:r>
              <w:rPr>
                <w:bCs/>
                <w:i/>
                <w:iCs/>
                <w:color w:val="auto"/>
                <w:highlight w:val="none"/>
              </w:rPr>
              <w:t>W</w:t>
            </w:r>
            <w:r>
              <w:rPr>
                <w:bCs/>
                <w:i/>
                <w:iCs/>
                <w:color w:val="auto"/>
                <w:highlight w:val="none"/>
                <w:vertAlign w:val="subscript"/>
              </w:rPr>
              <w:t>R——</w:t>
            </w:r>
            <w:r>
              <w:rPr>
                <w:color w:val="auto"/>
                <w:kern w:val="0"/>
                <w:highlight w:val="none"/>
                <w:lang w:bidi="ar"/>
              </w:rPr>
              <w:t>辐射权重，X射线为1。</w:t>
            </w:r>
          </w:p>
          <w:p w14:paraId="2FCE712E">
            <w:pPr>
              <w:ind w:firstLine="480" w:firstLineChars="200"/>
              <w:rPr>
                <w:color w:val="auto"/>
                <w:kern w:val="0"/>
                <w:highlight w:val="none"/>
                <w:lang w:bidi="ar"/>
              </w:rPr>
            </w:pPr>
            <w:r>
              <w:rPr>
                <w:color w:val="auto"/>
                <w:kern w:val="0"/>
                <w:highlight w:val="none"/>
                <w:lang w:bidi="ar"/>
              </w:rPr>
              <w:t>本项目</w:t>
            </w:r>
            <w:r>
              <w:rPr>
                <w:rFonts w:hint="eastAsia"/>
                <w:color w:val="auto"/>
                <w:kern w:val="0"/>
                <w:highlight w:val="none"/>
                <w:lang w:val="en-US" w:eastAsia="zh-CN" w:bidi="ar"/>
              </w:rPr>
              <w:t>四层各机房</w:t>
            </w:r>
            <w:r>
              <w:rPr>
                <w:color w:val="auto"/>
                <w:kern w:val="0"/>
                <w:highlight w:val="none"/>
                <w:lang w:bidi="ar"/>
              </w:rPr>
              <w:t>各预测点处的散射辐射剂量率计算结果见下表。</w:t>
            </w:r>
          </w:p>
          <w:p w14:paraId="69818E7C">
            <w:pPr>
              <w:spacing w:before="163" w:beforeLines="50"/>
              <w:jc w:val="center"/>
              <w:rPr>
                <w:rFonts w:eastAsia="黑体"/>
                <w:b/>
                <w:color w:val="auto"/>
                <w:highlight w:val="none"/>
              </w:rPr>
            </w:pPr>
            <w:r>
              <w:rPr>
                <w:rFonts w:eastAsia="黑体"/>
                <w:b/>
                <w:color w:val="auto"/>
                <w:highlight w:val="none"/>
              </w:rPr>
              <w:t>表11-</w:t>
            </w:r>
            <w:r>
              <w:rPr>
                <w:rFonts w:hint="eastAsia" w:eastAsia="黑体"/>
                <w:b/>
                <w:color w:val="auto"/>
                <w:highlight w:val="none"/>
                <w:lang w:val="en-US" w:eastAsia="zh-CN"/>
              </w:rPr>
              <w:t>13</w:t>
            </w:r>
            <w:r>
              <w:rPr>
                <w:rFonts w:eastAsia="黑体"/>
                <w:b/>
                <w:color w:val="auto"/>
                <w:highlight w:val="none"/>
              </w:rPr>
              <w:t xml:space="preserve">  </w:t>
            </w:r>
            <w:r>
              <w:rPr>
                <w:rFonts w:hint="eastAsia" w:eastAsia="黑体"/>
                <w:b/>
                <w:color w:val="auto"/>
                <w:highlight w:val="none"/>
                <w:lang w:val="en-US" w:eastAsia="zh-CN"/>
              </w:rPr>
              <w:t>各机房</w:t>
            </w:r>
            <w:r>
              <w:rPr>
                <w:rFonts w:eastAsia="黑体"/>
                <w:b/>
                <w:color w:val="auto"/>
                <w:highlight w:val="none"/>
              </w:rPr>
              <w:t>及周围各预测点散射</w:t>
            </w:r>
            <w:r>
              <w:rPr>
                <w:rFonts w:hint="eastAsia" w:eastAsia="黑体"/>
                <w:b/>
                <w:color w:val="auto"/>
                <w:highlight w:val="none"/>
              </w:rPr>
              <w:t>辐射</w:t>
            </w:r>
            <w:r>
              <w:rPr>
                <w:rFonts w:eastAsia="黑体"/>
                <w:b/>
                <w:color w:val="auto"/>
                <w:highlight w:val="none"/>
              </w:rPr>
              <w:t>剂量</w:t>
            </w:r>
            <w:r>
              <w:rPr>
                <w:rFonts w:hint="eastAsia" w:eastAsia="黑体"/>
                <w:b/>
                <w:color w:val="auto"/>
                <w:highlight w:val="none"/>
              </w:rPr>
              <w:t>率</w:t>
            </w:r>
            <w:r>
              <w:rPr>
                <w:rFonts w:eastAsia="黑体"/>
                <w:b/>
                <w:color w:val="auto"/>
                <w:highlight w:val="none"/>
              </w:rPr>
              <w:t>预测结果表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9"/>
              <w:gridCol w:w="634"/>
              <w:gridCol w:w="1931"/>
              <w:gridCol w:w="600"/>
              <w:gridCol w:w="992"/>
              <w:gridCol w:w="1745"/>
              <w:gridCol w:w="1130"/>
              <w:gridCol w:w="1150"/>
            </w:tblGrid>
            <w:tr w14:paraId="319AAC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429" w:type="pct"/>
                  <w:vMerge w:val="restart"/>
                  <w:noWrap w:val="0"/>
                  <w:vAlign w:val="center"/>
                </w:tcPr>
                <w:p w14:paraId="4DB074C8">
                  <w:pPr>
                    <w:keepNext w:val="0"/>
                    <w:keepLines w:val="0"/>
                    <w:pageBreakBefore w:val="0"/>
                    <w:kinsoku/>
                    <w:wordWrap/>
                    <w:overflowPunct/>
                    <w:topLinePunct w:val="0"/>
                    <w:autoSpaceDE/>
                    <w:autoSpaceDN/>
                    <w:bidi w:val="0"/>
                    <w:adjustRightInd/>
                    <w:snapToGrid/>
                    <w:spacing w:line="280" w:lineRule="exact"/>
                    <w:jc w:val="center"/>
                    <w:rPr>
                      <w:rFonts w:hint="default" w:eastAsia="宋体"/>
                      <w:b/>
                      <w:bCs/>
                      <w:color w:val="auto"/>
                      <w:spacing w:val="-11"/>
                      <w:kern w:val="0"/>
                      <w:sz w:val="21"/>
                      <w:szCs w:val="21"/>
                      <w:highlight w:val="none"/>
                      <w:lang w:val="en-US" w:eastAsia="zh-CN"/>
                    </w:rPr>
                  </w:pPr>
                  <w:r>
                    <w:rPr>
                      <w:rFonts w:hint="eastAsia"/>
                      <w:b/>
                      <w:bCs/>
                      <w:color w:val="auto"/>
                      <w:spacing w:val="-11"/>
                      <w:kern w:val="0"/>
                      <w:sz w:val="21"/>
                      <w:szCs w:val="21"/>
                      <w:highlight w:val="none"/>
                      <w:lang w:val="en-US" w:eastAsia="zh-CN"/>
                    </w:rPr>
                    <w:t>机房名称</w:t>
                  </w:r>
                </w:p>
              </w:tc>
              <w:tc>
                <w:tcPr>
                  <w:tcW w:w="1432" w:type="pct"/>
                  <w:gridSpan w:val="2"/>
                  <w:noWrap w:val="0"/>
                  <w:vAlign w:val="center"/>
                </w:tcPr>
                <w:p w14:paraId="608CCE7E">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关注点位</w:t>
                  </w:r>
                </w:p>
              </w:tc>
              <w:tc>
                <w:tcPr>
                  <w:tcW w:w="335" w:type="pct"/>
                  <w:vMerge w:val="restart"/>
                  <w:noWrap w:val="0"/>
                  <w:vAlign w:val="center"/>
                </w:tcPr>
                <w:p w14:paraId="4D3B81C6">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模式</w:t>
                  </w:r>
                </w:p>
              </w:tc>
              <w:tc>
                <w:tcPr>
                  <w:tcW w:w="554" w:type="pct"/>
                  <w:vMerge w:val="restart"/>
                  <w:noWrap w:val="0"/>
                  <w:vAlign w:val="center"/>
                </w:tcPr>
                <w:p w14:paraId="3C659761">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病人与预测点的距离（m）</w:t>
                  </w:r>
                </w:p>
              </w:tc>
              <w:tc>
                <w:tcPr>
                  <w:tcW w:w="974" w:type="pct"/>
                  <w:vMerge w:val="restart"/>
                  <w:noWrap w:val="0"/>
                  <w:vAlign w:val="center"/>
                </w:tcPr>
                <w:p w14:paraId="56A57831">
                  <w:pPr>
                    <w:keepNext w:val="0"/>
                    <w:keepLines w:val="0"/>
                    <w:pageBreakBefore w:val="0"/>
                    <w:kinsoku/>
                    <w:wordWrap/>
                    <w:overflowPunct/>
                    <w:topLinePunct w:val="0"/>
                    <w:autoSpaceDE/>
                    <w:autoSpaceDN/>
                    <w:bidi w:val="0"/>
                    <w:adjustRightInd/>
                    <w:snapToGrid/>
                    <w:spacing w:line="280" w:lineRule="exact"/>
                    <w:jc w:val="center"/>
                    <w:rPr>
                      <w:rFonts w:hint="eastAsia" w:eastAsia="宋体"/>
                      <w:b/>
                      <w:bCs/>
                      <w:color w:val="auto"/>
                      <w:spacing w:val="-11"/>
                      <w:kern w:val="0"/>
                      <w:sz w:val="21"/>
                      <w:szCs w:val="21"/>
                      <w:highlight w:val="none"/>
                      <w:lang w:eastAsia="zh-CN"/>
                    </w:rPr>
                  </w:pPr>
                  <w:r>
                    <w:rPr>
                      <w:b/>
                      <w:bCs/>
                      <w:color w:val="auto"/>
                      <w:spacing w:val="-11"/>
                      <w:kern w:val="0"/>
                      <w:sz w:val="21"/>
                      <w:szCs w:val="21"/>
                      <w:highlight w:val="none"/>
                    </w:rPr>
                    <w:t>防护情况</w:t>
                  </w:r>
                </w:p>
              </w:tc>
              <w:tc>
                <w:tcPr>
                  <w:tcW w:w="631" w:type="pct"/>
                  <w:vMerge w:val="restart"/>
                  <w:noWrap w:val="0"/>
                  <w:vAlign w:val="center"/>
                </w:tcPr>
                <w:p w14:paraId="6FEC67F2">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屏蔽透射</w:t>
                  </w:r>
                </w:p>
                <w:p w14:paraId="3949EBF9">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因子</w:t>
                  </w:r>
                  <w:r>
                    <w:rPr>
                      <w:b/>
                      <w:bCs/>
                      <w:i/>
                      <w:iCs/>
                      <w:color w:val="auto"/>
                      <w:spacing w:val="-11"/>
                      <w:kern w:val="0"/>
                      <w:sz w:val="21"/>
                      <w:szCs w:val="21"/>
                      <w:highlight w:val="none"/>
                    </w:rPr>
                    <w:t>B</w:t>
                  </w:r>
                </w:p>
              </w:tc>
              <w:tc>
                <w:tcPr>
                  <w:tcW w:w="642" w:type="pct"/>
                  <w:vMerge w:val="restart"/>
                  <w:noWrap w:val="0"/>
                  <w:vAlign w:val="center"/>
                </w:tcPr>
                <w:p w14:paraId="0DFC74FE">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rFonts w:hint="eastAsia"/>
                      <w:b/>
                      <w:bCs/>
                      <w:color w:val="auto"/>
                      <w:spacing w:val="-11"/>
                      <w:kern w:val="0"/>
                      <w:sz w:val="21"/>
                      <w:szCs w:val="21"/>
                      <w:highlight w:val="none"/>
                    </w:rPr>
                    <w:t>散射辐射</w:t>
                  </w:r>
                  <w:r>
                    <w:rPr>
                      <w:b/>
                      <w:bCs/>
                      <w:color w:val="auto"/>
                      <w:spacing w:val="-11"/>
                      <w:kern w:val="0"/>
                      <w:sz w:val="21"/>
                      <w:szCs w:val="21"/>
                      <w:highlight w:val="none"/>
                    </w:rPr>
                    <w:t>剂量率</w:t>
                  </w:r>
                </w:p>
                <w:p w14:paraId="0FB4A07A">
                  <w:pPr>
                    <w:keepNext w:val="0"/>
                    <w:keepLines w:val="0"/>
                    <w:pageBreakBefore w:val="0"/>
                    <w:kinsoku/>
                    <w:wordWrap/>
                    <w:overflowPunct/>
                    <w:topLinePunct w:val="0"/>
                    <w:autoSpaceDE/>
                    <w:autoSpaceDN/>
                    <w:bidi w:val="0"/>
                    <w:adjustRightInd/>
                    <w:snapToGrid/>
                    <w:spacing w:line="280" w:lineRule="exact"/>
                    <w:jc w:val="center"/>
                    <w:rPr>
                      <w:rFonts w:hint="eastAsia"/>
                      <w:b/>
                      <w:bCs/>
                      <w:color w:val="auto"/>
                      <w:spacing w:val="-11"/>
                      <w:kern w:val="0"/>
                      <w:sz w:val="21"/>
                      <w:szCs w:val="21"/>
                      <w:highlight w:val="none"/>
                    </w:rPr>
                  </w:pPr>
                  <w:r>
                    <w:rPr>
                      <w:b/>
                      <w:bCs/>
                      <w:color w:val="auto"/>
                      <w:spacing w:val="-11"/>
                      <w:kern w:val="0"/>
                      <w:sz w:val="21"/>
                      <w:szCs w:val="21"/>
                      <w:highlight w:val="none"/>
                    </w:rPr>
                    <w:t>（μSv/h）</w:t>
                  </w:r>
                </w:p>
              </w:tc>
            </w:tr>
            <w:tr w14:paraId="4A49C4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429" w:type="pct"/>
                  <w:vMerge w:val="continue"/>
                  <w:noWrap w:val="0"/>
                  <w:vAlign w:val="center"/>
                </w:tcPr>
                <w:p w14:paraId="097615B4">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354" w:type="pct"/>
                  <w:noWrap w:val="0"/>
                  <w:vAlign w:val="center"/>
                </w:tcPr>
                <w:p w14:paraId="48BBFFDD">
                  <w:pPr>
                    <w:keepNext w:val="0"/>
                    <w:keepLines w:val="0"/>
                    <w:pageBreakBefore w:val="0"/>
                    <w:kinsoku/>
                    <w:wordWrap/>
                    <w:overflowPunct/>
                    <w:topLinePunct w:val="0"/>
                    <w:autoSpaceDE/>
                    <w:autoSpaceDN/>
                    <w:bidi w:val="0"/>
                    <w:adjustRightInd/>
                    <w:snapToGrid/>
                    <w:spacing w:line="280" w:lineRule="exact"/>
                    <w:jc w:val="center"/>
                    <w:rPr>
                      <w:rFonts w:hint="eastAsia" w:eastAsia="宋体"/>
                      <w:b/>
                      <w:bCs/>
                      <w:color w:val="auto"/>
                      <w:spacing w:val="-11"/>
                      <w:kern w:val="0"/>
                      <w:sz w:val="21"/>
                      <w:szCs w:val="21"/>
                      <w:highlight w:val="none"/>
                      <w:lang w:eastAsia="zh-CN"/>
                    </w:rPr>
                  </w:pPr>
                  <w:r>
                    <w:rPr>
                      <w:rFonts w:hint="eastAsia"/>
                      <w:b/>
                      <w:bCs/>
                      <w:color w:val="auto"/>
                      <w:spacing w:val="-11"/>
                      <w:kern w:val="0"/>
                      <w:sz w:val="21"/>
                      <w:szCs w:val="21"/>
                      <w:highlight w:val="none"/>
                      <w:lang w:val="en-US" w:eastAsia="zh-CN"/>
                    </w:rPr>
                    <w:t>序号</w:t>
                  </w:r>
                </w:p>
              </w:tc>
              <w:tc>
                <w:tcPr>
                  <w:tcW w:w="1078" w:type="pct"/>
                  <w:noWrap w:val="0"/>
                  <w:vAlign w:val="center"/>
                </w:tcPr>
                <w:p w14:paraId="5FF15C51">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位置</w:t>
                  </w:r>
                </w:p>
              </w:tc>
              <w:tc>
                <w:tcPr>
                  <w:tcW w:w="335" w:type="pct"/>
                  <w:vMerge w:val="continue"/>
                  <w:noWrap w:val="0"/>
                  <w:vAlign w:val="center"/>
                </w:tcPr>
                <w:p w14:paraId="4D1ED97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554" w:type="pct"/>
                  <w:vMerge w:val="continue"/>
                  <w:noWrap w:val="0"/>
                  <w:vAlign w:val="center"/>
                </w:tcPr>
                <w:p w14:paraId="62EC163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AE7585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vMerge w:val="continue"/>
                  <w:noWrap w:val="0"/>
                  <w:vAlign w:val="center"/>
                </w:tcPr>
                <w:p w14:paraId="49F79E2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42" w:type="pct"/>
                  <w:vMerge w:val="continue"/>
                  <w:noWrap w:val="0"/>
                  <w:vAlign w:val="center"/>
                </w:tcPr>
                <w:p w14:paraId="51CB0A6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r>
            <w:tr w14:paraId="37D62F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69" w:hRule="atLeast"/>
                <w:jc w:val="center"/>
              </w:trPr>
              <w:tc>
                <w:tcPr>
                  <w:tcW w:w="429" w:type="pct"/>
                  <w:vMerge w:val="restart"/>
                  <w:noWrap w:val="0"/>
                  <w:vAlign w:val="center"/>
                </w:tcPr>
                <w:p w14:paraId="1CA238E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0"/>
                      <w:sz w:val="21"/>
                      <w:szCs w:val="21"/>
                      <w:highlight w:val="none"/>
                      <w:lang w:val="en-US" w:eastAsia="zh-CN"/>
                    </w:rPr>
                    <w:t>DSA+CT复合手术室</w:t>
                  </w:r>
                </w:p>
              </w:tc>
              <w:tc>
                <w:tcPr>
                  <w:tcW w:w="354" w:type="pct"/>
                  <w:vMerge w:val="restart"/>
                  <w:noWrap w:val="0"/>
                  <w:vAlign w:val="center"/>
                </w:tcPr>
                <w:p w14:paraId="3E41ED4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olor w:val="auto"/>
                      <w:spacing w:val="-11"/>
                      <w:kern w:val="0"/>
                      <w:sz w:val="21"/>
                      <w:szCs w:val="21"/>
                      <w:highlight w:val="none"/>
                    </w:rPr>
                  </w:pPr>
                  <w:r>
                    <w:rPr>
                      <w:rFonts w:hint="eastAsia"/>
                      <w:color w:val="auto"/>
                      <w:spacing w:val="0"/>
                      <w:kern w:val="0"/>
                      <w:sz w:val="21"/>
                      <w:szCs w:val="21"/>
                      <w:highlight w:val="none"/>
                    </w:rPr>
                    <w:t>1</w:t>
                  </w:r>
                </w:p>
              </w:tc>
              <w:tc>
                <w:tcPr>
                  <w:tcW w:w="1078" w:type="pct"/>
                  <w:vMerge w:val="restart"/>
                  <w:noWrap w:val="0"/>
                  <w:vAlign w:val="center"/>
                </w:tcPr>
                <w:p w14:paraId="780C9F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机房北侧观察窗外侧1m（控制室操作位）</w:t>
                  </w:r>
                </w:p>
              </w:tc>
              <w:tc>
                <w:tcPr>
                  <w:tcW w:w="335" w:type="pct"/>
                  <w:noWrap w:val="0"/>
                  <w:vAlign w:val="center"/>
                </w:tcPr>
                <w:p w14:paraId="2F60108D">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D0236C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宋体"/>
                      <w:color w:val="auto"/>
                      <w:spacing w:val="-11"/>
                      <w:kern w:val="0"/>
                      <w:sz w:val="21"/>
                      <w:szCs w:val="21"/>
                      <w:highlight w:val="none"/>
                      <w:lang w:val="en-US" w:eastAsia="zh-CN"/>
                    </w:rPr>
                  </w:pPr>
                  <w:r>
                    <w:rPr>
                      <w:rFonts w:hint="eastAsia"/>
                      <w:color w:val="auto"/>
                      <w:spacing w:val="0"/>
                      <w:kern w:val="0"/>
                      <w:sz w:val="21"/>
                      <w:szCs w:val="21"/>
                      <w:highlight w:val="none"/>
                      <w:lang w:val="en-US" w:eastAsia="zh-CN"/>
                    </w:rPr>
                    <w:t>7.8</w:t>
                  </w:r>
                </w:p>
              </w:tc>
              <w:tc>
                <w:tcPr>
                  <w:tcW w:w="974" w:type="pct"/>
                  <w:vMerge w:val="restart"/>
                  <w:noWrap w:val="0"/>
                  <w:vAlign w:val="center"/>
                </w:tcPr>
                <w:p w14:paraId="056AF5ED">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7681A2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7B12AB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3.09E-06</w:t>
                  </w:r>
                </w:p>
              </w:tc>
            </w:tr>
            <w:tr w14:paraId="032E64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864E19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0A157F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31B810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0489486A">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95C3B9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AB8C37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10FA90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088721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8.92E-03</w:t>
                  </w:r>
                </w:p>
              </w:tc>
            </w:tr>
            <w:tr w14:paraId="1D3B3E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D1B97C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54" w:type="pct"/>
                  <w:vMerge w:val="restart"/>
                  <w:shd w:val="clear" w:color="auto" w:fill="auto"/>
                  <w:noWrap w:val="0"/>
                  <w:vAlign w:val="center"/>
                </w:tcPr>
                <w:p w14:paraId="1D1DCC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2</w:t>
                  </w:r>
                </w:p>
              </w:tc>
              <w:tc>
                <w:tcPr>
                  <w:tcW w:w="1078" w:type="pct"/>
                  <w:vMerge w:val="restart"/>
                  <w:shd w:val="clear" w:color="auto" w:fill="auto"/>
                  <w:noWrap w:val="0"/>
                  <w:vAlign w:val="center"/>
                </w:tcPr>
                <w:p w14:paraId="736FFAF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机房北侧控制室门外侧30cm（控制室）</w:t>
                  </w:r>
                </w:p>
              </w:tc>
              <w:tc>
                <w:tcPr>
                  <w:tcW w:w="335" w:type="pct"/>
                  <w:noWrap w:val="0"/>
                  <w:vAlign w:val="center"/>
                </w:tcPr>
                <w:p w14:paraId="0640C49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827FD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宋体"/>
                      <w:color w:val="auto"/>
                      <w:spacing w:val="-11"/>
                      <w:kern w:val="0"/>
                      <w:sz w:val="21"/>
                      <w:szCs w:val="21"/>
                      <w:highlight w:val="none"/>
                      <w:lang w:val="en-US" w:eastAsia="zh-CN"/>
                    </w:rPr>
                  </w:pPr>
                  <w:r>
                    <w:rPr>
                      <w:rFonts w:hint="eastAsia"/>
                      <w:color w:val="auto"/>
                      <w:spacing w:val="0"/>
                      <w:kern w:val="0"/>
                      <w:sz w:val="21"/>
                      <w:szCs w:val="21"/>
                      <w:highlight w:val="none"/>
                      <w:lang w:val="en-US" w:eastAsia="zh-CN"/>
                    </w:rPr>
                    <w:t>7.7</w:t>
                  </w:r>
                </w:p>
              </w:tc>
              <w:tc>
                <w:tcPr>
                  <w:tcW w:w="974" w:type="pct"/>
                  <w:vMerge w:val="restart"/>
                  <w:shd w:val="clear" w:color="auto" w:fill="auto"/>
                  <w:noWrap w:val="0"/>
                  <w:vAlign w:val="center"/>
                </w:tcPr>
                <w:p w14:paraId="0BFBBC8D">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11DC18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06113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3.18E-06</w:t>
                  </w:r>
                </w:p>
              </w:tc>
            </w:tr>
            <w:tr w14:paraId="458EC1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A1E08E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99C55B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036E94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4017BA1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B43777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516A09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EC5D2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00215A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9.15E-03</w:t>
                  </w:r>
                </w:p>
              </w:tc>
            </w:tr>
            <w:tr w14:paraId="78EEFF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shd w:val="clear" w:color="auto" w:fill="auto"/>
                  <w:noWrap w:val="0"/>
                  <w:vAlign w:val="center"/>
                </w:tcPr>
                <w:p w14:paraId="17BCFF79">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p>
              </w:tc>
              <w:tc>
                <w:tcPr>
                  <w:tcW w:w="354" w:type="pct"/>
                  <w:vMerge w:val="restart"/>
                  <w:shd w:val="clear" w:color="auto" w:fill="auto"/>
                  <w:noWrap w:val="0"/>
                  <w:vAlign w:val="center"/>
                </w:tcPr>
                <w:p w14:paraId="1C91F3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3</w:t>
                  </w:r>
                </w:p>
              </w:tc>
              <w:tc>
                <w:tcPr>
                  <w:tcW w:w="1078" w:type="pct"/>
                  <w:vMerge w:val="restart"/>
                  <w:shd w:val="clear" w:color="auto" w:fill="auto"/>
                  <w:noWrap w:val="0"/>
                  <w:vAlign w:val="center"/>
                </w:tcPr>
                <w:p w14:paraId="1C235B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机房北侧墙体外侧30cm（控制室）</w:t>
                  </w:r>
                </w:p>
              </w:tc>
              <w:tc>
                <w:tcPr>
                  <w:tcW w:w="335" w:type="pct"/>
                  <w:shd w:val="clear" w:color="auto" w:fill="auto"/>
                  <w:noWrap w:val="0"/>
                  <w:vAlign w:val="center"/>
                </w:tcPr>
                <w:p w14:paraId="48B9BE3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7786E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宋体"/>
                      <w:color w:val="auto"/>
                      <w:spacing w:val="-11"/>
                      <w:kern w:val="0"/>
                      <w:sz w:val="21"/>
                      <w:szCs w:val="21"/>
                      <w:highlight w:val="none"/>
                      <w:lang w:val="en-US" w:eastAsia="zh-CN"/>
                    </w:rPr>
                  </w:pPr>
                  <w:r>
                    <w:rPr>
                      <w:rFonts w:hint="eastAsia"/>
                      <w:color w:val="auto"/>
                      <w:spacing w:val="0"/>
                      <w:kern w:val="0"/>
                      <w:sz w:val="21"/>
                      <w:szCs w:val="21"/>
                      <w:highlight w:val="none"/>
                      <w:lang w:val="en-US" w:eastAsia="zh-CN"/>
                    </w:rPr>
                    <w:t>7.3</w:t>
                  </w:r>
                </w:p>
              </w:tc>
              <w:tc>
                <w:tcPr>
                  <w:tcW w:w="974" w:type="pct"/>
                  <w:vMerge w:val="restart"/>
                  <w:noWrap w:val="0"/>
                  <w:vAlign w:val="center"/>
                </w:tcPr>
                <w:p w14:paraId="4E9F9DF1">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282F062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2C8B4E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2.55E-06</w:t>
                  </w:r>
                </w:p>
              </w:tc>
            </w:tr>
            <w:tr w14:paraId="08B66C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C9CE1C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35A0F6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138067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203FF4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5CD696D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CA3513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2A1A803">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77DA3B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7.99E-03</w:t>
                  </w:r>
                </w:p>
              </w:tc>
            </w:tr>
            <w:tr w14:paraId="15E2ED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shd w:val="clear" w:color="auto" w:fill="auto"/>
                  <w:noWrap w:val="0"/>
                  <w:vAlign w:val="center"/>
                </w:tcPr>
                <w:p w14:paraId="725C5037">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p>
              </w:tc>
              <w:tc>
                <w:tcPr>
                  <w:tcW w:w="354" w:type="pct"/>
                  <w:vMerge w:val="restart"/>
                  <w:shd w:val="clear" w:color="auto" w:fill="auto"/>
                  <w:noWrap w:val="0"/>
                  <w:vAlign w:val="center"/>
                </w:tcPr>
                <w:p w14:paraId="019BFC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4</w:t>
                  </w:r>
                </w:p>
              </w:tc>
              <w:tc>
                <w:tcPr>
                  <w:tcW w:w="1078" w:type="pct"/>
                  <w:vMerge w:val="restart"/>
                  <w:shd w:val="clear" w:color="auto" w:fill="auto"/>
                  <w:noWrap w:val="0"/>
                  <w:vAlign w:val="center"/>
                </w:tcPr>
                <w:p w14:paraId="57E9BD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机房东侧医生通道门外侧30cm（医生通道）</w:t>
                  </w:r>
                </w:p>
              </w:tc>
              <w:tc>
                <w:tcPr>
                  <w:tcW w:w="335" w:type="pct"/>
                  <w:shd w:val="clear" w:color="auto" w:fill="auto"/>
                  <w:noWrap w:val="0"/>
                  <w:vAlign w:val="center"/>
                </w:tcPr>
                <w:p w14:paraId="286C9284">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4B29A18">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shd w:val="clear" w:color="auto" w:fill="auto"/>
                  <w:noWrap w:val="0"/>
                  <w:vAlign w:val="center"/>
                </w:tcPr>
                <w:p w14:paraId="2D9C06F4">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2C0728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2347C2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7.84E-06</w:t>
                  </w:r>
                </w:p>
              </w:tc>
            </w:tr>
            <w:tr w14:paraId="3A610A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53A31D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154614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15312E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A0893C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DF869C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3935CF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E8149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4E31C2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2.26E-02</w:t>
                  </w:r>
                </w:p>
              </w:tc>
            </w:tr>
            <w:tr w14:paraId="138907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EAAB270">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p>
              </w:tc>
              <w:tc>
                <w:tcPr>
                  <w:tcW w:w="354" w:type="pct"/>
                  <w:vMerge w:val="restart"/>
                  <w:noWrap w:val="0"/>
                  <w:vAlign w:val="center"/>
                </w:tcPr>
                <w:p w14:paraId="6A255D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w:t>
                  </w:r>
                </w:p>
              </w:tc>
              <w:tc>
                <w:tcPr>
                  <w:tcW w:w="1078" w:type="pct"/>
                  <w:vMerge w:val="restart"/>
                  <w:noWrap w:val="0"/>
                  <w:vAlign w:val="center"/>
                </w:tcPr>
                <w:p w14:paraId="76E666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机房东侧墙体外侧30cm（手术室OR14）</w:t>
                  </w:r>
                </w:p>
              </w:tc>
              <w:tc>
                <w:tcPr>
                  <w:tcW w:w="335" w:type="pct"/>
                  <w:shd w:val="clear" w:color="auto" w:fill="auto"/>
                  <w:noWrap w:val="0"/>
                  <w:vAlign w:val="center"/>
                </w:tcPr>
                <w:p w14:paraId="0055FB4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EAB6FE2">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2E49043F">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A4B378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52EE38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5.65E-06</w:t>
                  </w:r>
                </w:p>
              </w:tc>
            </w:tr>
            <w:tr w14:paraId="59F7A2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488743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750A40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F072E4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0B1612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35FDB7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D7049B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154F6D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0E8262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1.77E-02</w:t>
                  </w:r>
                </w:p>
              </w:tc>
            </w:tr>
            <w:tr w14:paraId="4A03D2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FEBFF5B">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p>
              </w:tc>
              <w:tc>
                <w:tcPr>
                  <w:tcW w:w="354" w:type="pct"/>
                  <w:vMerge w:val="restart"/>
                  <w:noWrap w:val="0"/>
                  <w:vAlign w:val="center"/>
                </w:tcPr>
                <w:p w14:paraId="72B8AC6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w:t>
                  </w:r>
                </w:p>
              </w:tc>
              <w:tc>
                <w:tcPr>
                  <w:tcW w:w="1078" w:type="pct"/>
                  <w:vMerge w:val="restart"/>
                  <w:noWrap w:val="0"/>
                  <w:vAlign w:val="center"/>
                </w:tcPr>
                <w:p w14:paraId="100991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机房南侧CT通道门外侧30cm（CT设备间）</w:t>
                  </w:r>
                </w:p>
              </w:tc>
              <w:tc>
                <w:tcPr>
                  <w:tcW w:w="335" w:type="pct"/>
                  <w:noWrap w:val="0"/>
                  <w:vAlign w:val="center"/>
                </w:tcPr>
                <w:p w14:paraId="48AEE29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F365227">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4.5</w:t>
                  </w:r>
                </w:p>
              </w:tc>
              <w:tc>
                <w:tcPr>
                  <w:tcW w:w="974" w:type="pct"/>
                  <w:vMerge w:val="restart"/>
                  <w:shd w:val="clear" w:color="auto" w:fill="auto"/>
                  <w:noWrap w:val="0"/>
                  <w:vAlign w:val="center"/>
                </w:tcPr>
                <w:p w14:paraId="63A53DFC">
                  <w:pPr>
                    <w:keepNext w:val="0"/>
                    <w:keepLines w:val="0"/>
                    <w:pageBreakBefore w:val="0"/>
                    <w:kinsoku/>
                    <w:wordWrap/>
                    <w:overflowPunct/>
                    <w:topLinePunct w:val="0"/>
                    <w:autoSpaceDE/>
                    <w:autoSpaceDN/>
                    <w:bidi w:val="0"/>
                    <w:adjustRightInd/>
                    <w:snapToGrid/>
                    <w:spacing w:line="280" w:lineRule="exact"/>
                    <w:jc w:val="center"/>
                    <w:rPr>
                      <w:rFonts w:hint="default"/>
                      <w:color w:val="auto"/>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33CA30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6176AC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9.30E-06</w:t>
                  </w:r>
                </w:p>
              </w:tc>
            </w:tr>
            <w:tr w14:paraId="6092D2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CB20D5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278DED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57BAEA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5A69815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5791E89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0D1FCD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48982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1EC0A7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2.68E-02</w:t>
                  </w:r>
                </w:p>
              </w:tc>
            </w:tr>
            <w:tr w14:paraId="219E92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32BC431">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p>
              </w:tc>
              <w:tc>
                <w:tcPr>
                  <w:tcW w:w="354" w:type="pct"/>
                  <w:vMerge w:val="restart"/>
                  <w:noWrap w:val="0"/>
                  <w:vAlign w:val="center"/>
                </w:tcPr>
                <w:p w14:paraId="6D0E0F0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7</w:t>
                  </w:r>
                </w:p>
              </w:tc>
              <w:tc>
                <w:tcPr>
                  <w:tcW w:w="1078" w:type="pct"/>
                  <w:vMerge w:val="restart"/>
                  <w:noWrap w:val="0"/>
                  <w:vAlign w:val="center"/>
                </w:tcPr>
                <w:p w14:paraId="45F9757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机房南侧墙体外侧30cm（CT设备间）</w:t>
                  </w:r>
                </w:p>
              </w:tc>
              <w:tc>
                <w:tcPr>
                  <w:tcW w:w="335" w:type="pct"/>
                  <w:noWrap w:val="0"/>
                  <w:vAlign w:val="center"/>
                </w:tcPr>
                <w:p w14:paraId="287A7A2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D14AEE1">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4.5</w:t>
                  </w:r>
                </w:p>
              </w:tc>
              <w:tc>
                <w:tcPr>
                  <w:tcW w:w="974" w:type="pct"/>
                  <w:vMerge w:val="restart"/>
                  <w:noWrap w:val="0"/>
                  <w:vAlign w:val="center"/>
                </w:tcPr>
                <w:p w14:paraId="42F415C8">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1E8A6D2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0BBA5C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6.70E-06</w:t>
                  </w:r>
                </w:p>
              </w:tc>
            </w:tr>
            <w:tr w14:paraId="72928C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0EDC18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55E75B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7787FA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0F81CD6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1F18BA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C3AAA1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469DDDBB">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7183B4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2.10E-02</w:t>
                  </w:r>
                </w:p>
              </w:tc>
            </w:tr>
            <w:tr w14:paraId="42E568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shd w:val="clear" w:color="auto" w:fill="auto"/>
                  <w:noWrap w:val="0"/>
                  <w:vAlign w:val="center"/>
                </w:tcPr>
                <w:p w14:paraId="7411B23B">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color w:val="auto"/>
                      <w:spacing w:val="-11"/>
                      <w:kern w:val="0"/>
                      <w:sz w:val="21"/>
                      <w:szCs w:val="21"/>
                      <w:highlight w:val="none"/>
                      <w:lang w:val="en-US" w:eastAsia="zh-CN" w:bidi="ar-SA"/>
                    </w:rPr>
                  </w:pPr>
                </w:p>
              </w:tc>
              <w:tc>
                <w:tcPr>
                  <w:tcW w:w="354" w:type="pct"/>
                  <w:vMerge w:val="restart"/>
                  <w:shd w:val="clear" w:color="auto" w:fill="auto"/>
                  <w:noWrap w:val="0"/>
                  <w:vAlign w:val="center"/>
                </w:tcPr>
                <w:p w14:paraId="15829B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8</w:t>
                  </w:r>
                </w:p>
              </w:tc>
              <w:tc>
                <w:tcPr>
                  <w:tcW w:w="1078" w:type="pct"/>
                  <w:vMerge w:val="restart"/>
                  <w:shd w:val="clear" w:color="auto" w:fill="auto"/>
                  <w:noWrap w:val="0"/>
                  <w:vAlign w:val="center"/>
                </w:tcPr>
                <w:p w14:paraId="58227F5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机房南侧患者通道门外侧30cm（患者通道）</w:t>
                  </w:r>
                </w:p>
              </w:tc>
              <w:tc>
                <w:tcPr>
                  <w:tcW w:w="335" w:type="pct"/>
                  <w:shd w:val="clear" w:color="auto" w:fill="auto"/>
                  <w:noWrap w:val="0"/>
                  <w:vAlign w:val="center"/>
                </w:tcPr>
                <w:p w14:paraId="3ABE787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72A1822A">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5.3</w:t>
                  </w:r>
                </w:p>
              </w:tc>
              <w:tc>
                <w:tcPr>
                  <w:tcW w:w="974" w:type="pct"/>
                  <w:vMerge w:val="restart"/>
                  <w:shd w:val="clear" w:color="auto" w:fill="auto"/>
                  <w:noWrap w:val="0"/>
                  <w:vAlign w:val="center"/>
                </w:tcPr>
                <w:p w14:paraId="4E1DBB04">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2BE704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66A59F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6.70E-06</w:t>
                  </w:r>
                </w:p>
              </w:tc>
            </w:tr>
            <w:tr w14:paraId="149718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433B15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2BBA61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44641F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7AA2D27">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A9CBFE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46A0EC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4DD50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11BF2B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1.93E-02</w:t>
                  </w:r>
                </w:p>
              </w:tc>
            </w:tr>
            <w:tr w14:paraId="5CF831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B97153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855DE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9</w:t>
                  </w:r>
                </w:p>
              </w:tc>
              <w:tc>
                <w:tcPr>
                  <w:tcW w:w="1078" w:type="pct"/>
                  <w:vMerge w:val="restart"/>
                  <w:noWrap w:val="0"/>
                  <w:vAlign w:val="center"/>
                </w:tcPr>
                <w:p w14:paraId="1A407B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机房西侧墙体外侧30cm（患者通道）</w:t>
                  </w:r>
                </w:p>
              </w:tc>
              <w:tc>
                <w:tcPr>
                  <w:tcW w:w="335" w:type="pct"/>
                  <w:shd w:val="clear" w:color="auto" w:fill="auto"/>
                  <w:noWrap w:val="0"/>
                  <w:vAlign w:val="center"/>
                </w:tcPr>
                <w:p w14:paraId="2554F12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38078F8">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4.7</w:t>
                  </w:r>
                </w:p>
              </w:tc>
              <w:tc>
                <w:tcPr>
                  <w:tcW w:w="974" w:type="pct"/>
                  <w:vMerge w:val="restart"/>
                  <w:noWrap w:val="0"/>
                  <w:vAlign w:val="center"/>
                </w:tcPr>
                <w:p w14:paraId="4AEDCE0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570949F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7EA03A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6.14E-06</w:t>
                  </w:r>
                </w:p>
              </w:tc>
            </w:tr>
            <w:tr w14:paraId="367BFE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7C7843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B0496E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4A7BA7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342D3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C28677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0C92C2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09E5C5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673387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1.93E-02</w:t>
                  </w:r>
                </w:p>
              </w:tc>
            </w:tr>
            <w:tr w14:paraId="0AC532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92B9C6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EA7D04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11</w:t>
                  </w:r>
                </w:p>
              </w:tc>
              <w:tc>
                <w:tcPr>
                  <w:tcW w:w="1078" w:type="pct"/>
                  <w:vMerge w:val="restart"/>
                  <w:noWrap w:val="0"/>
                  <w:vAlign w:val="center"/>
                </w:tcPr>
                <w:p w14:paraId="69CB8CD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22B9AD5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C6682BB">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2E82458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2A5EC36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434AF7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5.06E-05</w:t>
                  </w:r>
                </w:p>
              </w:tc>
            </w:tr>
            <w:tr w14:paraId="55ABAF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9A4CD9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9762E2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5D9CC3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83528C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5BD142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078AC1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ACED7B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8.71E-06</w:t>
                  </w:r>
                </w:p>
              </w:tc>
              <w:tc>
                <w:tcPr>
                  <w:tcW w:w="1150" w:type="dxa"/>
                  <w:noWrap w:val="0"/>
                  <w:vAlign w:val="center"/>
                </w:tcPr>
                <w:p w14:paraId="5312D7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9.20E-02</w:t>
                  </w:r>
                </w:p>
              </w:tc>
            </w:tr>
            <w:tr w14:paraId="081ABC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6B4701D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bCs/>
                      <w:sz w:val="21"/>
                      <w:szCs w:val="21"/>
                      <w:lang w:val="en-US" w:eastAsia="zh-CN"/>
                    </w:rPr>
                    <w:t>DSA手术室OR09</w:t>
                  </w:r>
                </w:p>
              </w:tc>
              <w:tc>
                <w:tcPr>
                  <w:tcW w:w="354" w:type="pct"/>
                  <w:vMerge w:val="restart"/>
                  <w:noWrap w:val="0"/>
                  <w:vAlign w:val="center"/>
                </w:tcPr>
                <w:p w14:paraId="6C8824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12</w:t>
                  </w:r>
                </w:p>
              </w:tc>
              <w:tc>
                <w:tcPr>
                  <w:tcW w:w="1078" w:type="pct"/>
                  <w:vMerge w:val="restart"/>
                  <w:noWrap w:val="0"/>
                  <w:vAlign w:val="center"/>
                </w:tcPr>
                <w:p w14:paraId="6B2D00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机房北侧患者通道门外侧30cm（患者通道）</w:t>
                  </w:r>
                </w:p>
              </w:tc>
              <w:tc>
                <w:tcPr>
                  <w:tcW w:w="335" w:type="pct"/>
                  <w:shd w:val="clear" w:color="auto" w:fill="auto"/>
                  <w:noWrap w:val="0"/>
                  <w:vAlign w:val="center"/>
                </w:tcPr>
                <w:p w14:paraId="5BC4BA5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26FB5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6.0</w:t>
                  </w:r>
                </w:p>
              </w:tc>
              <w:tc>
                <w:tcPr>
                  <w:tcW w:w="974" w:type="pct"/>
                  <w:vMerge w:val="restart"/>
                  <w:noWrap w:val="0"/>
                  <w:vAlign w:val="center"/>
                </w:tcPr>
                <w:p w14:paraId="03761F9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57E05EA6">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75834D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5.23E-06</w:t>
                  </w:r>
                </w:p>
              </w:tc>
            </w:tr>
            <w:tr w14:paraId="7F9C97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459337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A3CC33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3CAC47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19E11D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271DDF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85F838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990D5E8">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2E5494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1.51E-02</w:t>
                  </w:r>
                </w:p>
              </w:tc>
            </w:tr>
            <w:tr w14:paraId="76F80F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29" w:type="pct"/>
                  <w:vMerge w:val="continue"/>
                  <w:noWrap w:val="0"/>
                  <w:vAlign w:val="center"/>
                </w:tcPr>
                <w:p w14:paraId="4E9F74B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7738862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13</w:t>
                  </w:r>
                </w:p>
              </w:tc>
              <w:tc>
                <w:tcPr>
                  <w:tcW w:w="1078" w:type="pct"/>
                  <w:vMerge w:val="restart"/>
                  <w:noWrap w:val="0"/>
                  <w:vAlign w:val="center"/>
                </w:tcPr>
                <w:p w14:paraId="5E1AEDA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机房北侧墙体外侧30cm（患者通道）</w:t>
                  </w:r>
                </w:p>
              </w:tc>
              <w:tc>
                <w:tcPr>
                  <w:tcW w:w="335" w:type="pct"/>
                  <w:shd w:val="clear" w:color="auto" w:fill="auto"/>
                  <w:noWrap w:val="0"/>
                  <w:vAlign w:val="center"/>
                </w:tcPr>
                <w:p w14:paraId="352D1C9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2F3D0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6.2</w:t>
                  </w:r>
                </w:p>
              </w:tc>
              <w:tc>
                <w:tcPr>
                  <w:tcW w:w="974" w:type="pct"/>
                  <w:vMerge w:val="restart"/>
                  <w:noWrap w:val="0"/>
                  <w:vAlign w:val="center"/>
                </w:tcPr>
                <w:p w14:paraId="50468A0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639DE37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217DA1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5.05E-05</w:t>
                  </w:r>
                </w:p>
              </w:tc>
            </w:tr>
            <w:tr w14:paraId="4D244B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B66B2E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AB7283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5C3DA0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D1974E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F306F8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476643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4EBFF9F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25B7E6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8.18E-02</w:t>
                  </w:r>
                </w:p>
              </w:tc>
            </w:tr>
            <w:tr w14:paraId="447881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B5FBEF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33B14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14</w:t>
                  </w:r>
                </w:p>
              </w:tc>
              <w:tc>
                <w:tcPr>
                  <w:tcW w:w="1078" w:type="pct"/>
                  <w:vMerge w:val="restart"/>
                  <w:noWrap w:val="0"/>
                  <w:vAlign w:val="center"/>
                </w:tcPr>
                <w:p w14:paraId="77EDFB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机房东侧观察窗外侧1m（控制室操作位）</w:t>
                  </w:r>
                </w:p>
              </w:tc>
              <w:tc>
                <w:tcPr>
                  <w:tcW w:w="335" w:type="pct"/>
                  <w:shd w:val="clear" w:color="auto" w:fill="auto"/>
                  <w:noWrap w:val="0"/>
                  <w:vAlign w:val="center"/>
                </w:tcPr>
                <w:p w14:paraId="0F7A8EA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DE2788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5.3</w:t>
                  </w:r>
                </w:p>
              </w:tc>
              <w:tc>
                <w:tcPr>
                  <w:tcW w:w="974" w:type="pct"/>
                  <w:vMerge w:val="restart"/>
                  <w:noWrap w:val="0"/>
                  <w:vAlign w:val="center"/>
                </w:tcPr>
                <w:p w14:paraId="0D84655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5DA4FA19">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16C07B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6.70E-06</w:t>
                  </w:r>
                </w:p>
              </w:tc>
            </w:tr>
            <w:tr w14:paraId="323EFA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50AD52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4907B8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EC9573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8063C7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05F6D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D1B7D9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3989350">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13AF28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1.93E-02</w:t>
                  </w:r>
                </w:p>
              </w:tc>
            </w:tr>
            <w:tr w14:paraId="26AD52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99AC0E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A883BE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15</w:t>
                  </w:r>
                </w:p>
              </w:tc>
              <w:tc>
                <w:tcPr>
                  <w:tcW w:w="1078" w:type="pct"/>
                  <w:vMerge w:val="restart"/>
                  <w:noWrap w:val="0"/>
                  <w:vAlign w:val="center"/>
                </w:tcPr>
                <w:p w14:paraId="59EE2E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机房东侧控制室门外侧30cm（共用控制室）</w:t>
                  </w:r>
                </w:p>
              </w:tc>
              <w:tc>
                <w:tcPr>
                  <w:tcW w:w="335" w:type="pct"/>
                  <w:shd w:val="clear" w:color="auto" w:fill="auto"/>
                  <w:noWrap w:val="0"/>
                  <w:vAlign w:val="center"/>
                </w:tcPr>
                <w:p w14:paraId="2CBAA45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70110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4.8</w:t>
                  </w:r>
                </w:p>
              </w:tc>
              <w:tc>
                <w:tcPr>
                  <w:tcW w:w="974" w:type="pct"/>
                  <w:vMerge w:val="restart"/>
                  <w:noWrap w:val="0"/>
                  <w:vAlign w:val="center"/>
                </w:tcPr>
                <w:p w14:paraId="2BB31CD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313925B7">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031809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8.17E-06</w:t>
                  </w:r>
                </w:p>
              </w:tc>
            </w:tr>
            <w:tr w14:paraId="740C67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0A7E5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E27DD4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8E5A99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6F421C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5114B1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9B8F12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80414E1">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72A937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2.35E-02</w:t>
                  </w:r>
                </w:p>
              </w:tc>
            </w:tr>
            <w:tr w14:paraId="17A4B8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7B2D03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742FCF8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16</w:t>
                  </w:r>
                </w:p>
              </w:tc>
              <w:tc>
                <w:tcPr>
                  <w:tcW w:w="1078" w:type="pct"/>
                  <w:vMerge w:val="restart"/>
                  <w:noWrap w:val="0"/>
                  <w:vAlign w:val="center"/>
                </w:tcPr>
                <w:p w14:paraId="31A1EFB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机房东侧墙体外侧30cm（共用控制室）</w:t>
                  </w:r>
                </w:p>
              </w:tc>
              <w:tc>
                <w:tcPr>
                  <w:tcW w:w="335" w:type="pct"/>
                  <w:shd w:val="clear" w:color="auto" w:fill="auto"/>
                  <w:noWrap w:val="0"/>
                  <w:vAlign w:val="center"/>
                </w:tcPr>
                <w:p w14:paraId="75CB11F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FE4E26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4.6</w:t>
                  </w:r>
                </w:p>
              </w:tc>
              <w:tc>
                <w:tcPr>
                  <w:tcW w:w="974" w:type="pct"/>
                  <w:vMerge w:val="restart"/>
                  <w:noWrap w:val="0"/>
                  <w:vAlign w:val="center"/>
                </w:tcPr>
                <w:p w14:paraId="2AFCB66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69C2AE3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166947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9.18E-05</w:t>
                  </w:r>
                </w:p>
              </w:tc>
            </w:tr>
            <w:tr w14:paraId="4CA846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D351AC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BC9F13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826C27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D561EF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9F0A91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DA3292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12FACE7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4ED35E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1.49E-01</w:t>
                  </w:r>
                </w:p>
              </w:tc>
            </w:tr>
            <w:tr w14:paraId="40E061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1F8936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B07DA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17</w:t>
                  </w:r>
                </w:p>
              </w:tc>
              <w:tc>
                <w:tcPr>
                  <w:tcW w:w="1078" w:type="pct"/>
                  <w:vMerge w:val="restart"/>
                  <w:noWrap w:val="0"/>
                  <w:vAlign w:val="center"/>
                </w:tcPr>
                <w:p w14:paraId="091544E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机房南侧医生通道门外侧30cm（医生通道）</w:t>
                  </w:r>
                </w:p>
              </w:tc>
              <w:tc>
                <w:tcPr>
                  <w:tcW w:w="335" w:type="pct"/>
                  <w:shd w:val="clear" w:color="auto" w:fill="auto"/>
                  <w:noWrap w:val="0"/>
                  <w:vAlign w:val="center"/>
                </w:tcPr>
                <w:p w14:paraId="25F5087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8AD12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3.8</w:t>
                  </w:r>
                </w:p>
              </w:tc>
              <w:tc>
                <w:tcPr>
                  <w:tcW w:w="974" w:type="pct"/>
                  <w:vMerge w:val="restart"/>
                  <w:noWrap w:val="0"/>
                  <w:vAlign w:val="center"/>
                </w:tcPr>
                <w:p w14:paraId="61D6A7D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45F7F907">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4BE81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1.30E-05</w:t>
                  </w:r>
                </w:p>
              </w:tc>
            </w:tr>
            <w:tr w14:paraId="4194BB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E079F0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0F71DC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0058FC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B1CFDA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C518DA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89950F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049E305">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52C3C2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3.76E-02</w:t>
                  </w:r>
                </w:p>
              </w:tc>
            </w:tr>
            <w:tr w14:paraId="78478C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8E21D7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EC7669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18</w:t>
                  </w:r>
                </w:p>
              </w:tc>
              <w:tc>
                <w:tcPr>
                  <w:tcW w:w="1078" w:type="pct"/>
                  <w:vMerge w:val="restart"/>
                  <w:noWrap w:val="0"/>
                  <w:vAlign w:val="center"/>
                </w:tcPr>
                <w:p w14:paraId="6DCBF7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机房南侧墙体外侧30cm（医生通道）</w:t>
                  </w:r>
                </w:p>
              </w:tc>
              <w:tc>
                <w:tcPr>
                  <w:tcW w:w="335" w:type="pct"/>
                  <w:shd w:val="clear" w:color="auto" w:fill="auto"/>
                  <w:noWrap w:val="0"/>
                  <w:vAlign w:val="center"/>
                </w:tcPr>
                <w:p w14:paraId="1F9A055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E6ABE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3.3</w:t>
                  </w:r>
                </w:p>
              </w:tc>
              <w:tc>
                <w:tcPr>
                  <w:tcW w:w="974" w:type="pct"/>
                  <w:vMerge w:val="restart"/>
                  <w:noWrap w:val="0"/>
                  <w:vAlign w:val="center"/>
                </w:tcPr>
                <w:p w14:paraId="18CFCC8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6AE9591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75E13D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1.78E-04</w:t>
                  </w:r>
                </w:p>
              </w:tc>
            </w:tr>
            <w:tr w14:paraId="7E0D1E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C2FF04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86437E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82BB50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D2C7A5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82C857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847963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9694C4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54026C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2.89E-01</w:t>
                  </w:r>
                </w:p>
              </w:tc>
            </w:tr>
            <w:tr w14:paraId="02FA18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75AD79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4D9FA8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19</w:t>
                  </w:r>
                </w:p>
              </w:tc>
              <w:tc>
                <w:tcPr>
                  <w:tcW w:w="1078" w:type="pct"/>
                  <w:vMerge w:val="restart"/>
                  <w:noWrap w:val="0"/>
                  <w:vAlign w:val="center"/>
                </w:tcPr>
                <w:p w14:paraId="1BCA15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机房西侧墙体外侧30cm（患者通道）</w:t>
                  </w:r>
                </w:p>
              </w:tc>
              <w:tc>
                <w:tcPr>
                  <w:tcW w:w="335" w:type="pct"/>
                  <w:shd w:val="clear" w:color="auto" w:fill="auto"/>
                  <w:noWrap w:val="0"/>
                  <w:vAlign w:val="center"/>
                </w:tcPr>
                <w:p w14:paraId="2DF2F70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22B12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4.6</w:t>
                  </w:r>
                </w:p>
              </w:tc>
              <w:tc>
                <w:tcPr>
                  <w:tcW w:w="974" w:type="pct"/>
                  <w:vMerge w:val="restart"/>
                  <w:noWrap w:val="0"/>
                  <w:vAlign w:val="center"/>
                </w:tcPr>
                <w:p w14:paraId="22B2843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0E0264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01FEB0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9.18E-05</w:t>
                  </w:r>
                </w:p>
              </w:tc>
            </w:tr>
            <w:tr w14:paraId="67175E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C8048F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1F0C36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890743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697F58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7567BB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BE3C35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B4F828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5F945E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1.49E-01</w:t>
                  </w:r>
                </w:p>
              </w:tc>
            </w:tr>
            <w:tr w14:paraId="333AB2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06C4AC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5F823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21</w:t>
                  </w:r>
                </w:p>
              </w:tc>
              <w:tc>
                <w:tcPr>
                  <w:tcW w:w="1078" w:type="pct"/>
                  <w:vMerge w:val="restart"/>
                  <w:noWrap w:val="0"/>
                  <w:vAlign w:val="center"/>
                </w:tcPr>
                <w:p w14:paraId="0EDFDF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798487F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BCC2290">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01361D7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61ABEDC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622FE9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r>
            <w:tr w14:paraId="0C8CE1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38ABC2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AE50FB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FDC670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A041F7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79D86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D7FBF2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8C0F48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2EE7F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r>
            <w:tr w14:paraId="17B190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2AF70C1D">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rPr>
                  </w:pPr>
                  <w:r>
                    <w:rPr>
                      <w:rFonts w:hint="eastAsia"/>
                      <w:bCs/>
                      <w:sz w:val="21"/>
                      <w:szCs w:val="21"/>
                      <w:lang w:val="en-US" w:eastAsia="zh-CN"/>
                    </w:rPr>
                    <w:t>DSA手术室OR10</w:t>
                  </w:r>
                </w:p>
              </w:tc>
              <w:tc>
                <w:tcPr>
                  <w:tcW w:w="354" w:type="pct"/>
                  <w:vMerge w:val="restart"/>
                  <w:noWrap w:val="0"/>
                  <w:vAlign w:val="center"/>
                </w:tcPr>
                <w:p w14:paraId="5E9B50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22</w:t>
                  </w:r>
                </w:p>
              </w:tc>
              <w:tc>
                <w:tcPr>
                  <w:tcW w:w="1078" w:type="pct"/>
                  <w:vMerge w:val="restart"/>
                  <w:noWrap w:val="0"/>
                  <w:vAlign w:val="center"/>
                </w:tcPr>
                <w:p w14:paraId="526BCE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机房北侧患者通道门外侧30cm（患者通道）</w:t>
                  </w:r>
                </w:p>
              </w:tc>
              <w:tc>
                <w:tcPr>
                  <w:tcW w:w="335" w:type="pct"/>
                  <w:shd w:val="clear" w:color="auto" w:fill="auto"/>
                  <w:noWrap w:val="0"/>
                  <w:vAlign w:val="center"/>
                </w:tcPr>
                <w:p w14:paraId="75E462A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7754B13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6.5</w:t>
                  </w:r>
                </w:p>
              </w:tc>
              <w:tc>
                <w:tcPr>
                  <w:tcW w:w="974" w:type="pct"/>
                  <w:vMerge w:val="restart"/>
                  <w:noWrap w:val="0"/>
                  <w:vAlign w:val="center"/>
                </w:tcPr>
                <w:p w14:paraId="59B6349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02CAF048">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2D1CFE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4.46E-06</w:t>
                  </w:r>
                </w:p>
              </w:tc>
            </w:tr>
            <w:tr w14:paraId="13AC2E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92C7EA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3C0BCF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FC76C5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21B4096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017988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2F3E33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068BE20">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78437C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1.28E-02</w:t>
                  </w:r>
                </w:p>
              </w:tc>
            </w:tr>
            <w:tr w14:paraId="10F6F5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A235D3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0555F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23</w:t>
                  </w:r>
                </w:p>
              </w:tc>
              <w:tc>
                <w:tcPr>
                  <w:tcW w:w="1078" w:type="pct"/>
                  <w:vMerge w:val="restart"/>
                  <w:noWrap w:val="0"/>
                  <w:vAlign w:val="center"/>
                </w:tcPr>
                <w:p w14:paraId="1BE0F8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机房北侧墙体外侧30cm（患者通道）</w:t>
                  </w:r>
                </w:p>
              </w:tc>
              <w:tc>
                <w:tcPr>
                  <w:tcW w:w="335" w:type="pct"/>
                  <w:shd w:val="clear" w:color="auto" w:fill="auto"/>
                  <w:noWrap w:val="0"/>
                  <w:vAlign w:val="center"/>
                </w:tcPr>
                <w:p w14:paraId="2418A09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176E59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5.8</w:t>
                  </w:r>
                </w:p>
              </w:tc>
              <w:tc>
                <w:tcPr>
                  <w:tcW w:w="974" w:type="pct"/>
                  <w:vMerge w:val="restart"/>
                  <w:noWrap w:val="0"/>
                  <w:vAlign w:val="center"/>
                </w:tcPr>
                <w:p w14:paraId="57ADF6F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4588FE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73AE55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5.77E-05</w:t>
                  </w:r>
                </w:p>
              </w:tc>
            </w:tr>
            <w:tr w14:paraId="70DABF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4BC695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626762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64BE48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8E4B10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236DBEF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9A340A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D4B8002">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0E00D0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9.34E-02</w:t>
                  </w:r>
                </w:p>
              </w:tc>
            </w:tr>
            <w:tr w14:paraId="0A5F22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1C8AF3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84F5F7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24</w:t>
                  </w:r>
                </w:p>
              </w:tc>
              <w:tc>
                <w:tcPr>
                  <w:tcW w:w="1078" w:type="pct"/>
                  <w:vMerge w:val="restart"/>
                  <w:noWrap w:val="0"/>
                  <w:vAlign w:val="center"/>
                </w:tcPr>
                <w:p w14:paraId="72FFC3D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机房西侧观察窗外侧1m（控制室操作位）</w:t>
                  </w:r>
                </w:p>
              </w:tc>
              <w:tc>
                <w:tcPr>
                  <w:tcW w:w="335" w:type="pct"/>
                  <w:shd w:val="clear" w:color="auto" w:fill="auto"/>
                  <w:noWrap w:val="0"/>
                  <w:vAlign w:val="center"/>
                </w:tcPr>
                <w:p w14:paraId="45C65E7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35038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6.0</w:t>
                  </w:r>
                </w:p>
              </w:tc>
              <w:tc>
                <w:tcPr>
                  <w:tcW w:w="974" w:type="pct"/>
                  <w:vMerge w:val="restart"/>
                  <w:noWrap w:val="0"/>
                  <w:vAlign w:val="center"/>
                </w:tcPr>
                <w:p w14:paraId="5EF92FC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0BA0EC04">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D1FE5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5.23E-06</w:t>
                  </w:r>
                </w:p>
              </w:tc>
            </w:tr>
            <w:tr w14:paraId="687128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2852C9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95FBF1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04FAC3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0DF6CA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97BF4B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5FFF9A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31AE268">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7DBE95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1.51E-02</w:t>
                  </w:r>
                </w:p>
              </w:tc>
            </w:tr>
            <w:tr w14:paraId="1A4B4A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A4438E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115F08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25</w:t>
                  </w:r>
                </w:p>
              </w:tc>
              <w:tc>
                <w:tcPr>
                  <w:tcW w:w="1078" w:type="pct"/>
                  <w:vMerge w:val="restart"/>
                  <w:noWrap w:val="0"/>
                  <w:vAlign w:val="center"/>
                </w:tcPr>
                <w:p w14:paraId="21F42E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机房西侧控制室门外侧30cm（共用控制室）</w:t>
                  </w:r>
                </w:p>
              </w:tc>
              <w:tc>
                <w:tcPr>
                  <w:tcW w:w="335" w:type="pct"/>
                  <w:shd w:val="clear" w:color="auto" w:fill="auto"/>
                  <w:noWrap w:val="0"/>
                  <w:vAlign w:val="center"/>
                </w:tcPr>
                <w:p w14:paraId="20208E8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EE1E7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5.5</w:t>
                  </w:r>
                </w:p>
              </w:tc>
              <w:tc>
                <w:tcPr>
                  <w:tcW w:w="974" w:type="pct"/>
                  <w:vMerge w:val="restart"/>
                  <w:noWrap w:val="0"/>
                  <w:vAlign w:val="center"/>
                </w:tcPr>
                <w:p w14:paraId="65F647F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64B90D21">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730933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6.22E-06</w:t>
                  </w:r>
                </w:p>
              </w:tc>
            </w:tr>
            <w:tr w14:paraId="25385A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FA9FAD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26B739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8ED5C9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7C6EDD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3BEB65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AB3554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1B1EB3C9">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14A11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1.79E-02</w:t>
                  </w:r>
                </w:p>
              </w:tc>
            </w:tr>
            <w:tr w14:paraId="57992B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F0052B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E3AC57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26</w:t>
                  </w:r>
                </w:p>
              </w:tc>
              <w:tc>
                <w:tcPr>
                  <w:tcW w:w="1078" w:type="pct"/>
                  <w:vMerge w:val="restart"/>
                  <w:noWrap w:val="0"/>
                  <w:vAlign w:val="center"/>
                </w:tcPr>
                <w:p w14:paraId="445D9C7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机房西侧墙体外侧30cm（共用控制室）</w:t>
                  </w:r>
                </w:p>
              </w:tc>
              <w:tc>
                <w:tcPr>
                  <w:tcW w:w="335" w:type="pct"/>
                  <w:shd w:val="clear" w:color="auto" w:fill="auto"/>
                  <w:noWrap w:val="0"/>
                  <w:vAlign w:val="center"/>
                </w:tcPr>
                <w:p w14:paraId="779C596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F6987B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5.3</w:t>
                  </w:r>
                </w:p>
              </w:tc>
              <w:tc>
                <w:tcPr>
                  <w:tcW w:w="974" w:type="pct"/>
                  <w:vMerge w:val="restart"/>
                  <w:noWrap w:val="0"/>
                  <w:vAlign w:val="center"/>
                </w:tcPr>
                <w:p w14:paraId="3540E64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4F17EF8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7831CD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6.91E-05</w:t>
                  </w:r>
                </w:p>
              </w:tc>
            </w:tr>
            <w:tr w14:paraId="7A7F05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CA2F5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F28711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5B4DEF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C1ADDB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33F028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68FA5A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48C0747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3A7544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1.12E-01</w:t>
                  </w:r>
                </w:p>
              </w:tc>
            </w:tr>
            <w:tr w14:paraId="720B6E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29" w:type="pct"/>
                  <w:vMerge w:val="continue"/>
                  <w:noWrap w:val="0"/>
                  <w:vAlign w:val="center"/>
                </w:tcPr>
                <w:p w14:paraId="076FF63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77CF4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27</w:t>
                  </w:r>
                </w:p>
              </w:tc>
              <w:tc>
                <w:tcPr>
                  <w:tcW w:w="1078" w:type="pct"/>
                  <w:vMerge w:val="restart"/>
                  <w:noWrap w:val="0"/>
                  <w:vAlign w:val="center"/>
                </w:tcPr>
                <w:p w14:paraId="7741C7D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机房南侧医生通道门外侧30cm（医生通道）</w:t>
                  </w:r>
                </w:p>
              </w:tc>
              <w:tc>
                <w:tcPr>
                  <w:tcW w:w="335" w:type="pct"/>
                  <w:shd w:val="clear" w:color="auto" w:fill="auto"/>
                  <w:noWrap w:val="0"/>
                  <w:vAlign w:val="center"/>
                </w:tcPr>
                <w:p w14:paraId="2C7BF79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B8A4B7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3.8</w:t>
                  </w:r>
                </w:p>
              </w:tc>
              <w:tc>
                <w:tcPr>
                  <w:tcW w:w="974" w:type="pct"/>
                  <w:vMerge w:val="restart"/>
                  <w:noWrap w:val="0"/>
                  <w:vAlign w:val="center"/>
                </w:tcPr>
                <w:p w14:paraId="4F0224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4FB0D670">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521FB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1.30E-05</w:t>
                  </w:r>
                </w:p>
              </w:tc>
            </w:tr>
            <w:tr w14:paraId="3A13B1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DCA072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E0A1C7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39D47D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E953CC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D54860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C93208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B1D5A9D">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552853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3.76E-02</w:t>
                  </w:r>
                </w:p>
              </w:tc>
            </w:tr>
            <w:tr w14:paraId="331620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B93952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476DB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28</w:t>
                  </w:r>
                </w:p>
              </w:tc>
              <w:tc>
                <w:tcPr>
                  <w:tcW w:w="1078" w:type="pct"/>
                  <w:vMerge w:val="restart"/>
                  <w:noWrap w:val="0"/>
                  <w:vAlign w:val="center"/>
                </w:tcPr>
                <w:p w14:paraId="03BD38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机房南侧墙体外侧30cm（医生通道）</w:t>
                  </w:r>
                </w:p>
              </w:tc>
              <w:tc>
                <w:tcPr>
                  <w:tcW w:w="335" w:type="pct"/>
                  <w:shd w:val="clear" w:color="auto" w:fill="auto"/>
                  <w:noWrap w:val="0"/>
                  <w:vAlign w:val="center"/>
                </w:tcPr>
                <w:p w14:paraId="0534B17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8A68E4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974" w:type="pct"/>
                  <w:vMerge w:val="restart"/>
                  <w:noWrap w:val="0"/>
                  <w:vAlign w:val="center"/>
                </w:tcPr>
                <w:p w14:paraId="30B0DCB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60216B3">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0DA83F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1.50E-04</w:t>
                  </w:r>
                </w:p>
              </w:tc>
            </w:tr>
            <w:tr w14:paraId="23582C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28CB3C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B149D4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39C395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BD7B6C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99B157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0681F5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CF6E5F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14C7B2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2.43E-01</w:t>
                  </w:r>
                </w:p>
              </w:tc>
            </w:tr>
            <w:tr w14:paraId="7B8845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126805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7E3F2B1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29</w:t>
                  </w:r>
                </w:p>
              </w:tc>
              <w:tc>
                <w:tcPr>
                  <w:tcW w:w="1078" w:type="pct"/>
                  <w:vMerge w:val="restart"/>
                  <w:noWrap w:val="0"/>
                  <w:vAlign w:val="center"/>
                </w:tcPr>
                <w:p w14:paraId="4077B4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机房东侧墙体外侧30cm（DSA手术室OR11）</w:t>
                  </w:r>
                </w:p>
              </w:tc>
              <w:tc>
                <w:tcPr>
                  <w:tcW w:w="335" w:type="pct"/>
                  <w:shd w:val="clear" w:color="auto" w:fill="auto"/>
                  <w:noWrap w:val="0"/>
                  <w:vAlign w:val="center"/>
                </w:tcPr>
                <w:p w14:paraId="42A7B21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3D7AAF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4.2</w:t>
                  </w:r>
                </w:p>
              </w:tc>
              <w:tc>
                <w:tcPr>
                  <w:tcW w:w="974" w:type="pct"/>
                  <w:vMerge w:val="restart"/>
                  <w:noWrap w:val="0"/>
                  <w:vAlign w:val="center"/>
                </w:tcPr>
                <w:p w14:paraId="4946A3B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F8DDE4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07D8F5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1.10E-04</w:t>
                  </w:r>
                </w:p>
              </w:tc>
            </w:tr>
            <w:tr w14:paraId="0A5476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2A964D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40D700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4C2AFF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509E34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AF4211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108830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03B7C9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270460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1.78E-01</w:t>
                  </w:r>
                </w:p>
              </w:tc>
            </w:tr>
            <w:tr w14:paraId="54696C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1068DD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A48BB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31</w:t>
                  </w:r>
                </w:p>
              </w:tc>
              <w:tc>
                <w:tcPr>
                  <w:tcW w:w="1078" w:type="pct"/>
                  <w:vMerge w:val="restart"/>
                  <w:noWrap w:val="0"/>
                  <w:vAlign w:val="center"/>
                </w:tcPr>
                <w:p w14:paraId="0BFD49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00E85B1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D402A17">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6126C4A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4B2FFF2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447A97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r>
            <w:tr w14:paraId="04976A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56C19D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FC6E2A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E3BFDF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8DDE38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02BF7C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609186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D2502DB">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1BF1A6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r>
            <w:tr w14:paraId="7E355F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7901B30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bCs/>
                      <w:sz w:val="21"/>
                      <w:szCs w:val="21"/>
                      <w:lang w:val="en-US" w:eastAsia="zh-CN"/>
                    </w:rPr>
                    <w:t>DSA手术室OR11</w:t>
                  </w:r>
                </w:p>
              </w:tc>
              <w:tc>
                <w:tcPr>
                  <w:tcW w:w="354" w:type="pct"/>
                  <w:vMerge w:val="restart"/>
                  <w:noWrap w:val="0"/>
                  <w:vAlign w:val="center"/>
                </w:tcPr>
                <w:p w14:paraId="6B5308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32</w:t>
                  </w:r>
                </w:p>
              </w:tc>
              <w:tc>
                <w:tcPr>
                  <w:tcW w:w="1078" w:type="pct"/>
                  <w:vMerge w:val="restart"/>
                  <w:noWrap w:val="0"/>
                  <w:vAlign w:val="center"/>
                </w:tcPr>
                <w:p w14:paraId="41D270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机房北侧患者通道门外侧30cm（患者通道）</w:t>
                  </w:r>
                </w:p>
              </w:tc>
              <w:tc>
                <w:tcPr>
                  <w:tcW w:w="335" w:type="pct"/>
                  <w:shd w:val="clear" w:color="auto" w:fill="auto"/>
                  <w:noWrap w:val="0"/>
                  <w:vAlign w:val="center"/>
                </w:tcPr>
                <w:p w14:paraId="44EF2DE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718650B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6.1</w:t>
                  </w:r>
                </w:p>
              </w:tc>
              <w:tc>
                <w:tcPr>
                  <w:tcW w:w="974" w:type="pct"/>
                  <w:vMerge w:val="restart"/>
                  <w:noWrap w:val="0"/>
                  <w:vAlign w:val="center"/>
                </w:tcPr>
                <w:p w14:paraId="3E68C2B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6960F66E">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633661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5.06E-06</w:t>
                  </w:r>
                </w:p>
              </w:tc>
            </w:tr>
            <w:tr w14:paraId="0967DB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0DA850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1DF0CC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EA30E4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0A8CF9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85EC5C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C6BF0F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336113C">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1BA287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1.46E-02</w:t>
                  </w:r>
                </w:p>
              </w:tc>
            </w:tr>
            <w:tr w14:paraId="12782A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3C8EF8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A4A895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33</w:t>
                  </w:r>
                </w:p>
              </w:tc>
              <w:tc>
                <w:tcPr>
                  <w:tcW w:w="1078" w:type="pct"/>
                  <w:vMerge w:val="restart"/>
                  <w:noWrap w:val="0"/>
                  <w:vAlign w:val="center"/>
                </w:tcPr>
                <w:p w14:paraId="2B2DC5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机房北侧墙体外侧30cm（患者通道）</w:t>
                  </w:r>
                </w:p>
              </w:tc>
              <w:tc>
                <w:tcPr>
                  <w:tcW w:w="335" w:type="pct"/>
                  <w:shd w:val="clear" w:color="auto" w:fill="auto"/>
                  <w:noWrap w:val="0"/>
                  <w:vAlign w:val="center"/>
                </w:tcPr>
                <w:p w14:paraId="7262ED5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C7F33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5.8</w:t>
                  </w:r>
                </w:p>
              </w:tc>
              <w:tc>
                <w:tcPr>
                  <w:tcW w:w="974" w:type="pct"/>
                  <w:vMerge w:val="restart"/>
                  <w:noWrap w:val="0"/>
                  <w:vAlign w:val="center"/>
                </w:tcPr>
                <w:p w14:paraId="1FD323C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128194A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72A978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5.77E-05</w:t>
                  </w:r>
                </w:p>
              </w:tc>
            </w:tr>
            <w:tr w14:paraId="48EDB9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057E7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5FDD53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7D0E51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760256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CD841B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EA038A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DA0EBE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050CEC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9.34E-02</w:t>
                  </w:r>
                </w:p>
              </w:tc>
            </w:tr>
            <w:tr w14:paraId="1AEC3B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E73F51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7B225AC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34</w:t>
                  </w:r>
                </w:p>
              </w:tc>
              <w:tc>
                <w:tcPr>
                  <w:tcW w:w="1078" w:type="pct"/>
                  <w:vMerge w:val="restart"/>
                  <w:noWrap w:val="0"/>
                  <w:vAlign w:val="center"/>
                </w:tcPr>
                <w:p w14:paraId="65FA2F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机房东侧观察窗外侧1m（控制室操作位）</w:t>
                  </w:r>
                </w:p>
              </w:tc>
              <w:tc>
                <w:tcPr>
                  <w:tcW w:w="335" w:type="pct"/>
                  <w:shd w:val="clear" w:color="auto" w:fill="auto"/>
                  <w:noWrap w:val="0"/>
                  <w:vAlign w:val="center"/>
                </w:tcPr>
                <w:p w14:paraId="043884C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DBED4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5.4</w:t>
                  </w:r>
                </w:p>
              </w:tc>
              <w:tc>
                <w:tcPr>
                  <w:tcW w:w="974" w:type="pct"/>
                  <w:vMerge w:val="restart"/>
                  <w:noWrap w:val="0"/>
                  <w:vAlign w:val="center"/>
                </w:tcPr>
                <w:p w14:paraId="3AB5A1C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3E48D976">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0F4FEF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6.46E-06</w:t>
                  </w:r>
                </w:p>
              </w:tc>
            </w:tr>
            <w:tr w14:paraId="2A78B7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B5842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CE2F5A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5D4C292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CDF389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60ACD4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6CDD7D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F3FD8DF">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604353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1.86E-02</w:t>
                  </w:r>
                </w:p>
              </w:tc>
            </w:tr>
            <w:tr w14:paraId="1F46D7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C10A01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2B8D45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35</w:t>
                  </w:r>
                </w:p>
              </w:tc>
              <w:tc>
                <w:tcPr>
                  <w:tcW w:w="1078" w:type="pct"/>
                  <w:vMerge w:val="restart"/>
                  <w:noWrap w:val="0"/>
                  <w:vAlign w:val="center"/>
                </w:tcPr>
                <w:p w14:paraId="4AFF62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机房东侧控制室门外侧30cm（控制室）</w:t>
                  </w:r>
                </w:p>
              </w:tc>
              <w:tc>
                <w:tcPr>
                  <w:tcW w:w="335" w:type="pct"/>
                  <w:shd w:val="clear" w:color="auto" w:fill="auto"/>
                  <w:noWrap w:val="0"/>
                  <w:vAlign w:val="center"/>
                </w:tcPr>
                <w:p w14:paraId="4E45C6B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760CF3D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4.8</w:t>
                  </w:r>
                </w:p>
              </w:tc>
              <w:tc>
                <w:tcPr>
                  <w:tcW w:w="974" w:type="pct"/>
                  <w:vMerge w:val="restart"/>
                  <w:noWrap w:val="0"/>
                  <w:vAlign w:val="center"/>
                </w:tcPr>
                <w:p w14:paraId="1742721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5BC82251">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768DBD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8.17E-06</w:t>
                  </w:r>
                </w:p>
              </w:tc>
            </w:tr>
            <w:tr w14:paraId="47C5F8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7FC665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254C8A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45C9ED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5EA3EB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29E847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91BF44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92A711E">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0A3F1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2.35E-02</w:t>
                  </w:r>
                </w:p>
              </w:tc>
            </w:tr>
            <w:tr w14:paraId="7A6286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F17D29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A7215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1078" w:type="pct"/>
                  <w:vMerge w:val="restart"/>
                  <w:noWrap w:val="0"/>
                  <w:vAlign w:val="center"/>
                </w:tcPr>
                <w:p w14:paraId="0607E06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机房东侧墙体外侧30cm（控制室）</w:t>
                  </w:r>
                </w:p>
              </w:tc>
              <w:tc>
                <w:tcPr>
                  <w:tcW w:w="335" w:type="pct"/>
                  <w:shd w:val="clear" w:color="auto" w:fill="auto"/>
                  <w:noWrap w:val="0"/>
                  <w:vAlign w:val="center"/>
                </w:tcPr>
                <w:p w14:paraId="09B8BE7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2199DD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4.7</w:t>
                  </w:r>
                </w:p>
              </w:tc>
              <w:tc>
                <w:tcPr>
                  <w:tcW w:w="974" w:type="pct"/>
                  <w:vMerge w:val="restart"/>
                  <w:noWrap w:val="0"/>
                  <w:vAlign w:val="center"/>
                </w:tcPr>
                <w:p w14:paraId="46DF152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83F803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736373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8.79E-05</w:t>
                  </w:r>
                </w:p>
              </w:tc>
            </w:tr>
            <w:tr w14:paraId="77D18A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3FB9A9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5EB15A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0BE721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A46330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88DA76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66AC86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39B78D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39DB54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1.42E-01</w:t>
                  </w:r>
                </w:p>
              </w:tc>
            </w:tr>
            <w:tr w14:paraId="390C79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B9A40C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75F2CB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37</w:t>
                  </w:r>
                </w:p>
              </w:tc>
              <w:tc>
                <w:tcPr>
                  <w:tcW w:w="1078" w:type="pct"/>
                  <w:vMerge w:val="restart"/>
                  <w:noWrap w:val="0"/>
                  <w:vAlign w:val="center"/>
                </w:tcPr>
                <w:p w14:paraId="67CECC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机房南侧医生通道门外侧30cm（医生通道）</w:t>
                  </w:r>
                </w:p>
              </w:tc>
              <w:tc>
                <w:tcPr>
                  <w:tcW w:w="335" w:type="pct"/>
                  <w:shd w:val="clear" w:color="auto" w:fill="auto"/>
                  <w:noWrap w:val="0"/>
                  <w:vAlign w:val="center"/>
                </w:tcPr>
                <w:p w14:paraId="5D2C6E2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C12DA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4.0</w:t>
                  </w:r>
                </w:p>
              </w:tc>
              <w:tc>
                <w:tcPr>
                  <w:tcW w:w="974" w:type="pct"/>
                  <w:vMerge w:val="restart"/>
                  <w:noWrap w:val="0"/>
                  <w:vAlign w:val="center"/>
                </w:tcPr>
                <w:p w14:paraId="4BCA2A9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40DD2D8F">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3B4042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1.18E-05</w:t>
                  </w:r>
                </w:p>
              </w:tc>
            </w:tr>
            <w:tr w14:paraId="506B1C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BFC2AD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2ABD8C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0CE0AC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032741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E55922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A9DB98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52ED887">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0ADC41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3.39E-02</w:t>
                  </w:r>
                </w:p>
              </w:tc>
            </w:tr>
            <w:tr w14:paraId="193000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961CBF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D0ACA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38</w:t>
                  </w:r>
                </w:p>
              </w:tc>
              <w:tc>
                <w:tcPr>
                  <w:tcW w:w="1078" w:type="pct"/>
                  <w:vMerge w:val="restart"/>
                  <w:noWrap w:val="0"/>
                  <w:vAlign w:val="center"/>
                </w:tcPr>
                <w:p w14:paraId="1F2CA5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机房南侧墙体外侧30cm（医生通道）</w:t>
                  </w:r>
                </w:p>
              </w:tc>
              <w:tc>
                <w:tcPr>
                  <w:tcW w:w="335" w:type="pct"/>
                  <w:shd w:val="clear" w:color="auto" w:fill="auto"/>
                  <w:noWrap w:val="0"/>
                  <w:vAlign w:val="center"/>
                </w:tcPr>
                <w:p w14:paraId="6CAF8F8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7EF7A1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3.7</w:t>
                  </w:r>
                </w:p>
              </w:tc>
              <w:tc>
                <w:tcPr>
                  <w:tcW w:w="974" w:type="pct"/>
                  <w:vMerge w:val="restart"/>
                  <w:noWrap w:val="0"/>
                  <w:vAlign w:val="center"/>
                </w:tcPr>
                <w:p w14:paraId="7938E82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425368A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3F7DC2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1.42E-04</w:t>
                  </w:r>
                </w:p>
              </w:tc>
            </w:tr>
            <w:tr w14:paraId="39B5D3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2CA4A5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CF9B75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D82BC8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C1E8C7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81C8EA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205CDA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14A4E5F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50702E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2.30E-01</w:t>
                  </w:r>
                </w:p>
              </w:tc>
            </w:tr>
            <w:tr w14:paraId="78CA81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94D344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60F8F8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39</w:t>
                  </w:r>
                </w:p>
              </w:tc>
              <w:tc>
                <w:tcPr>
                  <w:tcW w:w="1078" w:type="pct"/>
                  <w:vMerge w:val="restart"/>
                  <w:noWrap w:val="0"/>
                  <w:vAlign w:val="center"/>
                </w:tcPr>
                <w:p w14:paraId="335C74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机房西侧墙体外侧30cm（DSA手术室OR10）</w:t>
                  </w:r>
                </w:p>
              </w:tc>
              <w:tc>
                <w:tcPr>
                  <w:tcW w:w="335" w:type="pct"/>
                  <w:shd w:val="clear" w:color="auto" w:fill="auto"/>
                  <w:noWrap w:val="0"/>
                  <w:vAlign w:val="center"/>
                </w:tcPr>
                <w:p w14:paraId="0CA0D7C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21B05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4.9</w:t>
                  </w:r>
                </w:p>
              </w:tc>
              <w:tc>
                <w:tcPr>
                  <w:tcW w:w="974" w:type="pct"/>
                  <w:vMerge w:val="restart"/>
                  <w:noWrap w:val="0"/>
                  <w:vAlign w:val="center"/>
                </w:tcPr>
                <w:p w14:paraId="03CD739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2CE7857B">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775917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8.09E-05</w:t>
                  </w:r>
                </w:p>
              </w:tc>
            </w:tr>
            <w:tr w14:paraId="4BD96B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6E6D44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76DA3D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5FCB3D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A1CC0C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C54507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E75402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134279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45134D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1.31E-01</w:t>
                  </w:r>
                </w:p>
              </w:tc>
            </w:tr>
            <w:tr w14:paraId="61A589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F208E4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3DAA4B1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41</w:t>
                  </w:r>
                </w:p>
              </w:tc>
              <w:tc>
                <w:tcPr>
                  <w:tcW w:w="1078" w:type="pct"/>
                  <w:vMerge w:val="restart"/>
                  <w:noWrap w:val="0"/>
                  <w:vAlign w:val="center"/>
                </w:tcPr>
                <w:p w14:paraId="12EE91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013800E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6EFB07D">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7908FC9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1C324B7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1589CD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r>
            <w:tr w14:paraId="165E9D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E8B21F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992A01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BA1B5E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D24AE6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5F0855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B66567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46AAF04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6727B1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r>
            <w:tr w14:paraId="41AD82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6EB3116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bCs/>
                      <w:sz w:val="21"/>
                      <w:szCs w:val="21"/>
                      <w:lang w:val="en-US" w:eastAsia="zh-CN"/>
                    </w:rPr>
                    <w:t>ERCP室</w:t>
                  </w:r>
                </w:p>
              </w:tc>
              <w:tc>
                <w:tcPr>
                  <w:tcW w:w="354" w:type="pct"/>
                  <w:vMerge w:val="restart"/>
                  <w:noWrap w:val="0"/>
                  <w:vAlign w:val="center"/>
                </w:tcPr>
                <w:p w14:paraId="6AC623E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42</w:t>
                  </w:r>
                </w:p>
              </w:tc>
              <w:tc>
                <w:tcPr>
                  <w:tcW w:w="1078" w:type="pct"/>
                  <w:vMerge w:val="restart"/>
                  <w:noWrap w:val="0"/>
                  <w:vAlign w:val="center"/>
                </w:tcPr>
                <w:p w14:paraId="755FE8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机房北侧墙体外侧30cm（医生通道）</w:t>
                  </w:r>
                </w:p>
              </w:tc>
              <w:tc>
                <w:tcPr>
                  <w:tcW w:w="335" w:type="pct"/>
                  <w:shd w:val="clear" w:color="auto" w:fill="auto"/>
                  <w:noWrap w:val="0"/>
                  <w:vAlign w:val="center"/>
                </w:tcPr>
                <w:p w14:paraId="1EF5D7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6DD927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974" w:type="pct"/>
                  <w:vMerge w:val="restart"/>
                  <w:noWrap w:val="0"/>
                  <w:vAlign w:val="center"/>
                </w:tcPr>
                <w:p w14:paraId="2644319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2277BBE2">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7D5BD2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1.41E-06</w:t>
                  </w:r>
                </w:p>
              </w:tc>
            </w:tr>
            <w:tr w14:paraId="2B0A38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E0A39D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DF9430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075E64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712485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FD4C36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A02193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4C78AE2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52E83B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7.28E-03</w:t>
                  </w:r>
                </w:p>
              </w:tc>
            </w:tr>
            <w:tr w14:paraId="2E7EF3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B99B69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39714B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43</w:t>
                  </w:r>
                </w:p>
              </w:tc>
              <w:tc>
                <w:tcPr>
                  <w:tcW w:w="1078" w:type="pct"/>
                  <w:vMerge w:val="restart"/>
                  <w:noWrap w:val="0"/>
                  <w:vAlign w:val="center"/>
                </w:tcPr>
                <w:p w14:paraId="5900D8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机房东侧观察窗外侧1m（控制室操作位）</w:t>
                  </w:r>
                </w:p>
              </w:tc>
              <w:tc>
                <w:tcPr>
                  <w:tcW w:w="335" w:type="pct"/>
                  <w:shd w:val="clear" w:color="auto" w:fill="auto"/>
                  <w:noWrap w:val="0"/>
                  <w:vAlign w:val="center"/>
                </w:tcPr>
                <w:p w14:paraId="4ED40E7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DB19D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4.3</w:t>
                  </w:r>
                </w:p>
              </w:tc>
              <w:tc>
                <w:tcPr>
                  <w:tcW w:w="974" w:type="pct"/>
                  <w:vMerge w:val="restart"/>
                  <w:noWrap w:val="0"/>
                  <w:vAlign w:val="center"/>
                </w:tcPr>
                <w:p w14:paraId="3777979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56C4778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0B3D54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9.58E-08</w:t>
                  </w:r>
                </w:p>
              </w:tc>
            </w:tr>
            <w:tr w14:paraId="0397B5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D01CF4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158F2D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DFAE16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34EF65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276F01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16558B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6B1A8B9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3BA00A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8.83E-04</w:t>
                  </w:r>
                </w:p>
              </w:tc>
            </w:tr>
            <w:tr w14:paraId="661EC4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074F91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34FCBCA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44</w:t>
                  </w:r>
                </w:p>
              </w:tc>
              <w:tc>
                <w:tcPr>
                  <w:tcW w:w="1078" w:type="pct"/>
                  <w:vMerge w:val="restart"/>
                  <w:noWrap w:val="0"/>
                  <w:vAlign w:val="center"/>
                </w:tcPr>
                <w:p w14:paraId="6F0034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机房东侧控制室门外侧30cm（控制室）</w:t>
                  </w:r>
                </w:p>
              </w:tc>
              <w:tc>
                <w:tcPr>
                  <w:tcW w:w="335" w:type="pct"/>
                  <w:shd w:val="clear" w:color="auto" w:fill="auto"/>
                  <w:noWrap w:val="0"/>
                  <w:vAlign w:val="center"/>
                </w:tcPr>
                <w:p w14:paraId="23CC2A0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5A5D8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4.0</w:t>
                  </w:r>
                </w:p>
              </w:tc>
              <w:tc>
                <w:tcPr>
                  <w:tcW w:w="974" w:type="pct"/>
                  <w:vMerge w:val="restart"/>
                  <w:noWrap w:val="0"/>
                  <w:vAlign w:val="center"/>
                </w:tcPr>
                <w:p w14:paraId="4D3E92C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451725B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4E31B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1.11E-07</w:t>
                  </w:r>
                </w:p>
              </w:tc>
            </w:tr>
            <w:tr w14:paraId="301A56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537260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83EA5F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B7FB3E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94EC43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CB7470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9EDE1F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730DB653">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310CD9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1.02E-03</w:t>
                  </w:r>
                </w:p>
              </w:tc>
            </w:tr>
            <w:tr w14:paraId="1BB6BA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D7CB95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F923C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45</w:t>
                  </w:r>
                </w:p>
              </w:tc>
              <w:tc>
                <w:tcPr>
                  <w:tcW w:w="1078" w:type="pct"/>
                  <w:vMerge w:val="restart"/>
                  <w:noWrap w:val="0"/>
                  <w:vAlign w:val="center"/>
                </w:tcPr>
                <w:p w14:paraId="60F43B2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机房东侧准备间门外侧30cm（准备间）</w:t>
                  </w:r>
                </w:p>
              </w:tc>
              <w:tc>
                <w:tcPr>
                  <w:tcW w:w="335" w:type="pct"/>
                  <w:shd w:val="clear" w:color="auto" w:fill="auto"/>
                  <w:noWrap w:val="0"/>
                  <w:vAlign w:val="center"/>
                </w:tcPr>
                <w:p w14:paraId="6049DE3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FA74DE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4.1</w:t>
                  </w:r>
                </w:p>
              </w:tc>
              <w:tc>
                <w:tcPr>
                  <w:tcW w:w="974" w:type="pct"/>
                  <w:vMerge w:val="restart"/>
                  <w:noWrap w:val="0"/>
                  <w:vAlign w:val="center"/>
                </w:tcPr>
                <w:p w14:paraId="69EB48E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4BBEF65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7B213E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1.05E-07</w:t>
                  </w:r>
                </w:p>
              </w:tc>
            </w:tr>
            <w:tr w14:paraId="4D064F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96782D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835CEC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DAA3D2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14B836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299AD6B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F34694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24AE610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649254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9.71E-04</w:t>
                  </w:r>
                </w:p>
              </w:tc>
            </w:tr>
            <w:tr w14:paraId="0FE5D5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383E14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1767F43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46</w:t>
                  </w:r>
                </w:p>
              </w:tc>
              <w:tc>
                <w:tcPr>
                  <w:tcW w:w="1078" w:type="pct"/>
                  <w:vMerge w:val="restart"/>
                  <w:noWrap w:val="0"/>
                  <w:vAlign w:val="center"/>
                </w:tcPr>
                <w:p w14:paraId="7452DA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机房东侧墙体外侧30cm（控制室）</w:t>
                  </w:r>
                </w:p>
              </w:tc>
              <w:tc>
                <w:tcPr>
                  <w:tcW w:w="335" w:type="pct"/>
                  <w:shd w:val="clear" w:color="auto" w:fill="auto"/>
                  <w:noWrap w:val="0"/>
                  <w:vAlign w:val="center"/>
                </w:tcPr>
                <w:p w14:paraId="55F6B3F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9E903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974" w:type="pct"/>
                  <w:vMerge w:val="restart"/>
                  <w:noWrap w:val="0"/>
                  <w:vAlign w:val="center"/>
                </w:tcPr>
                <w:p w14:paraId="1257EED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2CE94FCB">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1A7876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1.41E-06</w:t>
                  </w:r>
                </w:p>
              </w:tc>
            </w:tr>
            <w:tr w14:paraId="401A44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A04A19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5CE569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15703D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BA385D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524A477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A93D37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583DC04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3FC9B9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7.28E-03</w:t>
                  </w:r>
                </w:p>
              </w:tc>
            </w:tr>
            <w:tr w14:paraId="4755CB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65187E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1BC595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47</w:t>
                  </w:r>
                </w:p>
              </w:tc>
              <w:tc>
                <w:tcPr>
                  <w:tcW w:w="1078" w:type="pct"/>
                  <w:vMerge w:val="restart"/>
                  <w:noWrap w:val="0"/>
                  <w:vAlign w:val="center"/>
                </w:tcPr>
                <w:p w14:paraId="7B333A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机房南侧患者通道门外侧30cm（患者通道）</w:t>
                  </w:r>
                </w:p>
              </w:tc>
              <w:tc>
                <w:tcPr>
                  <w:tcW w:w="335" w:type="pct"/>
                  <w:shd w:val="clear" w:color="auto" w:fill="auto"/>
                  <w:noWrap w:val="0"/>
                  <w:vAlign w:val="center"/>
                </w:tcPr>
                <w:p w14:paraId="1816999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E26C8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5.9</w:t>
                  </w:r>
                </w:p>
              </w:tc>
              <w:tc>
                <w:tcPr>
                  <w:tcW w:w="974" w:type="pct"/>
                  <w:vMerge w:val="restart"/>
                  <w:noWrap w:val="0"/>
                  <w:vAlign w:val="center"/>
                </w:tcPr>
                <w:p w14:paraId="4BF2D36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1AE57D9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0FB708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5.09E-08</w:t>
                  </w:r>
                </w:p>
              </w:tc>
            </w:tr>
            <w:tr w14:paraId="05E855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395CC1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077A84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6FE597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5FF9D4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511C067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1BB04D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2B9F203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5D12DB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4.69E-04</w:t>
                  </w:r>
                </w:p>
              </w:tc>
            </w:tr>
            <w:tr w14:paraId="3C9CE0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928E58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AE1266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48</w:t>
                  </w:r>
                </w:p>
              </w:tc>
              <w:tc>
                <w:tcPr>
                  <w:tcW w:w="1078" w:type="pct"/>
                  <w:vMerge w:val="restart"/>
                  <w:noWrap w:val="0"/>
                  <w:vAlign w:val="center"/>
                </w:tcPr>
                <w:p w14:paraId="5050235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机房南侧墙体外侧30cm（患者通道）</w:t>
                  </w:r>
                </w:p>
              </w:tc>
              <w:tc>
                <w:tcPr>
                  <w:tcW w:w="335" w:type="pct"/>
                  <w:shd w:val="clear" w:color="auto" w:fill="auto"/>
                  <w:noWrap w:val="0"/>
                  <w:vAlign w:val="center"/>
                </w:tcPr>
                <w:p w14:paraId="465F5D2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4D674F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3.7</w:t>
                  </w:r>
                </w:p>
              </w:tc>
              <w:tc>
                <w:tcPr>
                  <w:tcW w:w="974" w:type="pct"/>
                  <w:vMerge w:val="restart"/>
                  <w:noWrap w:val="0"/>
                  <w:vAlign w:val="center"/>
                </w:tcPr>
                <w:p w14:paraId="4E26CDD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6AE4D02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0DE32F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1.33E-06</w:t>
                  </w:r>
                </w:p>
              </w:tc>
            </w:tr>
            <w:tr w14:paraId="3B5DCD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82C61F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33588A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FA7D57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2E6137F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27A05E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6F6C19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24E6E0A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772093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6.89E-03</w:t>
                  </w:r>
                </w:p>
              </w:tc>
            </w:tr>
            <w:tr w14:paraId="6EC3CE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E520CF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5F945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49</w:t>
                  </w:r>
                </w:p>
              </w:tc>
              <w:tc>
                <w:tcPr>
                  <w:tcW w:w="1078" w:type="pct"/>
                  <w:vMerge w:val="restart"/>
                  <w:noWrap w:val="0"/>
                  <w:vAlign w:val="center"/>
                </w:tcPr>
                <w:p w14:paraId="1C1BA0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机房西侧墙体外侧30cm（治疗室R9）</w:t>
                  </w:r>
                </w:p>
              </w:tc>
              <w:tc>
                <w:tcPr>
                  <w:tcW w:w="335" w:type="pct"/>
                  <w:shd w:val="clear" w:color="auto" w:fill="auto"/>
                  <w:noWrap w:val="0"/>
                  <w:vAlign w:val="center"/>
                </w:tcPr>
                <w:p w14:paraId="4F73B6E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DD630B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2.9</w:t>
                  </w:r>
                </w:p>
              </w:tc>
              <w:tc>
                <w:tcPr>
                  <w:tcW w:w="974" w:type="pct"/>
                  <w:vMerge w:val="restart"/>
                  <w:noWrap w:val="0"/>
                  <w:vAlign w:val="center"/>
                </w:tcPr>
                <w:p w14:paraId="09FA0E6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215E4DA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299D68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2.17E-06</w:t>
                  </w:r>
                </w:p>
              </w:tc>
            </w:tr>
            <w:tr w14:paraId="6E2AF9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862C79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A943DD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E56D05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0A7395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2F32FC2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7354A9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3C0A074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1F67DA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1.12E-02</w:t>
                  </w:r>
                </w:p>
              </w:tc>
            </w:tr>
            <w:tr w14:paraId="4EBEC8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D2D2A5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1FD9DD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51</w:t>
                  </w:r>
                </w:p>
              </w:tc>
              <w:tc>
                <w:tcPr>
                  <w:tcW w:w="1078" w:type="pct"/>
                  <w:vMerge w:val="restart"/>
                  <w:noWrap w:val="0"/>
                  <w:vAlign w:val="center"/>
                </w:tcPr>
                <w:p w14:paraId="269458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机房地板下方距地面1.5m（妇产科盆底筛查治疗室）</w:t>
                  </w:r>
                </w:p>
              </w:tc>
              <w:tc>
                <w:tcPr>
                  <w:tcW w:w="335" w:type="pct"/>
                  <w:shd w:val="clear" w:color="auto" w:fill="auto"/>
                  <w:noWrap w:val="0"/>
                  <w:vAlign w:val="center"/>
                </w:tcPr>
                <w:p w14:paraId="6BCF2AF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FB9ED16">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626FECF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6501D4E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283A67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r>
            <w:tr w14:paraId="4C1F98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F28833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AB0617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5BB6F94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128E9F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D24901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93D4A9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2F6114C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744667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r>
            <w:tr w14:paraId="0A50D7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noWrap w:val="0"/>
                  <w:vAlign w:val="center"/>
                </w:tcPr>
                <w:p w14:paraId="1729A0B6">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p>
              </w:tc>
              <w:tc>
                <w:tcPr>
                  <w:tcW w:w="354" w:type="pct"/>
                  <w:shd w:val="clear" w:color="auto" w:fill="auto"/>
                  <w:noWrap w:val="0"/>
                  <w:vAlign w:val="center"/>
                </w:tcPr>
                <w:p w14:paraId="016B29C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52</w:t>
                  </w:r>
                </w:p>
              </w:tc>
              <w:tc>
                <w:tcPr>
                  <w:tcW w:w="1078" w:type="pct"/>
                  <w:noWrap w:val="0"/>
                  <w:vAlign w:val="center"/>
                </w:tcPr>
                <w:p w14:paraId="700BB82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第一术者位</w:t>
                  </w:r>
                </w:p>
              </w:tc>
              <w:tc>
                <w:tcPr>
                  <w:tcW w:w="335" w:type="pct"/>
                  <w:noWrap w:val="0"/>
                  <w:vAlign w:val="center"/>
                </w:tcPr>
                <w:p w14:paraId="4CE257AF">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介入</w:t>
                  </w:r>
                </w:p>
              </w:tc>
              <w:tc>
                <w:tcPr>
                  <w:tcW w:w="554" w:type="pct"/>
                  <w:noWrap w:val="0"/>
                  <w:vAlign w:val="center"/>
                </w:tcPr>
                <w:p w14:paraId="7C15A11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0.3</w:t>
                  </w:r>
                </w:p>
              </w:tc>
              <w:tc>
                <w:tcPr>
                  <w:tcW w:w="974" w:type="pct"/>
                  <w:noWrap w:val="0"/>
                  <w:vAlign w:val="center"/>
                </w:tcPr>
                <w:p w14:paraId="426F052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z w:val="21"/>
                      <w:szCs w:val="21"/>
                      <w:highlight w:val="none"/>
                    </w:rPr>
                    <w:t>1mmPb</w:t>
                  </w:r>
                </w:p>
              </w:tc>
              <w:tc>
                <w:tcPr>
                  <w:tcW w:w="631" w:type="pct"/>
                  <w:noWrap w:val="0"/>
                  <w:vAlign w:val="center"/>
                </w:tcPr>
                <w:p w14:paraId="1A2385B2">
                  <w:pPr>
                    <w:keepNext w:val="0"/>
                    <w:keepLines w:val="0"/>
                    <w:pageBreakBefore w:val="0"/>
                    <w:kinsoku/>
                    <w:wordWrap/>
                    <w:overflowPunct/>
                    <w:topLinePunct w:val="0"/>
                    <w:autoSpaceDE/>
                    <w:autoSpaceDN/>
                    <w:bidi w:val="0"/>
                    <w:adjustRightInd/>
                    <w:snapToGrid/>
                    <w:spacing w:line="280" w:lineRule="exact"/>
                    <w:jc w:val="center"/>
                    <w:rPr>
                      <w:color w:val="auto"/>
                      <w:sz w:val="21"/>
                      <w:szCs w:val="21"/>
                      <w:highlight w:val="none"/>
                    </w:rPr>
                  </w:pPr>
                  <w:r>
                    <w:rPr>
                      <w:rFonts w:hint="eastAsia"/>
                      <w:color w:val="auto"/>
                      <w:sz w:val="21"/>
                      <w:szCs w:val="21"/>
                      <w:highlight w:val="none"/>
                    </w:rPr>
                    <w:t>6.89E-04</w:t>
                  </w:r>
                </w:p>
              </w:tc>
              <w:tc>
                <w:tcPr>
                  <w:tcW w:w="642" w:type="pct"/>
                  <w:noWrap w:val="0"/>
                  <w:vAlign w:val="center"/>
                </w:tcPr>
                <w:p w14:paraId="601385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2.50E+01</w:t>
                  </w:r>
                </w:p>
              </w:tc>
            </w:tr>
            <w:tr w14:paraId="3E4D0A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noWrap w:val="0"/>
                  <w:vAlign w:val="center"/>
                </w:tcPr>
                <w:p w14:paraId="50099E85">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p>
              </w:tc>
              <w:tc>
                <w:tcPr>
                  <w:tcW w:w="354" w:type="pct"/>
                  <w:shd w:val="clear" w:color="auto" w:fill="auto"/>
                  <w:noWrap w:val="0"/>
                  <w:vAlign w:val="center"/>
                </w:tcPr>
                <w:p w14:paraId="323828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53</w:t>
                  </w:r>
                </w:p>
              </w:tc>
              <w:tc>
                <w:tcPr>
                  <w:tcW w:w="1078" w:type="pct"/>
                  <w:noWrap w:val="0"/>
                  <w:vAlign w:val="center"/>
                </w:tcPr>
                <w:p w14:paraId="301D4C0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第二术者位</w:t>
                  </w:r>
                </w:p>
              </w:tc>
              <w:tc>
                <w:tcPr>
                  <w:tcW w:w="335" w:type="pct"/>
                  <w:noWrap w:val="0"/>
                  <w:vAlign w:val="center"/>
                </w:tcPr>
                <w:p w14:paraId="297E17D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noWrap w:val="0"/>
                  <w:vAlign w:val="center"/>
                </w:tcPr>
                <w:p w14:paraId="538EECB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1.0</w:t>
                  </w:r>
                </w:p>
              </w:tc>
              <w:tc>
                <w:tcPr>
                  <w:tcW w:w="974" w:type="pct"/>
                  <w:noWrap w:val="0"/>
                  <w:vAlign w:val="center"/>
                </w:tcPr>
                <w:p w14:paraId="78DDDCE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z w:val="21"/>
                      <w:szCs w:val="21"/>
                      <w:highlight w:val="none"/>
                    </w:rPr>
                    <w:t>0.5mmPb</w:t>
                  </w:r>
                </w:p>
              </w:tc>
              <w:tc>
                <w:tcPr>
                  <w:tcW w:w="631" w:type="pct"/>
                  <w:noWrap w:val="0"/>
                  <w:vAlign w:val="center"/>
                </w:tcPr>
                <w:p w14:paraId="6B048178">
                  <w:pPr>
                    <w:keepNext w:val="0"/>
                    <w:keepLines w:val="0"/>
                    <w:pageBreakBefore w:val="0"/>
                    <w:kinsoku/>
                    <w:wordWrap/>
                    <w:overflowPunct/>
                    <w:topLinePunct w:val="0"/>
                    <w:autoSpaceDE/>
                    <w:autoSpaceDN/>
                    <w:bidi w:val="0"/>
                    <w:adjustRightInd/>
                    <w:snapToGrid/>
                    <w:spacing w:line="280" w:lineRule="exact"/>
                    <w:jc w:val="center"/>
                    <w:rPr>
                      <w:color w:val="auto"/>
                      <w:sz w:val="21"/>
                      <w:szCs w:val="21"/>
                      <w:highlight w:val="none"/>
                    </w:rPr>
                  </w:pPr>
                  <w:r>
                    <w:rPr>
                      <w:rFonts w:hint="eastAsia"/>
                      <w:color w:val="auto"/>
                      <w:sz w:val="21"/>
                      <w:szCs w:val="21"/>
                      <w:highlight w:val="none"/>
                    </w:rPr>
                    <w:t>9.00E-03</w:t>
                  </w:r>
                </w:p>
              </w:tc>
              <w:tc>
                <w:tcPr>
                  <w:tcW w:w="642" w:type="pct"/>
                  <w:noWrap w:val="0"/>
                  <w:vAlign w:val="center"/>
                </w:tcPr>
                <w:p w14:paraId="1BFBD9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2.94E+01</w:t>
                  </w:r>
                </w:p>
              </w:tc>
            </w:tr>
            <w:tr w14:paraId="5DC781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noWrap w:val="0"/>
                  <w:vAlign w:val="center"/>
                </w:tcPr>
                <w:p w14:paraId="6568BC22">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p>
              </w:tc>
              <w:tc>
                <w:tcPr>
                  <w:tcW w:w="354" w:type="pct"/>
                  <w:shd w:val="clear" w:color="auto" w:fill="auto"/>
                  <w:noWrap w:val="0"/>
                  <w:vAlign w:val="center"/>
                </w:tcPr>
                <w:p w14:paraId="7D4A81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54</w:t>
                  </w:r>
                </w:p>
              </w:tc>
              <w:tc>
                <w:tcPr>
                  <w:tcW w:w="1078" w:type="pct"/>
                  <w:noWrap w:val="0"/>
                  <w:vAlign w:val="center"/>
                </w:tcPr>
                <w:p w14:paraId="4B12848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护士位</w:t>
                  </w:r>
                </w:p>
              </w:tc>
              <w:tc>
                <w:tcPr>
                  <w:tcW w:w="335" w:type="pct"/>
                  <w:noWrap w:val="0"/>
                  <w:vAlign w:val="center"/>
                </w:tcPr>
                <w:p w14:paraId="6ED55D9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noWrap w:val="0"/>
                  <w:vAlign w:val="center"/>
                </w:tcPr>
                <w:p w14:paraId="2FEE365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1.5</w:t>
                  </w:r>
                </w:p>
              </w:tc>
              <w:tc>
                <w:tcPr>
                  <w:tcW w:w="974" w:type="pct"/>
                  <w:noWrap w:val="0"/>
                  <w:vAlign w:val="center"/>
                </w:tcPr>
                <w:p w14:paraId="4B8591B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z w:val="21"/>
                      <w:szCs w:val="21"/>
                      <w:highlight w:val="none"/>
                    </w:rPr>
                    <w:t>0.5mmPb</w:t>
                  </w:r>
                </w:p>
              </w:tc>
              <w:tc>
                <w:tcPr>
                  <w:tcW w:w="631" w:type="pct"/>
                  <w:noWrap w:val="0"/>
                  <w:vAlign w:val="center"/>
                </w:tcPr>
                <w:p w14:paraId="28A1DE68">
                  <w:pPr>
                    <w:keepNext w:val="0"/>
                    <w:keepLines w:val="0"/>
                    <w:pageBreakBefore w:val="0"/>
                    <w:kinsoku/>
                    <w:wordWrap/>
                    <w:overflowPunct/>
                    <w:topLinePunct w:val="0"/>
                    <w:autoSpaceDE/>
                    <w:autoSpaceDN/>
                    <w:bidi w:val="0"/>
                    <w:adjustRightInd/>
                    <w:snapToGrid/>
                    <w:spacing w:line="280" w:lineRule="exact"/>
                    <w:jc w:val="center"/>
                    <w:rPr>
                      <w:color w:val="auto"/>
                      <w:sz w:val="21"/>
                      <w:szCs w:val="21"/>
                      <w:highlight w:val="none"/>
                    </w:rPr>
                  </w:pPr>
                  <w:r>
                    <w:rPr>
                      <w:rFonts w:hint="eastAsia"/>
                      <w:color w:val="auto"/>
                      <w:sz w:val="21"/>
                      <w:szCs w:val="21"/>
                      <w:highlight w:val="none"/>
                    </w:rPr>
                    <w:t>9.00E-03</w:t>
                  </w:r>
                </w:p>
              </w:tc>
              <w:tc>
                <w:tcPr>
                  <w:tcW w:w="642" w:type="pct"/>
                  <w:noWrap w:val="0"/>
                  <w:vAlign w:val="center"/>
                </w:tcPr>
                <w:p w14:paraId="4D5AF1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1.31E+01</w:t>
                  </w:r>
                </w:p>
              </w:tc>
            </w:tr>
          </w:tbl>
          <w:p w14:paraId="3BF186F5">
            <w:pPr>
              <w:pStyle w:val="281"/>
              <w:spacing w:line="360" w:lineRule="auto"/>
              <w:ind w:firstLine="482" w:firstLineChars="200"/>
              <w:jc w:val="both"/>
              <w:rPr>
                <w:b/>
                <w:bCs/>
                <w:color w:val="auto"/>
                <w:kern w:val="0"/>
                <w:sz w:val="24"/>
                <w:highlight w:val="none"/>
              </w:rPr>
            </w:pPr>
            <w:r>
              <w:rPr>
                <w:rFonts w:hint="eastAsia"/>
                <w:b/>
                <w:bCs/>
                <w:color w:val="auto"/>
                <w:kern w:val="0"/>
                <w:sz w:val="24"/>
                <w:highlight w:val="none"/>
              </w:rPr>
              <w:t>4、</w:t>
            </w:r>
            <w:r>
              <w:rPr>
                <w:b/>
                <w:bCs/>
                <w:color w:val="auto"/>
                <w:kern w:val="0"/>
                <w:sz w:val="24"/>
                <w:highlight w:val="none"/>
              </w:rPr>
              <w:t>泄漏辐射剂量</w:t>
            </w:r>
            <w:r>
              <w:rPr>
                <w:rFonts w:hint="eastAsia"/>
                <w:b/>
                <w:bCs/>
                <w:color w:val="auto"/>
                <w:kern w:val="0"/>
                <w:sz w:val="24"/>
                <w:highlight w:val="none"/>
              </w:rPr>
              <w:t>率</w:t>
            </w:r>
            <w:r>
              <w:rPr>
                <w:b/>
                <w:bCs/>
                <w:color w:val="auto"/>
                <w:kern w:val="0"/>
                <w:sz w:val="24"/>
                <w:highlight w:val="none"/>
              </w:rPr>
              <w:t>估算</w:t>
            </w:r>
          </w:p>
          <w:p w14:paraId="110C50DA">
            <w:pPr>
              <w:widowControl/>
              <w:ind w:firstLine="480" w:firstLineChars="200"/>
              <w:rPr>
                <w:color w:val="auto"/>
                <w:spacing w:val="-2"/>
                <w:kern w:val="0"/>
                <w:highlight w:val="none"/>
              </w:rPr>
            </w:pPr>
            <w:r>
              <w:rPr>
                <w:rFonts w:hint="eastAsia"/>
                <w:color w:val="auto"/>
                <w:kern w:val="0"/>
                <w:highlight w:val="none"/>
                <w:lang w:bidi="ar"/>
              </w:rPr>
              <w:t>根据《医用电气设备 第1-3部分：基本安全和基本性能的通用要求 并列标准：诊断X射线设备的辐射防护》（GB 9706.103-2020）中泄漏辐射的防护要求：“X射线管组件和X射线源组件在加载状态下的泄漏辐射，当其在相当于基准加载条件下以标称X射线管电压运行时，距焦点1m处，1h内在任一100cm</w:t>
            </w:r>
            <w:r>
              <w:rPr>
                <w:rFonts w:hint="eastAsia"/>
                <w:color w:val="auto"/>
                <w:kern w:val="0"/>
                <w:highlight w:val="none"/>
                <w:vertAlign w:val="superscript"/>
                <w:lang w:bidi="ar"/>
              </w:rPr>
              <w:t>2</w:t>
            </w:r>
            <w:r>
              <w:rPr>
                <w:rFonts w:hint="eastAsia"/>
                <w:color w:val="auto"/>
                <w:kern w:val="0"/>
                <w:highlight w:val="none"/>
                <w:lang w:bidi="ar"/>
              </w:rPr>
              <w:t>区域（主要线性尺寸不大于20cm）的空气比释动能不应超过1.0mGy。”因此，本项目射线装置在1m处泄漏辐射剂量率取1.0mGy/h。泄漏辐射对周围的辐射环境影响</w:t>
            </w:r>
            <w:r>
              <w:rPr>
                <w:color w:val="auto"/>
                <w:spacing w:val="-2"/>
                <w:kern w:val="0"/>
                <w:highlight w:val="none"/>
              </w:rPr>
              <w:t>按下式进行预测估算：</w:t>
            </w:r>
          </w:p>
          <w:p w14:paraId="1C6DC41C">
            <w:pPr>
              <w:pStyle w:val="19"/>
              <w:ind w:right="630" w:firstLine="3780" w:firstLineChars="1800"/>
              <w:rPr>
                <w:rFonts w:hint="default" w:eastAsia="宋体"/>
                <w:color w:val="auto"/>
                <w:sz w:val="24"/>
                <w:highlight w:val="none"/>
                <w:lang w:val="en-US" w:eastAsia="zh-CN"/>
              </w:rPr>
            </w:pPr>
            <w:r>
              <w:rPr>
                <w:rFonts w:hint="eastAsia"/>
                <w:color w:val="auto"/>
                <w:highlight w:val="none"/>
              </w:rPr>
              <w:object>
                <v:shape id="_x0000_i1034" o:spt="75" type="#_x0000_t75" style="height:31pt;width:66pt;" o:ole="t" filled="f" o:preferrelative="t" stroked="f" coordsize="21600,21600">
                  <v:path/>
                  <v:fill on="f" alignshape="1" focussize="0,0"/>
                  <v:stroke on="f"/>
                  <v:imagedata r:id="rId52" o:title=""/>
                  <o:lock v:ext="edit" aspectratio="t"/>
                  <w10:wrap type="none"/>
                  <w10:anchorlock/>
                </v:shape>
                <o:OLEObject Type="Embed" ProgID="Unknown" ShapeID="_x0000_i1034" DrawAspect="Content" ObjectID="_1468075734" r:id="rId51">
                  <o:LockedField>false</o:LockedField>
                </o:OLEObject>
              </w:object>
            </w:r>
            <w:r>
              <w:rPr>
                <w:i/>
                <w:iCs/>
                <w:color w:val="auto"/>
                <w:szCs w:val="21"/>
                <w:highlight w:val="none"/>
              </w:rPr>
              <w:t xml:space="preserve"> </w:t>
            </w:r>
            <w:r>
              <w:rPr>
                <w:i/>
                <w:iCs/>
                <w:color w:val="auto"/>
                <w:kern w:val="0"/>
                <w:szCs w:val="21"/>
                <w:highlight w:val="none"/>
              </w:rPr>
              <w:t>................................</w:t>
            </w:r>
            <w:r>
              <w:rPr>
                <w:color w:val="auto"/>
                <w:sz w:val="24"/>
                <w:highlight w:val="none"/>
              </w:rPr>
              <w:t>式11-</w:t>
            </w:r>
            <w:r>
              <w:rPr>
                <w:rFonts w:hint="eastAsia"/>
                <w:color w:val="auto"/>
                <w:sz w:val="24"/>
                <w:highlight w:val="none"/>
                <w:lang w:val="en-US" w:eastAsia="zh-CN"/>
              </w:rPr>
              <w:t>10</w:t>
            </w:r>
          </w:p>
          <w:p w14:paraId="15E14C7B">
            <w:pPr>
              <w:widowControl/>
              <w:ind w:firstLine="480" w:firstLineChars="200"/>
              <w:rPr>
                <w:color w:val="auto"/>
                <w:kern w:val="0"/>
                <w:highlight w:val="none"/>
                <w:lang w:bidi="ar"/>
              </w:rPr>
            </w:pPr>
            <w:r>
              <w:rPr>
                <w:color w:val="auto"/>
                <w:kern w:val="0"/>
                <w:highlight w:val="none"/>
                <w:lang w:bidi="ar"/>
              </w:rPr>
              <w:t>式中：</w:t>
            </w:r>
            <w:r>
              <w:rPr>
                <w:i/>
                <w:color w:val="auto"/>
                <w:kern w:val="0"/>
                <w:highlight w:val="none"/>
                <w:lang w:bidi="ar"/>
              </w:rPr>
              <w:t>H</w:t>
            </w:r>
            <w:r>
              <w:rPr>
                <w:rFonts w:hint="eastAsia"/>
                <w:i/>
                <w:color w:val="auto"/>
                <w:kern w:val="0"/>
                <w:highlight w:val="none"/>
                <w:vertAlign w:val="subscript"/>
                <w:lang w:bidi="ar"/>
              </w:rPr>
              <w:t>L</w:t>
            </w:r>
            <w:r>
              <w:rPr>
                <w:color w:val="auto"/>
                <w:kern w:val="0"/>
                <w:highlight w:val="none"/>
                <w:lang w:bidi="ar"/>
              </w:rPr>
              <w:t>—预测点处的</w:t>
            </w:r>
            <w:r>
              <w:rPr>
                <w:rFonts w:hint="eastAsia"/>
                <w:color w:val="auto"/>
                <w:kern w:val="0"/>
                <w:highlight w:val="none"/>
                <w:lang w:bidi="ar"/>
              </w:rPr>
              <w:t>泄漏辐射剂量率</w:t>
            </w:r>
            <w:r>
              <w:rPr>
                <w:color w:val="auto"/>
                <w:kern w:val="0"/>
                <w:highlight w:val="none"/>
                <w:lang w:bidi="ar"/>
              </w:rPr>
              <w:t>，μSv/h；</w:t>
            </w:r>
          </w:p>
          <w:p w14:paraId="0AA25F29">
            <w:pPr>
              <w:pStyle w:val="20"/>
              <w:ind w:firstLine="1200" w:firstLineChars="500"/>
              <w:rPr>
                <w:rFonts w:hint="eastAsia"/>
                <w:color w:val="auto"/>
                <w:kern w:val="0"/>
                <w:highlight w:val="none"/>
                <w:lang w:bidi="ar"/>
              </w:rPr>
            </w:pPr>
            <w:r>
              <w:rPr>
                <w:rFonts w:hint="eastAsia"/>
                <w:i/>
                <w:color w:val="auto"/>
                <w:kern w:val="0"/>
                <w:highlight w:val="none"/>
                <w:lang w:bidi="ar"/>
              </w:rPr>
              <w:t>H</w:t>
            </w:r>
            <w:r>
              <w:rPr>
                <w:rFonts w:hint="eastAsia"/>
                <w:i/>
                <w:color w:val="auto"/>
                <w:kern w:val="0"/>
                <w:highlight w:val="none"/>
                <w:vertAlign w:val="subscript"/>
                <w:lang w:bidi="ar"/>
              </w:rPr>
              <w:t>L0</w:t>
            </w:r>
            <w:r>
              <w:rPr>
                <w:color w:val="auto"/>
                <w:kern w:val="0"/>
                <w:highlight w:val="none"/>
                <w:lang w:bidi="ar"/>
              </w:rPr>
              <w:t>—</w:t>
            </w:r>
            <w:r>
              <w:rPr>
                <w:rFonts w:hint="eastAsia"/>
                <w:color w:val="auto"/>
                <w:kern w:val="0"/>
                <w:highlight w:val="none"/>
                <w:lang w:bidi="ar"/>
              </w:rPr>
              <w:t>距焦点1m处</w:t>
            </w:r>
            <w:bookmarkStart w:id="60" w:name="OLE_LINK22"/>
            <w:r>
              <w:rPr>
                <w:rFonts w:hint="eastAsia"/>
                <w:color w:val="auto"/>
                <w:kern w:val="0"/>
                <w:highlight w:val="none"/>
                <w:lang w:bidi="ar"/>
              </w:rPr>
              <w:t>泄漏辐射剂量率</w:t>
            </w:r>
            <w:bookmarkEnd w:id="60"/>
            <w:r>
              <w:rPr>
                <w:rFonts w:hint="eastAsia"/>
                <w:color w:val="auto"/>
                <w:kern w:val="0"/>
                <w:highlight w:val="none"/>
                <w:lang w:bidi="ar"/>
              </w:rPr>
              <w:t>，</w:t>
            </w:r>
            <w:r>
              <w:rPr>
                <w:color w:val="auto"/>
                <w:kern w:val="0"/>
                <w:highlight w:val="none"/>
                <w:lang w:bidi="ar"/>
              </w:rPr>
              <w:t>μSv/h</w:t>
            </w:r>
            <w:r>
              <w:rPr>
                <w:rFonts w:hint="eastAsia"/>
                <w:color w:val="auto"/>
                <w:kern w:val="0"/>
                <w:highlight w:val="none"/>
                <w:lang w:bidi="ar"/>
              </w:rPr>
              <w:t>；</w:t>
            </w:r>
          </w:p>
          <w:p w14:paraId="1C545390">
            <w:pPr>
              <w:widowControl/>
              <w:ind w:firstLine="1200" w:firstLineChars="500"/>
              <w:rPr>
                <w:i/>
                <w:iCs/>
                <w:color w:val="auto"/>
                <w:kern w:val="0"/>
                <w:highlight w:val="none"/>
                <w:lang w:bidi="ar"/>
              </w:rPr>
            </w:pPr>
            <w:r>
              <w:rPr>
                <w:i/>
                <w:iCs/>
                <w:color w:val="auto"/>
                <w:kern w:val="0"/>
                <w:highlight w:val="none"/>
                <w:lang w:bidi="ar"/>
              </w:rPr>
              <w:t>R</w:t>
            </w:r>
            <w:r>
              <w:rPr>
                <w:color w:val="auto"/>
                <w:kern w:val="0"/>
                <w:highlight w:val="none"/>
                <w:lang w:bidi="ar"/>
              </w:rPr>
              <w:t>—至关注点的距离，m；</w:t>
            </w:r>
          </w:p>
          <w:p w14:paraId="0A8C9952">
            <w:pPr>
              <w:widowControl/>
              <w:ind w:firstLine="1200" w:firstLineChars="500"/>
              <w:rPr>
                <w:color w:val="auto"/>
                <w:kern w:val="0"/>
                <w:highlight w:val="none"/>
                <w:lang w:bidi="ar"/>
              </w:rPr>
            </w:pPr>
            <w:r>
              <w:rPr>
                <w:i/>
                <w:color w:val="auto"/>
                <w:kern w:val="0"/>
                <w:highlight w:val="none"/>
                <w:lang w:bidi="ar"/>
              </w:rPr>
              <w:t>B</w:t>
            </w:r>
            <w:r>
              <w:rPr>
                <w:color w:val="auto"/>
                <w:kern w:val="0"/>
                <w:highlight w:val="none"/>
                <w:lang w:bidi="ar"/>
              </w:rPr>
              <w:t>—屏蔽透射因子</w:t>
            </w:r>
            <w:r>
              <w:rPr>
                <w:rFonts w:hint="eastAsia"/>
                <w:color w:val="auto"/>
                <w:kern w:val="0"/>
                <w:highlight w:val="none"/>
                <w:lang w:bidi="ar"/>
              </w:rPr>
              <w:t>。</w:t>
            </w:r>
          </w:p>
          <w:p w14:paraId="288E0EDD">
            <w:pPr>
              <w:widowControl/>
              <w:ind w:firstLine="480" w:firstLineChars="200"/>
              <w:rPr>
                <w:color w:val="auto"/>
                <w:kern w:val="0"/>
                <w:highlight w:val="none"/>
                <w:lang w:bidi="ar"/>
              </w:rPr>
            </w:pPr>
            <w:r>
              <w:rPr>
                <w:color w:val="auto"/>
                <w:kern w:val="0"/>
                <w:highlight w:val="none"/>
                <w:lang w:bidi="ar"/>
              </w:rPr>
              <w:t>本项目</w:t>
            </w:r>
            <w:r>
              <w:rPr>
                <w:rFonts w:hint="eastAsia"/>
                <w:color w:val="auto"/>
                <w:kern w:val="0"/>
                <w:highlight w:val="none"/>
                <w:lang w:val="en-US" w:eastAsia="zh-CN" w:bidi="ar"/>
              </w:rPr>
              <w:t>四层各机房</w:t>
            </w:r>
            <w:r>
              <w:rPr>
                <w:color w:val="auto"/>
                <w:kern w:val="0"/>
                <w:highlight w:val="none"/>
                <w:lang w:bidi="ar"/>
              </w:rPr>
              <w:t>各预测点处</w:t>
            </w:r>
            <w:r>
              <w:rPr>
                <w:rFonts w:hint="eastAsia"/>
                <w:color w:val="auto"/>
                <w:kern w:val="0"/>
                <w:highlight w:val="none"/>
                <w:lang w:bidi="ar"/>
              </w:rPr>
              <w:t>泄漏</w:t>
            </w:r>
            <w:r>
              <w:rPr>
                <w:color w:val="auto"/>
                <w:kern w:val="0"/>
                <w:highlight w:val="none"/>
                <w:lang w:bidi="ar"/>
              </w:rPr>
              <w:t>辐射剂量率计算结果见下表。</w:t>
            </w:r>
          </w:p>
          <w:p w14:paraId="626431E4">
            <w:pPr>
              <w:spacing w:before="163" w:beforeLines="50"/>
              <w:jc w:val="center"/>
              <w:rPr>
                <w:rFonts w:eastAsia="黑体"/>
                <w:b/>
                <w:color w:val="auto"/>
                <w:highlight w:val="none"/>
              </w:rPr>
            </w:pPr>
            <w:r>
              <w:rPr>
                <w:rFonts w:eastAsia="黑体"/>
                <w:b/>
                <w:color w:val="auto"/>
                <w:highlight w:val="none"/>
              </w:rPr>
              <w:t>表11-</w:t>
            </w:r>
            <w:r>
              <w:rPr>
                <w:rFonts w:hint="eastAsia" w:eastAsia="黑体"/>
                <w:b/>
                <w:color w:val="auto"/>
                <w:highlight w:val="none"/>
                <w:lang w:val="en-US" w:eastAsia="zh-CN"/>
              </w:rPr>
              <w:t>14</w:t>
            </w:r>
            <w:r>
              <w:rPr>
                <w:rFonts w:eastAsia="黑体"/>
                <w:b/>
                <w:color w:val="auto"/>
                <w:highlight w:val="none"/>
              </w:rPr>
              <w:t xml:space="preserve">  </w:t>
            </w:r>
            <w:r>
              <w:rPr>
                <w:rFonts w:hint="eastAsia" w:eastAsia="黑体"/>
                <w:b/>
                <w:color w:val="auto"/>
                <w:highlight w:val="none"/>
                <w:lang w:val="en-US" w:eastAsia="zh-CN"/>
              </w:rPr>
              <w:t>各机房</w:t>
            </w:r>
            <w:r>
              <w:rPr>
                <w:rFonts w:eastAsia="黑体"/>
                <w:b/>
                <w:color w:val="auto"/>
                <w:highlight w:val="none"/>
              </w:rPr>
              <w:t>及周围各预测点</w:t>
            </w:r>
            <w:r>
              <w:rPr>
                <w:rFonts w:hint="eastAsia" w:eastAsia="黑体"/>
                <w:b/>
                <w:color w:val="auto"/>
                <w:highlight w:val="none"/>
              </w:rPr>
              <w:t>泄漏辐射</w:t>
            </w:r>
            <w:r>
              <w:rPr>
                <w:rFonts w:eastAsia="黑体"/>
                <w:b/>
                <w:color w:val="auto"/>
                <w:highlight w:val="none"/>
              </w:rPr>
              <w:t>剂量</w:t>
            </w:r>
            <w:r>
              <w:rPr>
                <w:rFonts w:hint="eastAsia" w:eastAsia="黑体"/>
                <w:b/>
                <w:color w:val="auto"/>
                <w:highlight w:val="none"/>
              </w:rPr>
              <w:t>率</w:t>
            </w:r>
            <w:r>
              <w:rPr>
                <w:rFonts w:eastAsia="黑体"/>
                <w:b/>
                <w:color w:val="auto"/>
                <w:highlight w:val="none"/>
              </w:rPr>
              <w:t>预测结果表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9"/>
              <w:gridCol w:w="634"/>
              <w:gridCol w:w="1931"/>
              <w:gridCol w:w="600"/>
              <w:gridCol w:w="992"/>
              <w:gridCol w:w="1745"/>
              <w:gridCol w:w="1130"/>
              <w:gridCol w:w="1150"/>
            </w:tblGrid>
            <w:tr w14:paraId="4EA829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429" w:type="pct"/>
                  <w:vMerge w:val="restart"/>
                  <w:noWrap w:val="0"/>
                  <w:vAlign w:val="center"/>
                </w:tcPr>
                <w:p w14:paraId="1D1B913A">
                  <w:pPr>
                    <w:keepNext w:val="0"/>
                    <w:keepLines w:val="0"/>
                    <w:pageBreakBefore w:val="0"/>
                    <w:kinsoku/>
                    <w:wordWrap/>
                    <w:overflowPunct/>
                    <w:topLinePunct w:val="0"/>
                    <w:autoSpaceDE/>
                    <w:autoSpaceDN/>
                    <w:bidi w:val="0"/>
                    <w:adjustRightInd/>
                    <w:snapToGrid/>
                    <w:spacing w:line="280" w:lineRule="exact"/>
                    <w:jc w:val="center"/>
                    <w:rPr>
                      <w:rFonts w:hint="default" w:eastAsia="宋体"/>
                      <w:b/>
                      <w:bCs/>
                      <w:color w:val="auto"/>
                      <w:spacing w:val="-11"/>
                      <w:kern w:val="0"/>
                      <w:sz w:val="21"/>
                      <w:szCs w:val="21"/>
                      <w:highlight w:val="none"/>
                      <w:lang w:val="en-US" w:eastAsia="zh-CN"/>
                    </w:rPr>
                  </w:pPr>
                  <w:r>
                    <w:rPr>
                      <w:rFonts w:hint="eastAsia"/>
                      <w:b/>
                      <w:bCs/>
                      <w:color w:val="auto"/>
                      <w:spacing w:val="-11"/>
                      <w:kern w:val="0"/>
                      <w:sz w:val="21"/>
                      <w:szCs w:val="21"/>
                      <w:highlight w:val="none"/>
                      <w:lang w:val="en-US" w:eastAsia="zh-CN"/>
                    </w:rPr>
                    <w:t>机房名称</w:t>
                  </w:r>
                </w:p>
              </w:tc>
              <w:tc>
                <w:tcPr>
                  <w:tcW w:w="1432" w:type="pct"/>
                  <w:gridSpan w:val="2"/>
                  <w:noWrap w:val="0"/>
                  <w:vAlign w:val="center"/>
                </w:tcPr>
                <w:p w14:paraId="0C5E8B36">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关注点位</w:t>
                  </w:r>
                </w:p>
              </w:tc>
              <w:tc>
                <w:tcPr>
                  <w:tcW w:w="335" w:type="pct"/>
                  <w:vMerge w:val="restart"/>
                  <w:noWrap w:val="0"/>
                  <w:vAlign w:val="center"/>
                </w:tcPr>
                <w:p w14:paraId="4DEBA674">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模式</w:t>
                  </w:r>
                </w:p>
              </w:tc>
              <w:tc>
                <w:tcPr>
                  <w:tcW w:w="554" w:type="pct"/>
                  <w:vMerge w:val="restart"/>
                  <w:noWrap w:val="0"/>
                  <w:vAlign w:val="center"/>
                </w:tcPr>
                <w:p w14:paraId="135587D2">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病人与预测点的距离（m）</w:t>
                  </w:r>
                </w:p>
              </w:tc>
              <w:tc>
                <w:tcPr>
                  <w:tcW w:w="974" w:type="pct"/>
                  <w:vMerge w:val="restart"/>
                  <w:noWrap w:val="0"/>
                  <w:vAlign w:val="center"/>
                </w:tcPr>
                <w:p w14:paraId="3FB3244A">
                  <w:pPr>
                    <w:keepNext w:val="0"/>
                    <w:keepLines w:val="0"/>
                    <w:pageBreakBefore w:val="0"/>
                    <w:kinsoku/>
                    <w:wordWrap/>
                    <w:overflowPunct/>
                    <w:topLinePunct w:val="0"/>
                    <w:autoSpaceDE/>
                    <w:autoSpaceDN/>
                    <w:bidi w:val="0"/>
                    <w:adjustRightInd/>
                    <w:snapToGrid/>
                    <w:spacing w:line="280" w:lineRule="exact"/>
                    <w:jc w:val="center"/>
                    <w:rPr>
                      <w:rFonts w:hint="eastAsia" w:eastAsia="宋体"/>
                      <w:b/>
                      <w:bCs/>
                      <w:color w:val="auto"/>
                      <w:spacing w:val="-11"/>
                      <w:kern w:val="0"/>
                      <w:sz w:val="21"/>
                      <w:szCs w:val="21"/>
                      <w:highlight w:val="none"/>
                      <w:lang w:eastAsia="zh-CN"/>
                    </w:rPr>
                  </w:pPr>
                  <w:r>
                    <w:rPr>
                      <w:b/>
                      <w:bCs/>
                      <w:color w:val="auto"/>
                      <w:spacing w:val="-11"/>
                      <w:kern w:val="0"/>
                      <w:sz w:val="21"/>
                      <w:szCs w:val="21"/>
                      <w:highlight w:val="none"/>
                    </w:rPr>
                    <w:t>防护情况</w:t>
                  </w:r>
                </w:p>
              </w:tc>
              <w:tc>
                <w:tcPr>
                  <w:tcW w:w="631" w:type="pct"/>
                  <w:vMerge w:val="restart"/>
                  <w:noWrap w:val="0"/>
                  <w:vAlign w:val="center"/>
                </w:tcPr>
                <w:p w14:paraId="5039D233">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屏蔽透射</w:t>
                  </w:r>
                </w:p>
                <w:p w14:paraId="0112F3E2">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因子</w:t>
                  </w:r>
                  <w:r>
                    <w:rPr>
                      <w:b/>
                      <w:bCs/>
                      <w:i/>
                      <w:iCs/>
                      <w:color w:val="auto"/>
                      <w:spacing w:val="-11"/>
                      <w:kern w:val="0"/>
                      <w:sz w:val="21"/>
                      <w:szCs w:val="21"/>
                      <w:highlight w:val="none"/>
                    </w:rPr>
                    <w:t>B</w:t>
                  </w:r>
                </w:p>
              </w:tc>
              <w:tc>
                <w:tcPr>
                  <w:tcW w:w="642" w:type="pct"/>
                  <w:vMerge w:val="restart"/>
                  <w:noWrap w:val="0"/>
                  <w:vAlign w:val="center"/>
                </w:tcPr>
                <w:p w14:paraId="05387CC6">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rFonts w:hint="eastAsia"/>
                      <w:b/>
                      <w:bCs/>
                      <w:color w:val="auto"/>
                      <w:spacing w:val="-11"/>
                      <w:kern w:val="0"/>
                      <w:sz w:val="21"/>
                      <w:szCs w:val="21"/>
                      <w:highlight w:val="none"/>
                    </w:rPr>
                    <w:t>散射辐射</w:t>
                  </w:r>
                  <w:r>
                    <w:rPr>
                      <w:b/>
                      <w:bCs/>
                      <w:color w:val="auto"/>
                      <w:spacing w:val="-11"/>
                      <w:kern w:val="0"/>
                      <w:sz w:val="21"/>
                      <w:szCs w:val="21"/>
                      <w:highlight w:val="none"/>
                    </w:rPr>
                    <w:t>剂量率</w:t>
                  </w:r>
                </w:p>
                <w:p w14:paraId="1F4EAC1D">
                  <w:pPr>
                    <w:keepNext w:val="0"/>
                    <w:keepLines w:val="0"/>
                    <w:pageBreakBefore w:val="0"/>
                    <w:kinsoku/>
                    <w:wordWrap/>
                    <w:overflowPunct/>
                    <w:topLinePunct w:val="0"/>
                    <w:autoSpaceDE/>
                    <w:autoSpaceDN/>
                    <w:bidi w:val="0"/>
                    <w:adjustRightInd/>
                    <w:snapToGrid/>
                    <w:spacing w:line="280" w:lineRule="exact"/>
                    <w:jc w:val="center"/>
                    <w:rPr>
                      <w:rFonts w:hint="eastAsia"/>
                      <w:b/>
                      <w:bCs/>
                      <w:color w:val="auto"/>
                      <w:spacing w:val="-11"/>
                      <w:kern w:val="0"/>
                      <w:sz w:val="21"/>
                      <w:szCs w:val="21"/>
                      <w:highlight w:val="none"/>
                    </w:rPr>
                  </w:pPr>
                  <w:r>
                    <w:rPr>
                      <w:b/>
                      <w:bCs/>
                      <w:color w:val="auto"/>
                      <w:spacing w:val="-11"/>
                      <w:kern w:val="0"/>
                      <w:sz w:val="21"/>
                      <w:szCs w:val="21"/>
                      <w:highlight w:val="none"/>
                    </w:rPr>
                    <w:t>（μSv/h）</w:t>
                  </w:r>
                </w:p>
              </w:tc>
            </w:tr>
            <w:tr w14:paraId="6EFDCB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429" w:type="pct"/>
                  <w:vMerge w:val="continue"/>
                  <w:noWrap w:val="0"/>
                  <w:vAlign w:val="center"/>
                </w:tcPr>
                <w:p w14:paraId="407D580A">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354" w:type="pct"/>
                  <w:noWrap w:val="0"/>
                  <w:vAlign w:val="center"/>
                </w:tcPr>
                <w:p w14:paraId="5CFB89B0">
                  <w:pPr>
                    <w:keepNext w:val="0"/>
                    <w:keepLines w:val="0"/>
                    <w:pageBreakBefore w:val="0"/>
                    <w:kinsoku/>
                    <w:wordWrap/>
                    <w:overflowPunct/>
                    <w:topLinePunct w:val="0"/>
                    <w:autoSpaceDE/>
                    <w:autoSpaceDN/>
                    <w:bidi w:val="0"/>
                    <w:adjustRightInd/>
                    <w:snapToGrid/>
                    <w:spacing w:line="280" w:lineRule="exact"/>
                    <w:jc w:val="center"/>
                    <w:rPr>
                      <w:rFonts w:hint="eastAsia" w:eastAsia="宋体"/>
                      <w:b/>
                      <w:bCs/>
                      <w:color w:val="auto"/>
                      <w:spacing w:val="-11"/>
                      <w:kern w:val="0"/>
                      <w:sz w:val="21"/>
                      <w:szCs w:val="21"/>
                      <w:highlight w:val="none"/>
                      <w:lang w:eastAsia="zh-CN"/>
                    </w:rPr>
                  </w:pPr>
                  <w:r>
                    <w:rPr>
                      <w:rFonts w:hint="eastAsia"/>
                      <w:b/>
                      <w:bCs/>
                      <w:color w:val="auto"/>
                      <w:spacing w:val="-11"/>
                      <w:kern w:val="0"/>
                      <w:sz w:val="21"/>
                      <w:szCs w:val="21"/>
                      <w:highlight w:val="none"/>
                      <w:lang w:val="en-US" w:eastAsia="zh-CN"/>
                    </w:rPr>
                    <w:t>序号</w:t>
                  </w:r>
                </w:p>
              </w:tc>
              <w:tc>
                <w:tcPr>
                  <w:tcW w:w="1078" w:type="pct"/>
                  <w:noWrap w:val="0"/>
                  <w:vAlign w:val="center"/>
                </w:tcPr>
                <w:p w14:paraId="3BCEF7A5">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位置</w:t>
                  </w:r>
                </w:p>
              </w:tc>
              <w:tc>
                <w:tcPr>
                  <w:tcW w:w="335" w:type="pct"/>
                  <w:vMerge w:val="continue"/>
                  <w:noWrap w:val="0"/>
                  <w:vAlign w:val="center"/>
                </w:tcPr>
                <w:p w14:paraId="5D0FDD1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554" w:type="pct"/>
                  <w:vMerge w:val="continue"/>
                  <w:noWrap w:val="0"/>
                  <w:vAlign w:val="center"/>
                </w:tcPr>
                <w:p w14:paraId="64BB3F8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9BBEA8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vMerge w:val="continue"/>
                  <w:noWrap w:val="0"/>
                  <w:vAlign w:val="center"/>
                </w:tcPr>
                <w:p w14:paraId="3DBA675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42" w:type="pct"/>
                  <w:vMerge w:val="continue"/>
                  <w:noWrap w:val="0"/>
                  <w:vAlign w:val="center"/>
                </w:tcPr>
                <w:p w14:paraId="1DDC829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r>
            <w:tr w14:paraId="591033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3E47D25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0"/>
                      <w:sz w:val="21"/>
                      <w:szCs w:val="21"/>
                      <w:highlight w:val="none"/>
                      <w:lang w:val="en-US" w:eastAsia="zh-CN"/>
                    </w:rPr>
                    <w:t>DSA+CT复合手术室</w:t>
                  </w:r>
                </w:p>
              </w:tc>
              <w:tc>
                <w:tcPr>
                  <w:tcW w:w="354" w:type="pct"/>
                  <w:vMerge w:val="restart"/>
                  <w:noWrap w:val="0"/>
                  <w:vAlign w:val="center"/>
                </w:tcPr>
                <w:p w14:paraId="703CAA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olor w:val="auto"/>
                      <w:spacing w:val="-11"/>
                      <w:kern w:val="0"/>
                      <w:sz w:val="21"/>
                      <w:szCs w:val="21"/>
                      <w:highlight w:val="none"/>
                    </w:rPr>
                  </w:pPr>
                  <w:r>
                    <w:rPr>
                      <w:rFonts w:hint="eastAsia"/>
                      <w:color w:val="auto"/>
                      <w:spacing w:val="0"/>
                      <w:kern w:val="0"/>
                      <w:sz w:val="21"/>
                      <w:szCs w:val="21"/>
                      <w:highlight w:val="none"/>
                    </w:rPr>
                    <w:t>1</w:t>
                  </w:r>
                </w:p>
              </w:tc>
              <w:tc>
                <w:tcPr>
                  <w:tcW w:w="1078" w:type="pct"/>
                  <w:vMerge w:val="restart"/>
                  <w:noWrap w:val="0"/>
                  <w:vAlign w:val="center"/>
                </w:tcPr>
                <w:p w14:paraId="30F695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机房北侧观察窗外侧1m（控制室操作位）</w:t>
                  </w:r>
                </w:p>
              </w:tc>
              <w:tc>
                <w:tcPr>
                  <w:tcW w:w="335" w:type="pct"/>
                  <w:noWrap w:val="0"/>
                  <w:vAlign w:val="center"/>
                </w:tcPr>
                <w:p w14:paraId="7DD70E71">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37CDA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宋体"/>
                      <w:color w:val="auto"/>
                      <w:spacing w:val="-11"/>
                      <w:kern w:val="0"/>
                      <w:sz w:val="21"/>
                      <w:szCs w:val="21"/>
                      <w:highlight w:val="none"/>
                      <w:lang w:val="en-US" w:eastAsia="zh-CN"/>
                    </w:rPr>
                  </w:pPr>
                  <w:r>
                    <w:rPr>
                      <w:rFonts w:hint="eastAsia"/>
                      <w:color w:val="auto"/>
                      <w:spacing w:val="0"/>
                      <w:kern w:val="0"/>
                      <w:sz w:val="21"/>
                      <w:szCs w:val="21"/>
                      <w:highlight w:val="none"/>
                      <w:lang w:val="en-US" w:eastAsia="zh-CN"/>
                    </w:rPr>
                    <w:t>7.8</w:t>
                  </w:r>
                </w:p>
              </w:tc>
              <w:tc>
                <w:tcPr>
                  <w:tcW w:w="974" w:type="pct"/>
                  <w:vMerge w:val="restart"/>
                  <w:noWrap w:val="0"/>
                  <w:vAlign w:val="center"/>
                </w:tcPr>
                <w:p w14:paraId="53C18DEF">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20E84C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489FBA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1.65E-06</w:t>
                  </w:r>
                </w:p>
              </w:tc>
            </w:tr>
            <w:tr w14:paraId="6DEE5D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44F30F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09BD9C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5434F9D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396DCFF8">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DFDBFA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6874EB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7C66C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670F3E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6.12E-05</w:t>
                  </w:r>
                </w:p>
              </w:tc>
            </w:tr>
            <w:tr w14:paraId="3121DB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F4342E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54" w:type="pct"/>
                  <w:vMerge w:val="restart"/>
                  <w:shd w:val="clear" w:color="auto" w:fill="auto"/>
                  <w:noWrap w:val="0"/>
                  <w:vAlign w:val="center"/>
                </w:tcPr>
                <w:p w14:paraId="6F96E2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2</w:t>
                  </w:r>
                </w:p>
              </w:tc>
              <w:tc>
                <w:tcPr>
                  <w:tcW w:w="1078" w:type="pct"/>
                  <w:vMerge w:val="restart"/>
                  <w:shd w:val="clear" w:color="auto" w:fill="auto"/>
                  <w:noWrap w:val="0"/>
                  <w:vAlign w:val="center"/>
                </w:tcPr>
                <w:p w14:paraId="658411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机房北侧控制室门外侧30cm（控制室）</w:t>
                  </w:r>
                </w:p>
              </w:tc>
              <w:tc>
                <w:tcPr>
                  <w:tcW w:w="335" w:type="pct"/>
                  <w:noWrap w:val="0"/>
                  <w:vAlign w:val="center"/>
                </w:tcPr>
                <w:p w14:paraId="1B40040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B7EC75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宋体"/>
                      <w:color w:val="auto"/>
                      <w:spacing w:val="-11"/>
                      <w:kern w:val="0"/>
                      <w:sz w:val="21"/>
                      <w:szCs w:val="21"/>
                      <w:highlight w:val="none"/>
                      <w:lang w:val="en-US" w:eastAsia="zh-CN"/>
                    </w:rPr>
                  </w:pPr>
                  <w:r>
                    <w:rPr>
                      <w:rFonts w:hint="eastAsia"/>
                      <w:color w:val="auto"/>
                      <w:spacing w:val="0"/>
                      <w:kern w:val="0"/>
                      <w:sz w:val="21"/>
                      <w:szCs w:val="21"/>
                      <w:highlight w:val="none"/>
                      <w:lang w:val="en-US" w:eastAsia="zh-CN"/>
                    </w:rPr>
                    <w:t>7.7</w:t>
                  </w:r>
                </w:p>
              </w:tc>
              <w:tc>
                <w:tcPr>
                  <w:tcW w:w="974" w:type="pct"/>
                  <w:vMerge w:val="restart"/>
                  <w:shd w:val="clear" w:color="auto" w:fill="auto"/>
                  <w:noWrap w:val="0"/>
                  <w:vAlign w:val="center"/>
                </w:tcPr>
                <w:p w14:paraId="2E768A2F">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5A2B0A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CC754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1.69E-06</w:t>
                  </w:r>
                </w:p>
              </w:tc>
            </w:tr>
            <w:tr w14:paraId="6F3F3F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3496A0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BBA158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D6E520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270A522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282E3C2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5105C4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4D176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6661F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6.28E-05</w:t>
                  </w:r>
                </w:p>
              </w:tc>
            </w:tr>
            <w:tr w14:paraId="73B178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shd w:val="clear" w:color="auto" w:fill="auto"/>
                  <w:noWrap w:val="0"/>
                  <w:vAlign w:val="center"/>
                </w:tcPr>
                <w:p w14:paraId="28BBA13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p>
              </w:tc>
              <w:tc>
                <w:tcPr>
                  <w:tcW w:w="354" w:type="pct"/>
                  <w:vMerge w:val="restart"/>
                  <w:shd w:val="clear" w:color="auto" w:fill="auto"/>
                  <w:noWrap w:val="0"/>
                  <w:vAlign w:val="center"/>
                </w:tcPr>
                <w:p w14:paraId="01A31A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3</w:t>
                  </w:r>
                </w:p>
              </w:tc>
              <w:tc>
                <w:tcPr>
                  <w:tcW w:w="1078" w:type="pct"/>
                  <w:vMerge w:val="restart"/>
                  <w:shd w:val="clear" w:color="auto" w:fill="auto"/>
                  <w:noWrap w:val="0"/>
                  <w:vAlign w:val="center"/>
                </w:tcPr>
                <w:p w14:paraId="69B3BD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机房北侧墙体外侧30cm（控制室）</w:t>
                  </w:r>
                </w:p>
              </w:tc>
              <w:tc>
                <w:tcPr>
                  <w:tcW w:w="335" w:type="pct"/>
                  <w:shd w:val="clear" w:color="auto" w:fill="auto"/>
                  <w:noWrap w:val="0"/>
                  <w:vAlign w:val="center"/>
                </w:tcPr>
                <w:p w14:paraId="07F9774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B8BBC5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宋体"/>
                      <w:color w:val="auto"/>
                      <w:spacing w:val="-11"/>
                      <w:kern w:val="0"/>
                      <w:sz w:val="21"/>
                      <w:szCs w:val="21"/>
                      <w:highlight w:val="none"/>
                      <w:lang w:val="en-US" w:eastAsia="zh-CN"/>
                    </w:rPr>
                  </w:pPr>
                  <w:r>
                    <w:rPr>
                      <w:rFonts w:hint="eastAsia"/>
                      <w:color w:val="auto"/>
                      <w:spacing w:val="0"/>
                      <w:kern w:val="0"/>
                      <w:sz w:val="21"/>
                      <w:szCs w:val="21"/>
                      <w:highlight w:val="none"/>
                      <w:lang w:val="en-US" w:eastAsia="zh-CN"/>
                    </w:rPr>
                    <w:t>7.3</w:t>
                  </w:r>
                </w:p>
              </w:tc>
              <w:tc>
                <w:tcPr>
                  <w:tcW w:w="974" w:type="pct"/>
                  <w:vMerge w:val="restart"/>
                  <w:noWrap w:val="0"/>
                  <w:vAlign w:val="center"/>
                </w:tcPr>
                <w:p w14:paraId="5C2A7DCD">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43D981A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3AFCB1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1.36E-06</w:t>
                  </w:r>
                </w:p>
              </w:tc>
            </w:tr>
            <w:tr w14:paraId="2268F2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EC09DE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5AD44D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EEC9E8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6AF4004">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1AB502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AE19A8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7AFBA0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5FB4CA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5.49E-05</w:t>
                  </w:r>
                </w:p>
              </w:tc>
            </w:tr>
            <w:tr w14:paraId="3E9AEA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shd w:val="clear" w:color="auto" w:fill="auto"/>
                  <w:noWrap w:val="0"/>
                  <w:vAlign w:val="center"/>
                </w:tcPr>
                <w:p w14:paraId="7D9F6CD2">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p>
              </w:tc>
              <w:tc>
                <w:tcPr>
                  <w:tcW w:w="354" w:type="pct"/>
                  <w:vMerge w:val="restart"/>
                  <w:shd w:val="clear" w:color="auto" w:fill="auto"/>
                  <w:noWrap w:val="0"/>
                  <w:vAlign w:val="center"/>
                </w:tcPr>
                <w:p w14:paraId="7DB885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4</w:t>
                  </w:r>
                </w:p>
              </w:tc>
              <w:tc>
                <w:tcPr>
                  <w:tcW w:w="1078" w:type="pct"/>
                  <w:vMerge w:val="restart"/>
                  <w:shd w:val="clear" w:color="auto" w:fill="auto"/>
                  <w:noWrap w:val="0"/>
                  <w:vAlign w:val="center"/>
                </w:tcPr>
                <w:p w14:paraId="4961650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机房东侧医生通道门外侧30cm（医生通道）</w:t>
                  </w:r>
                </w:p>
              </w:tc>
              <w:tc>
                <w:tcPr>
                  <w:tcW w:w="335" w:type="pct"/>
                  <w:shd w:val="clear" w:color="auto" w:fill="auto"/>
                  <w:noWrap w:val="0"/>
                  <w:vAlign w:val="center"/>
                </w:tcPr>
                <w:p w14:paraId="5EE2F93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7BA5E1E">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shd w:val="clear" w:color="auto" w:fill="auto"/>
                  <w:noWrap w:val="0"/>
                  <w:vAlign w:val="center"/>
                </w:tcPr>
                <w:p w14:paraId="662F1085">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2FBD00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2CAA4B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4.17E-06</w:t>
                  </w:r>
                </w:p>
              </w:tc>
            </w:tr>
            <w:tr w14:paraId="232349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48436F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F569DF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567887A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013F980">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E6E75D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BC422C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8A33A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37C6A0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1.55E-04</w:t>
                  </w:r>
                </w:p>
              </w:tc>
            </w:tr>
            <w:tr w14:paraId="308E09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1982525">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p>
              </w:tc>
              <w:tc>
                <w:tcPr>
                  <w:tcW w:w="354" w:type="pct"/>
                  <w:vMerge w:val="restart"/>
                  <w:noWrap w:val="0"/>
                  <w:vAlign w:val="center"/>
                </w:tcPr>
                <w:p w14:paraId="33C28D4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w:t>
                  </w:r>
                </w:p>
              </w:tc>
              <w:tc>
                <w:tcPr>
                  <w:tcW w:w="1078" w:type="pct"/>
                  <w:vMerge w:val="restart"/>
                  <w:noWrap w:val="0"/>
                  <w:vAlign w:val="center"/>
                </w:tcPr>
                <w:p w14:paraId="7A01D1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机房东侧墙体外侧30cm（手术室OR14）</w:t>
                  </w:r>
                </w:p>
              </w:tc>
              <w:tc>
                <w:tcPr>
                  <w:tcW w:w="335" w:type="pct"/>
                  <w:shd w:val="clear" w:color="auto" w:fill="auto"/>
                  <w:noWrap w:val="0"/>
                  <w:vAlign w:val="center"/>
                </w:tcPr>
                <w:p w14:paraId="28EAE1A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15139CC">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6D42E1C7">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267E4273">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0ED7AD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3.01E-06</w:t>
                  </w:r>
                </w:p>
              </w:tc>
            </w:tr>
            <w:tr w14:paraId="4FE4B9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5F7BDA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F0F0C8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503D4C2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09D9594">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3CBBE8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D441AC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07B4F3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213659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1.22E-04</w:t>
                  </w:r>
                </w:p>
              </w:tc>
            </w:tr>
            <w:tr w14:paraId="74BD6E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BAA5B39">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p>
              </w:tc>
              <w:tc>
                <w:tcPr>
                  <w:tcW w:w="354" w:type="pct"/>
                  <w:vMerge w:val="restart"/>
                  <w:noWrap w:val="0"/>
                  <w:vAlign w:val="center"/>
                </w:tcPr>
                <w:p w14:paraId="455ADB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w:t>
                  </w:r>
                </w:p>
              </w:tc>
              <w:tc>
                <w:tcPr>
                  <w:tcW w:w="1078" w:type="pct"/>
                  <w:vMerge w:val="restart"/>
                  <w:noWrap w:val="0"/>
                  <w:vAlign w:val="center"/>
                </w:tcPr>
                <w:p w14:paraId="0F39178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机房南侧CT通道门外侧30cm（CT设备间）</w:t>
                  </w:r>
                </w:p>
              </w:tc>
              <w:tc>
                <w:tcPr>
                  <w:tcW w:w="335" w:type="pct"/>
                  <w:noWrap w:val="0"/>
                  <w:vAlign w:val="center"/>
                </w:tcPr>
                <w:p w14:paraId="120EB24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E294A9A">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4.5</w:t>
                  </w:r>
                </w:p>
              </w:tc>
              <w:tc>
                <w:tcPr>
                  <w:tcW w:w="974" w:type="pct"/>
                  <w:vMerge w:val="restart"/>
                  <w:shd w:val="clear" w:color="auto" w:fill="auto"/>
                  <w:noWrap w:val="0"/>
                  <w:vAlign w:val="center"/>
                </w:tcPr>
                <w:p w14:paraId="21CCB480">
                  <w:pPr>
                    <w:keepNext w:val="0"/>
                    <w:keepLines w:val="0"/>
                    <w:pageBreakBefore w:val="0"/>
                    <w:kinsoku/>
                    <w:wordWrap/>
                    <w:overflowPunct/>
                    <w:topLinePunct w:val="0"/>
                    <w:autoSpaceDE/>
                    <w:autoSpaceDN/>
                    <w:bidi w:val="0"/>
                    <w:adjustRightInd/>
                    <w:snapToGrid/>
                    <w:spacing w:line="280" w:lineRule="exact"/>
                    <w:jc w:val="center"/>
                    <w:rPr>
                      <w:rFonts w:hint="default"/>
                      <w:color w:val="auto"/>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390C43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7BE362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4.95E-06</w:t>
                  </w:r>
                </w:p>
              </w:tc>
            </w:tr>
            <w:tr w14:paraId="72339A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661CB9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0F7DC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313EB1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0FD22C9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41EABD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0A7334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2D62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228FED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1.84E-04</w:t>
                  </w:r>
                </w:p>
              </w:tc>
            </w:tr>
            <w:tr w14:paraId="5283A6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1C757B4">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p>
              </w:tc>
              <w:tc>
                <w:tcPr>
                  <w:tcW w:w="354" w:type="pct"/>
                  <w:vMerge w:val="restart"/>
                  <w:noWrap w:val="0"/>
                  <w:vAlign w:val="center"/>
                </w:tcPr>
                <w:p w14:paraId="124D7A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7</w:t>
                  </w:r>
                </w:p>
              </w:tc>
              <w:tc>
                <w:tcPr>
                  <w:tcW w:w="1078" w:type="pct"/>
                  <w:vMerge w:val="restart"/>
                  <w:noWrap w:val="0"/>
                  <w:vAlign w:val="center"/>
                </w:tcPr>
                <w:p w14:paraId="7F76B7E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机房南侧墙体外侧30cm（CT设备间）</w:t>
                  </w:r>
                </w:p>
              </w:tc>
              <w:tc>
                <w:tcPr>
                  <w:tcW w:w="335" w:type="pct"/>
                  <w:noWrap w:val="0"/>
                  <w:vAlign w:val="center"/>
                </w:tcPr>
                <w:p w14:paraId="43534B3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5982D57">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4.5</w:t>
                  </w:r>
                </w:p>
              </w:tc>
              <w:tc>
                <w:tcPr>
                  <w:tcW w:w="974" w:type="pct"/>
                  <w:vMerge w:val="restart"/>
                  <w:noWrap w:val="0"/>
                  <w:vAlign w:val="center"/>
                </w:tcPr>
                <w:p w14:paraId="42BC31BE">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50305C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2EF6A5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3.57E-06</w:t>
                  </w:r>
                </w:p>
              </w:tc>
            </w:tr>
            <w:tr w14:paraId="6BD217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38BCEC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77D1BC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6C8737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noWrap w:val="0"/>
                  <w:vAlign w:val="center"/>
                </w:tcPr>
                <w:p w14:paraId="7C41B56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1B67E1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794E24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CED773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5CC0B7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1.44E-04</w:t>
                  </w:r>
                </w:p>
              </w:tc>
            </w:tr>
            <w:tr w14:paraId="60A5F3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shd w:val="clear" w:color="auto" w:fill="auto"/>
                  <w:noWrap w:val="0"/>
                  <w:vAlign w:val="center"/>
                </w:tcPr>
                <w:p w14:paraId="3C0F8BD3">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color w:val="auto"/>
                      <w:spacing w:val="-11"/>
                      <w:kern w:val="0"/>
                      <w:sz w:val="21"/>
                      <w:szCs w:val="21"/>
                      <w:highlight w:val="none"/>
                      <w:lang w:val="en-US" w:eastAsia="zh-CN" w:bidi="ar-SA"/>
                    </w:rPr>
                  </w:pPr>
                </w:p>
              </w:tc>
              <w:tc>
                <w:tcPr>
                  <w:tcW w:w="354" w:type="pct"/>
                  <w:vMerge w:val="restart"/>
                  <w:shd w:val="clear" w:color="auto" w:fill="auto"/>
                  <w:noWrap w:val="0"/>
                  <w:vAlign w:val="center"/>
                </w:tcPr>
                <w:p w14:paraId="311614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8</w:t>
                  </w:r>
                </w:p>
              </w:tc>
              <w:tc>
                <w:tcPr>
                  <w:tcW w:w="1078" w:type="pct"/>
                  <w:vMerge w:val="restart"/>
                  <w:shd w:val="clear" w:color="auto" w:fill="auto"/>
                  <w:noWrap w:val="0"/>
                  <w:vAlign w:val="center"/>
                </w:tcPr>
                <w:p w14:paraId="3D80BC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机房南侧患者通道门外侧30cm（患者通道）</w:t>
                  </w:r>
                </w:p>
              </w:tc>
              <w:tc>
                <w:tcPr>
                  <w:tcW w:w="335" w:type="pct"/>
                  <w:shd w:val="clear" w:color="auto" w:fill="auto"/>
                  <w:noWrap w:val="0"/>
                  <w:vAlign w:val="center"/>
                </w:tcPr>
                <w:p w14:paraId="40BC0248">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22D86A8">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5.3</w:t>
                  </w:r>
                </w:p>
              </w:tc>
              <w:tc>
                <w:tcPr>
                  <w:tcW w:w="974" w:type="pct"/>
                  <w:vMerge w:val="restart"/>
                  <w:shd w:val="clear" w:color="auto" w:fill="auto"/>
                  <w:noWrap w:val="0"/>
                  <w:vAlign w:val="center"/>
                </w:tcPr>
                <w:p w14:paraId="7355DAB6">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34286A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3E1D9B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3.57E-06</w:t>
                  </w:r>
                </w:p>
              </w:tc>
            </w:tr>
            <w:tr w14:paraId="7A11D6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554BB7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355FBF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D10660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C71A70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D5389B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11EE96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986ED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2F34C9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1.33E-04</w:t>
                  </w:r>
                </w:p>
              </w:tc>
            </w:tr>
            <w:tr w14:paraId="722028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BCDCC8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3B0B86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9</w:t>
                  </w:r>
                </w:p>
              </w:tc>
              <w:tc>
                <w:tcPr>
                  <w:tcW w:w="1078" w:type="pct"/>
                  <w:vMerge w:val="restart"/>
                  <w:noWrap w:val="0"/>
                  <w:vAlign w:val="center"/>
                </w:tcPr>
                <w:p w14:paraId="4E14E2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机房西侧墙体外侧30cm（患者通道）</w:t>
                  </w:r>
                </w:p>
              </w:tc>
              <w:tc>
                <w:tcPr>
                  <w:tcW w:w="335" w:type="pct"/>
                  <w:shd w:val="clear" w:color="auto" w:fill="auto"/>
                  <w:noWrap w:val="0"/>
                  <w:vAlign w:val="center"/>
                </w:tcPr>
                <w:p w14:paraId="64D0DA9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FD54521">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4.7</w:t>
                  </w:r>
                </w:p>
              </w:tc>
              <w:tc>
                <w:tcPr>
                  <w:tcW w:w="974" w:type="pct"/>
                  <w:vMerge w:val="restart"/>
                  <w:noWrap w:val="0"/>
                  <w:vAlign w:val="center"/>
                </w:tcPr>
                <w:p w14:paraId="4D8C9FA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608021F3">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4.15E-08</w:t>
                  </w:r>
                </w:p>
              </w:tc>
              <w:tc>
                <w:tcPr>
                  <w:tcW w:w="1150" w:type="dxa"/>
                  <w:noWrap w:val="0"/>
                  <w:vAlign w:val="center"/>
                </w:tcPr>
                <w:p w14:paraId="088878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3.27E-06</w:t>
                  </w:r>
                </w:p>
              </w:tc>
            </w:tr>
            <w:tr w14:paraId="52CCD7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A2F7AB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227E71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2F015B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0811B6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FD7BFC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238D6A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24C6EED">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1.68E-06</w:t>
                  </w:r>
                </w:p>
              </w:tc>
              <w:tc>
                <w:tcPr>
                  <w:tcW w:w="1150" w:type="dxa"/>
                  <w:noWrap w:val="0"/>
                  <w:vAlign w:val="center"/>
                </w:tcPr>
                <w:p w14:paraId="53AD98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r>
            <w:tr w14:paraId="7F397F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8EB293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69AB55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11</w:t>
                  </w:r>
                </w:p>
              </w:tc>
              <w:tc>
                <w:tcPr>
                  <w:tcW w:w="1078" w:type="pct"/>
                  <w:vMerge w:val="restart"/>
                  <w:noWrap w:val="0"/>
                  <w:vAlign w:val="center"/>
                </w:tcPr>
                <w:p w14:paraId="57F6B93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38C8B39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C00C47F">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426E282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2460D66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6C9BE8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2.70E-05</w:t>
                  </w:r>
                </w:p>
              </w:tc>
            </w:tr>
            <w:tr w14:paraId="7C28FA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654EEC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2E0EA0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8B3E61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2E6BBD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129587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C0C744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593062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8.71E-06</w:t>
                  </w:r>
                </w:p>
              </w:tc>
              <w:tc>
                <w:tcPr>
                  <w:tcW w:w="1150" w:type="dxa"/>
                  <w:noWrap w:val="0"/>
                  <w:vAlign w:val="center"/>
                </w:tcPr>
                <w:p w14:paraId="08A527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6.31E-04</w:t>
                  </w:r>
                </w:p>
              </w:tc>
            </w:tr>
            <w:tr w14:paraId="426927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7A409BF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bCs/>
                      <w:sz w:val="21"/>
                      <w:szCs w:val="21"/>
                      <w:lang w:val="en-US" w:eastAsia="zh-CN"/>
                    </w:rPr>
                    <w:t>DSA手术室OR09</w:t>
                  </w:r>
                </w:p>
              </w:tc>
              <w:tc>
                <w:tcPr>
                  <w:tcW w:w="354" w:type="pct"/>
                  <w:vMerge w:val="restart"/>
                  <w:noWrap w:val="0"/>
                  <w:vAlign w:val="center"/>
                </w:tcPr>
                <w:p w14:paraId="0E1E14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12</w:t>
                  </w:r>
                </w:p>
              </w:tc>
              <w:tc>
                <w:tcPr>
                  <w:tcW w:w="1078" w:type="pct"/>
                  <w:vMerge w:val="restart"/>
                  <w:noWrap w:val="0"/>
                  <w:vAlign w:val="center"/>
                </w:tcPr>
                <w:p w14:paraId="09476F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机房北侧患者通道门外侧30cm（患者通道）</w:t>
                  </w:r>
                </w:p>
              </w:tc>
              <w:tc>
                <w:tcPr>
                  <w:tcW w:w="335" w:type="pct"/>
                  <w:shd w:val="clear" w:color="auto" w:fill="auto"/>
                  <w:noWrap w:val="0"/>
                  <w:vAlign w:val="center"/>
                </w:tcPr>
                <w:p w14:paraId="66E19C1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55B0FA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6.0</w:t>
                  </w:r>
                </w:p>
              </w:tc>
              <w:tc>
                <w:tcPr>
                  <w:tcW w:w="974" w:type="pct"/>
                  <w:vMerge w:val="restart"/>
                  <w:noWrap w:val="0"/>
                  <w:vAlign w:val="center"/>
                </w:tcPr>
                <w:p w14:paraId="43EF8FA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338A2299">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76CC31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2.78E-06</w:t>
                  </w:r>
                </w:p>
              </w:tc>
            </w:tr>
            <w:tr w14:paraId="3121F3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5AEEB9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6F7F42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71587D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9F7228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23E5A74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D50267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59BCEEF">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56F5EC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1.03E-04</w:t>
                  </w:r>
                </w:p>
              </w:tc>
            </w:tr>
            <w:tr w14:paraId="7A7C41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29" w:type="pct"/>
                  <w:vMerge w:val="continue"/>
                  <w:noWrap w:val="0"/>
                  <w:vAlign w:val="center"/>
                </w:tcPr>
                <w:p w14:paraId="6C1353C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EA0A7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13</w:t>
                  </w:r>
                </w:p>
              </w:tc>
              <w:tc>
                <w:tcPr>
                  <w:tcW w:w="1078" w:type="pct"/>
                  <w:vMerge w:val="restart"/>
                  <w:noWrap w:val="0"/>
                  <w:vAlign w:val="center"/>
                </w:tcPr>
                <w:p w14:paraId="04898C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机房北侧墙体外侧30cm（患者通道）</w:t>
                  </w:r>
                </w:p>
              </w:tc>
              <w:tc>
                <w:tcPr>
                  <w:tcW w:w="335" w:type="pct"/>
                  <w:shd w:val="clear" w:color="auto" w:fill="auto"/>
                  <w:noWrap w:val="0"/>
                  <w:vAlign w:val="center"/>
                </w:tcPr>
                <w:p w14:paraId="4EA02C9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2B997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6.2</w:t>
                  </w:r>
                </w:p>
              </w:tc>
              <w:tc>
                <w:tcPr>
                  <w:tcW w:w="974" w:type="pct"/>
                  <w:vMerge w:val="restart"/>
                  <w:noWrap w:val="0"/>
                  <w:vAlign w:val="center"/>
                </w:tcPr>
                <w:p w14:paraId="08EAA10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054ECE9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1D8162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2.69E-05</w:t>
                  </w:r>
                </w:p>
              </w:tc>
            </w:tr>
            <w:tr w14:paraId="53041B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C7055D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6C43FC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A5D5D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243DC87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4EBFBC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82D44A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06B743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45520A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5.61E-04</w:t>
                  </w:r>
                </w:p>
              </w:tc>
            </w:tr>
            <w:tr w14:paraId="45EA0B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7476C1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0F1FD3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14</w:t>
                  </w:r>
                </w:p>
              </w:tc>
              <w:tc>
                <w:tcPr>
                  <w:tcW w:w="1078" w:type="pct"/>
                  <w:vMerge w:val="restart"/>
                  <w:noWrap w:val="0"/>
                  <w:vAlign w:val="center"/>
                </w:tcPr>
                <w:p w14:paraId="2A4A767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机房东侧观察窗外侧1m（控制室操作位）</w:t>
                  </w:r>
                </w:p>
              </w:tc>
              <w:tc>
                <w:tcPr>
                  <w:tcW w:w="335" w:type="pct"/>
                  <w:shd w:val="clear" w:color="auto" w:fill="auto"/>
                  <w:noWrap w:val="0"/>
                  <w:vAlign w:val="center"/>
                </w:tcPr>
                <w:p w14:paraId="390B493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504C42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5.3</w:t>
                  </w:r>
                </w:p>
              </w:tc>
              <w:tc>
                <w:tcPr>
                  <w:tcW w:w="974" w:type="pct"/>
                  <w:vMerge w:val="restart"/>
                  <w:noWrap w:val="0"/>
                  <w:vAlign w:val="center"/>
                </w:tcPr>
                <w:p w14:paraId="68AA3E3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406013DC">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0E9B9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3.57E-06</w:t>
                  </w:r>
                </w:p>
              </w:tc>
            </w:tr>
            <w:tr w14:paraId="321CD1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B5574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316307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0AC3BD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289F5B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49F57D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64DC06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8C7A07E">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0DB146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1.33E-04</w:t>
                  </w:r>
                </w:p>
              </w:tc>
            </w:tr>
            <w:tr w14:paraId="30AEC7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4CB3C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04B3750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15</w:t>
                  </w:r>
                </w:p>
              </w:tc>
              <w:tc>
                <w:tcPr>
                  <w:tcW w:w="1078" w:type="pct"/>
                  <w:vMerge w:val="restart"/>
                  <w:noWrap w:val="0"/>
                  <w:vAlign w:val="center"/>
                </w:tcPr>
                <w:p w14:paraId="46FF55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机房东侧控制室门外侧30cm（共用控制室）</w:t>
                  </w:r>
                </w:p>
              </w:tc>
              <w:tc>
                <w:tcPr>
                  <w:tcW w:w="335" w:type="pct"/>
                  <w:shd w:val="clear" w:color="auto" w:fill="auto"/>
                  <w:noWrap w:val="0"/>
                  <w:vAlign w:val="center"/>
                </w:tcPr>
                <w:p w14:paraId="16B160F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E1C07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4.8</w:t>
                  </w:r>
                </w:p>
              </w:tc>
              <w:tc>
                <w:tcPr>
                  <w:tcW w:w="974" w:type="pct"/>
                  <w:vMerge w:val="restart"/>
                  <w:noWrap w:val="0"/>
                  <w:vAlign w:val="center"/>
                </w:tcPr>
                <w:p w14:paraId="74F38F0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4BA5C1EA">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107053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4.35E-06</w:t>
                  </w:r>
                </w:p>
              </w:tc>
            </w:tr>
            <w:tr w14:paraId="54D0B2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5669DB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532262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6CB974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3ABE1C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2E3B7A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07E0BF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95A5755">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38D92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1.62E-04</w:t>
                  </w:r>
                </w:p>
              </w:tc>
            </w:tr>
            <w:tr w14:paraId="5E0A53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D15340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8BF3F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16</w:t>
                  </w:r>
                </w:p>
              </w:tc>
              <w:tc>
                <w:tcPr>
                  <w:tcW w:w="1078" w:type="pct"/>
                  <w:vMerge w:val="restart"/>
                  <w:noWrap w:val="0"/>
                  <w:vAlign w:val="center"/>
                </w:tcPr>
                <w:p w14:paraId="699008C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机房东侧墙体外侧30cm（共用控制室）</w:t>
                  </w:r>
                </w:p>
              </w:tc>
              <w:tc>
                <w:tcPr>
                  <w:tcW w:w="335" w:type="pct"/>
                  <w:shd w:val="clear" w:color="auto" w:fill="auto"/>
                  <w:noWrap w:val="0"/>
                  <w:vAlign w:val="center"/>
                </w:tcPr>
                <w:p w14:paraId="65AB15A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955CB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4.6</w:t>
                  </w:r>
                </w:p>
              </w:tc>
              <w:tc>
                <w:tcPr>
                  <w:tcW w:w="974" w:type="pct"/>
                  <w:vMerge w:val="restart"/>
                  <w:noWrap w:val="0"/>
                  <w:vAlign w:val="center"/>
                </w:tcPr>
                <w:p w14:paraId="2163653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05DFF20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7BA1E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4.88E-05</w:t>
                  </w:r>
                </w:p>
              </w:tc>
            </w:tr>
            <w:tr w14:paraId="7C780E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6AF49A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EAFCEF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CFDDBB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E7349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F4A11C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EE9BDB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2B743C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086D86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1.02E-03</w:t>
                  </w:r>
                </w:p>
              </w:tc>
            </w:tr>
            <w:tr w14:paraId="5FFAF7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D6876D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372C1A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17</w:t>
                  </w:r>
                </w:p>
              </w:tc>
              <w:tc>
                <w:tcPr>
                  <w:tcW w:w="1078" w:type="pct"/>
                  <w:vMerge w:val="restart"/>
                  <w:noWrap w:val="0"/>
                  <w:vAlign w:val="center"/>
                </w:tcPr>
                <w:p w14:paraId="61BDDF0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机房南侧医生通道门外侧30cm（医生通道）</w:t>
                  </w:r>
                </w:p>
              </w:tc>
              <w:tc>
                <w:tcPr>
                  <w:tcW w:w="335" w:type="pct"/>
                  <w:shd w:val="clear" w:color="auto" w:fill="auto"/>
                  <w:noWrap w:val="0"/>
                  <w:vAlign w:val="center"/>
                </w:tcPr>
                <w:p w14:paraId="7336620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17B010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3.8</w:t>
                  </w:r>
                </w:p>
              </w:tc>
              <w:tc>
                <w:tcPr>
                  <w:tcW w:w="974" w:type="pct"/>
                  <w:vMerge w:val="restart"/>
                  <w:noWrap w:val="0"/>
                  <w:vAlign w:val="center"/>
                </w:tcPr>
                <w:p w14:paraId="388078F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28014472">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1A9322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6.94E-06</w:t>
                  </w:r>
                </w:p>
              </w:tc>
            </w:tr>
            <w:tr w14:paraId="35CC88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D6EF0E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6BAC55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009161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474579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017496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D38FE9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15EE4231">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651223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2.58E-04</w:t>
                  </w:r>
                </w:p>
              </w:tc>
            </w:tr>
            <w:tr w14:paraId="51FCCC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D923B1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7A001F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18</w:t>
                  </w:r>
                </w:p>
              </w:tc>
              <w:tc>
                <w:tcPr>
                  <w:tcW w:w="1078" w:type="pct"/>
                  <w:vMerge w:val="restart"/>
                  <w:noWrap w:val="0"/>
                  <w:vAlign w:val="center"/>
                </w:tcPr>
                <w:p w14:paraId="178055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机房南侧墙体外侧30cm（医生通道）</w:t>
                  </w:r>
                </w:p>
              </w:tc>
              <w:tc>
                <w:tcPr>
                  <w:tcW w:w="335" w:type="pct"/>
                  <w:shd w:val="clear" w:color="auto" w:fill="auto"/>
                  <w:noWrap w:val="0"/>
                  <w:vAlign w:val="center"/>
                </w:tcPr>
                <w:p w14:paraId="372BF70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7DED8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3.3</w:t>
                  </w:r>
                </w:p>
              </w:tc>
              <w:tc>
                <w:tcPr>
                  <w:tcW w:w="974" w:type="pct"/>
                  <w:vMerge w:val="restart"/>
                  <w:noWrap w:val="0"/>
                  <w:vAlign w:val="center"/>
                </w:tcPr>
                <w:p w14:paraId="2CBDBD5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CF92F3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2411F3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9.49E-05</w:t>
                  </w:r>
                </w:p>
              </w:tc>
            </w:tr>
            <w:tr w14:paraId="26689C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366FCC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FB874C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338E53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798D29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56E4156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9F60E9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0AAAAE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308B7C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1.98E-03</w:t>
                  </w:r>
                </w:p>
              </w:tc>
            </w:tr>
            <w:tr w14:paraId="008361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F3A135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B1B73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19</w:t>
                  </w:r>
                </w:p>
              </w:tc>
              <w:tc>
                <w:tcPr>
                  <w:tcW w:w="1078" w:type="pct"/>
                  <w:vMerge w:val="restart"/>
                  <w:noWrap w:val="0"/>
                  <w:vAlign w:val="center"/>
                </w:tcPr>
                <w:p w14:paraId="046AA4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机房西侧墙体外侧30cm（患者通道）</w:t>
                  </w:r>
                </w:p>
              </w:tc>
              <w:tc>
                <w:tcPr>
                  <w:tcW w:w="335" w:type="pct"/>
                  <w:shd w:val="clear" w:color="auto" w:fill="auto"/>
                  <w:noWrap w:val="0"/>
                  <w:vAlign w:val="center"/>
                </w:tcPr>
                <w:p w14:paraId="311338B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15483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4.6</w:t>
                  </w:r>
                </w:p>
              </w:tc>
              <w:tc>
                <w:tcPr>
                  <w:tcW w:w="974" w:type="pct"/>
                  <w:vMerge w:val="restart"/>
                  <w:noWrap w:val="0"/>
                  <w:vAlign w:val="center"/>
                </w:tcPr>
                <w:p w14:paraId="660C0FA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0F58726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61EE8D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4.88E-05</w:t>
                  </w:r>
                </w:p>
              </w:tc>
            </w:tr>
            <w:tr w14:paraId="16AD03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1A7FE9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D28476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176BCF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81EBAE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BB34D6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E29608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4F6CA1D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7D3B54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1.02E-03</w:t>
                  </w:r>
                </w:p>
              </w:tc>
            </w:tr>
            <w:tr w14:paraId="6A0980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676C88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0E66C7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21</w:t>
                  </w:r>
                </w:p>
              </w:tc>
              <w:tc>
                <w:tcPr>
                  <w:tcW w:w="1078" w:type="pct"/>
                  <w:vMerge w:val="restart"/>
                  <w:noWrap w:val="0"/>
                  <w:vAlign w:val="center"/>
                </w:tcPr>
                <w:p w14:paraId="4754ED6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56018B9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ED0E6B1">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33003D9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1B349BF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010029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r>
            <w:tr w14:paraId="70958A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E66899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09613A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0C854A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2948D6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376A92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0B087C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816299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40D20A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r>
            <w:tr w14:paraId="1704AF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7B531566">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rPr>
                  </w:pPr>
                  <w:r>
                    <w:rPr>
                      <w:rFonts w:hint="eastAsia"/>
                      <w:bCs/>
                      <w:sz w:val="21"/>
                      <w:szCs w:val="21"/>
                      <w:lang w:val="en-US" w:eastAsia="zh-CN"/>
                    </w:rPr>
                    <w:t>DSA手术室OR10</w:t>
                  </w:r>
                </w:p>
              </w:tc>
              <w:tc>
                <w:tcPr>
                  <w:tcW w:w="354" w:type="pct"/>
                  <w:vMerge w:val="restart"/>
                  <w:noWrap w:val="0"/>
                  <w:vAlign w:val="center"/>
                </w:tcPr>
                <w:p w14:paraId="3738DF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22</w:t>
                  </w:r>
                </w:p>
              </w:tc>
              <w:tc>
                <w:tcPr>
                  <w:tcW w:w="1078" w:type="pct"/>
                  <w:vMerge w:val="restart"/>
                  <w:noWrap w:val="0"/>
                  <w:vAlign w:val="center"/>
                </w:tcPr>
                <w:p w14:paraId="39B668A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机房北侧患者通道门外侧30cm（患者通道）</w:t>
                  </w:r>
                </w:p>
              </w:tc>
              <w:tc>
                <w:tcPr>
                  <w:tcW w:w="335" w:type="pct"/>
                  <w:shd w:val="clear" w:color="auto" w:fill="auto"/>
                  <w:noWrap w:val="0"/>
                  <w:vAlign w:val="center"/>
                </w:tcPr>
                <w:p w14:paraId="1426384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F1FDA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6.5</w:t>
                  </w:r>
                </w:p>
              </w:tc>
              <w:tc>
                <w:tcPr>
                  <w:tcW w:w="974" w:type="pct"/>
                  <w:vMerge w:val="restart"/>
                  <w:noWrap w:val="0"/>
                  <w:vAlign w:val="center"/>
                </w:tcPr>
                <w:p w14:paraId="053C825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24D4FB5E">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6CDA90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2.37E-06</w:t>
                  </w:r>
                </w:p>
              </w:tc>
            </w:tr>
            <w:tr w14:paraId="313CBA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2123C6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02727C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5E09DE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2C80165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0096E3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DDB0E9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398F548">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135EA0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8.81E-05</w:t>
                  </w:r>
                </w:p>
              </w:tc>
            </w:tr>
            <w:tr w14:paraId="642CF8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3C3A04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6625C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23</w:t>
                  </w:r>
                </w:p>
              </w:tc>
              <w:tc>
                <w:tcPr>
                  <w:tcW w:w="1078" w:type="pct"/>
                  <w:vMerge w:val="restart"/>
                  <w:noWrap w:val="0"/>
                  <w:vAlign w:val="center"/>
                </w:tcPr>
                <w:p w14:paraId="7216F4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机房北侧墙体外侧30cm（患者通道）</w:t>
                  </w:r>
                </w:p>
              </w:tc>
              <w:tc>
                <w:tcPr>
                  <w:tcW w:w="335" w:type="pct"/>
                  <w:shd w:val="clear" w:color="auto" w:fill="auto"/>
                  <w:noWrap w:val="0"/>
                  <w:vAlign w:val="center"/>
                </w:tcPr>
                <w:p w14:paraId="1202A19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0C60FF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5.8</w:t>
                  </w:r>
                </w:p>
              </w:tc>
              <w:tc>
                <w:tcPr>
                  <w:tcW w:w="974" w:type="pct"/>
                  <w:vMerge w:val="restart"/>
                  <w:noWrap w:val="0"/>
                  <w:vAlign w:val="center"/>
                </w:tcPr>
                <w:p w14:paraId="4AB611B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3FDF066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16DFCA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3.07E-05</w:t>
                  </w:r>
                </w:p>
              </w:tc>
            </w:tr>
            <w:tr w14:paraId="4678BF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F89B23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EFEF98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9514A7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64C538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ACFCBA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8C87C4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F587B4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12D85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6.41E-04</w:t>
                  </w:r>
                </w:p>
              </w:tc>
            </w:tr>
            <w:tr w14:paraId="39ACCE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E12FD4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08B56F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24</w:t>
                  </w:r>
                </w:p>
              </w:tc>
              <w:tc>
                <w:tcPr>
                  <w:tcW w:w="1078" w:type="pct"/>
                  <w:vMerge w:val="restart"/>
                  <w:noWrap w:val="0"/>
                  <w:vAlign w:val="center"/>
                </w:tcPr>
                <w:p w14:paraId="2BA753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机房西侧观察窗外侧1m（控制室操作位）</w:t>
                  </w:r>
                </w:p>
              </w:tc>
              <w:tc>
                <w:tcPr>
                  <w:tcW w:w="335" w:type="pct"/>
                  <w:shd w:val="clear" w:color="auto" w:fill="auto"/>
                  <w:noWrap w:val="0"/>
                  <w:vAlign w:val="center"/>
                </w:tcPr>
                <w:p w14:paraId="59644DD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03E4B5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6.0</w:t>
                  </w:r>
                </w:p>
              </w:tc>
              <w:tc>
                <w:tcPr>
                  <w:tcW w:w="974" w:type="pct"/>
                  <w:vMerge w:val="restart"/>
                  <w:noWrap w:val="0"/>
                  <w:vAlign w:val="center"/>
                </w:tcPr>
                <w:p w14:paraId="59BC910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6C5ACCAF">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0E8561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2.78E-06</w:t>
                  </w:r>
                </w:p>
              </w:tc>
            </w:tr>
            <w:tr w14:paraId="5750D0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D2B702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3FE1E9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2DE81D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492E21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BB14E8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BF703A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56BC959">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22ECA9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1.03E-04</w:t>
                  </w:r>
                </w:p>
              </w:tc>
            </w:tr>
            <w:tr w14:paraId="062C52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69D6DE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180BA1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25</w:t>
                  </w:r>
                </w:p>
              </w:tc>
              <w:tc>
                <w:tcPr>
                  <w:tcW w:w="1078" w:type="pct"/>
                  <w:vMerge w:val="restart"/>
                  <w:noWrap w:val="0"/>
                  <w:vAlign w:val="center"/>
                </w:tcPr>
                <w:p w14:paraId="3F28C3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机房西侧控制室门外侧30cm（共用控制室）</w:t>
                  </w:r>
                </w:p>
              </w:tc>
              <w:tc>
                <w:tcPr>
                  <w:tcW w:w="335" w:type="pct"/>
                  <w:shd w:val="clear" w:color="auto" w:fill="auto"/>
                  <w:noWrap w:val="0"/>
                  <w:vAlign w:val="center"/>
                </w:tcPr>
                <w:p w14:paraId="1C79702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997D19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5.5</w:t>
                  </w:r>
                </w:p>
              </w:tc>
              <w:tc>
                <w:tcPr>
                  <w:tcW w:w="974" w:type="pct"/>
                  <w:vMerge w:val="restart"/>
                  <w:noWrap w:val="0"/>
                  <w:vAlign w:val="center"/>
                </w:tcPr>
                <w:p w14:paraId="0AAD09E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73C63D5F">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6E2CC1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3.31E-06</w:t>
                  </w:r>
                </w:p>
              </w:tc>
            </w:tr>
            <w:tr w14:paraId="5F004D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FD5766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67E6C1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FD9C87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8CE897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ADDD42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FC2A5B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1986831A">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220B2A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1.23E-04</w:t>
                  </w:r>
                </w:p>
              </w:tc>
            </w:tr>
            <w:tr w14:paraId="57E6DD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A307AB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7658A7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26</w:t>
                  </w:r>
                </w:p>
              </w:tc>
              <w:tc>
                <w:tcPr>
                  <w:tcW w:w="1078" w:type="pct"/>
                  <w:vMerge w:val="restart"/>
                  <w:noWrap w:val="0"/>
                  <w:vAlign w:val="center"/>
                </w:tcPr>
                <w:p w14:paraId="6DBB3D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机房西侧墙体外侧30cm（共用控制室）</w:t>
                  </w:r>
                </w:p>
              </w:tc>
              <w:tc>
                <w:tcPr>
                  <w:tcW w:w="335" w:type="pct"/>
                  <w:shd w:val="clear" w:color="auto" w:fill="auto"/>
                  <w:noWrap w:val="0"/>
                  <w:vAlign w:val="center"/>
                </w:tcPr>
                <w:p w14:paraId="0D33824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65C1A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5.3</w:t>
                  </w:r>
                </w:p>
              </w:tc>
              <w:tc>
                <w:tcPr>
                  <w:tcW w:w="974" w:type="pct"/>
                  <w:vMerge w:val="restart"/>
                  <w:noWrap w:val="0"/>
                  <w:vAlign w:val="center"/>
                </w:tcPr>
                <w:p w14:paraId="12220E8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04855AE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16E6AF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3.68E-05</w:t>
                  </w:r>
                </w:p>
              </w:tc>
            </w:tr>
            <w:tr w14:paraId="1208E7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2FE3EE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1F01E7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AE13B2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40B414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66B3E9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330E427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E732CA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3BE256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7.68E-04</w:t>
                  </w:r>
                </w:p>
              </w:tc>
            </w:tr>
            <w:tr w14:paraId="32EB15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29" w:type="pct"/>
                  <w:vMerge w:val="continue"/>
                  <w:noWrap w:val="0"/>
                  <w:vAlign w:val="center"/>
                </w:tcPr>
                <w:p w14:paraId="4A60E79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3D4B3A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27</w:t>
                  </w:r>
                </w:p>
              </w:tc>
              <w:tc>
                <w:tcPr>
                  <w:tcW w:w="1078" w:type="pct"/>
                  <w:vMerge w:val="restart"/>
                  <w:noWrap w:val="0"/>
                  <w:vAlign w:val="center"/>
                </w:tcPr>
                <w:p w14:paraId="10A97E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机房南侧医生通道门外侧30cm（医生通道）</w:t>
                  </w:r>
                </w:p>
              </w:tc>
              <w:tc>
                <w:tcPr>
                  <w:tcW w:w="335" w:type="pct"/>
                  <w:shd w:val="clear" w:color="auto" w:fill="auto"/>
                  <w:noWrap w:val="0"/>
                  <w:vAlign w:val="center"/>
                </w:tcPr>
                <w:p w14:paraId="57E79D1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849EE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3.8</w:t>
                  </w:r>
                </w:p>
              </w:tc>
              <w:tc>
                <w:tcPr>
                  <w:tcW w:w="974" w:type="pct"/>
                  <w:vMerge w:val="restart"/>
                  <w:noWrap w:val="0"/>
                  <w:vAlign w:val="center"/>
                </w:tcPr>
                <w:p w14:paraId="4555C60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66658D34">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BCF2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6.94E-06</w:t>
                  </w:r>
                </w:p>
              </w:tc>
            </w:tr>
            <w:tr w14:paraId="095E5F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920F9A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F20174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427FF4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469284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B274C4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50DDB8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D14090C">
                  <w:pPr>
                    <w:keepNext w:val="0"/>
                    <w:keepLines w:val="0"/>
                    <w:pageBreakBefore w:val="0"/>
                    <w:widowControl/>
                    <w:suppressLineNumbers w:val="0"/>
                    <w:kinsoku/>
                    <w:wordWrap/>
                    <w:overflowPunct/>
                    <w:topLinePunct w:val="0"/>
                    <w:bidi w:val="0"/>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7ECE5C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2.58E-04</w:t>
                  </w:r>
                </w:p>
              </w:tc>
            </w:tr>
            <w:tr w14:paraId="343799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5F2F0F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0129A7C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28</w:t>
                  </w:r>
                </w:p>
              </w:tc>
              <w:tc>
                <w:tcPr>
                  <w:tcW w:w="1078" w:type="pct"/>
                  <w:vMerge w:val="restart"/>
                  <w:noWrap w:val="0"/>
                  <w:vAlign w:val="center"/>
                </w:tcPr>
                <w:p w14:paraId="0804B9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机房南侧墙体外侧30cm（医生通道）</w:t>
                  </w:r>
                </w:p>
              </w:tc>
              <w:tc>
                <w:tcPr>
                  <w:tcW w:w="335" w:type="pct"/>
                  <w:shd w:val="clear" w:color="auto" w:fill="auto"/>
                  <w:noWrap w:val="0"/>
                  <w:vAlign w:val="center"/>
                </w:tcPr>
                <w:p w14:paraId="1008EB4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D161C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974" w:type="pct"/>
                  <w:vMerge w:val="restart"/>
                  <w:noWrap w:val="0"/>
                  <w:vAlign w:val="center"/>
                </w:tcPr>
                <w:p w14:paraId="5BB4672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532D36DB">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5DE830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7.98E-05</w:t>
                  </w:r>
                </w:p>
              </w:tc>
            </w:tr>
            <w:tr w14:paraId="19A927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2715BC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DF66C7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98F205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4025CB9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A903B1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081679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2ACB02A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2FA409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1.66E-03</w:t>
                  </w:r>
                </w:p>
              </w:tc>
            </w:tr>
            <w:tr w14:paraId="01786A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A1B969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8CB5A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29</w:t>
                  </w:r>
                </w:p>
              </w:tc>
              <w:tc>
                <w:tcPr>
                  <w:tcW w:w="1078" w:type="pct"/>
                  <w:vMerge w:val="restart"/>
                  <w:noWrap w:val="0"/>
                  <w:vAlign w:val="center"/>
                </w:tcPr>
                <w:p w14:paraId="4917CBB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机房东侧墙体外侧30cm（DSA手术室OR11）</w:t>
                  </w:r>
                </w:p>
              </w:tc>
              <w:tc>
                <w:tcPr>
                  <w:tcW w:w="335" w:type="pct"/>
                  <w:shd w:val="clear" w:color="auto" w:fill="auto"/>
                  <w:noWrap w:val="0"/>
                  <w:vAlign w:val="center"/>
                </w:tcPr>
                <w:p w14:paraId="5612570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B4C408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4.2</w:t>
                  </w:r>
                </w:p>
              </w:tc>
              <w:tc>
                <w:tcPr>
                  <w:tcW w:w="974" w:type="pct"/>
                  <w:vMerge w:val="restart"/>
                  <w:noWrap w:val="0"/>
                  <w:vAlign w:val="center"/>
                </w:tcPr>
                <w:p w14:paraId="183A941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110F009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0A50D4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5.86E-05</w:t>
                  </w:r>
                </w:p>
              </w:tc>
            </w:tr>
            <w:tr w14:paraId="49472E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9C2FD6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3D7202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FBA372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F8E5CF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ACFFC9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2C28DA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37F995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10A419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1.22E-03</w:t>
                  </w:r>
                </w:p>
              </w:tc>
            </w:tr>
            <w:tr w14:paraId="07DBC5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84A70C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004965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31</w:t>
                  </w:r>
                </w:p>
              </w:tc>
              <w:tc>
                <w:tcPr>
                  <w:tcW w:w="1078" w:type="pct"/>
                  <w:vMerge w:val="restart"/>
                  <w:noWrap w:val="0"/>
                  <w:vAlign w:val="center"/>
                </w:tcPr>
                <w:p w14:paraId="45C5ED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29E3BC4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9DA7DD5">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23BCFBC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69388FC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33DD45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r>
            <w:tr w14:paraId="6820EF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ABD9D7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01B92C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11E4EE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6D1DC2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5C2CF0C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EE1957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393B6DA">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2E967C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r>
            <w:tr w14:paraId="0CBFE2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3C6AD6F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bCs/>
                      <w:sz w:val="21"/>
                      <w:szCs w:val="21"/>
                      <w:lang w:val="en-US" w:eastAsia="zh-CN"/>
                    </w:rPr>
                    <w:t>DSA手术室OR11</w:t>
                  </w:r>
                </w:p>
              </w:tc>
              <w:tc>
                <w:tcPr>
                  <w:tcW w:w="354" w:type="pct"/>
                  <w:vMerge w:val="restart"/>
                  <w:noWrap w:val="0"/>
                  <w:vAlign w:val="center"/>
                </w:tcPr>
                <w:p w14:paraId="42F51A6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32</w:t>
                  </w:r>
                </w:p>
              </w:tc>
              <w:tc>
                <w:tcPr>
                  <w:tcW w:w="1078" w:type="pct"/>
                  <w:vMerge w:val="restart"/>
                  <w:noWrap w:val="0"/>
                  <w:vAlign w:val="center"/>
                </w:tcPr>
                <w:p w14:paraId="67C4010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机房北侧患者通道门外侧30cm（患者通道）</w:t>
                  </w:r>
                </w:p>
              </w:tc>
              <w:tc>
                <w:tcPr>
                  <w:tcW w:w="335" w:type="pct"/>
                  <w:shd w:val="clear" w:color="auto" w:fill="auto"/>
                  <w:noWrap w:val="0"/>
                  <w:vAlign w:val="center"/>
                </w:tcPr>
                <w:p w14:paraId="43E3AEF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7E51EA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6.1</w:t>
                  </w:r>
                </w:p>
              </w:tc>
              <w:tc>
                <w:tcPr>
                  <w:tcW w:w="974" w:type="pct"/>
                  <w:vMerge w:val="restart"/>
                  <w:noWrap w:val="0"/>
                  <w:vAlign w:val="center"/>
                </w:tcPr>
                <w:p w14:paraId="5886367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4043E1BC">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378D3F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2.69E-06</w:t>
                  </w:r>
                </w:p>
              </w:tc>
            </w:tr>
            <w:tr w14:paraId="1D430C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E8DE36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F94659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5179E5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CBA82A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214DC2B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3A8928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7677537">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254BF8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1.00E-04</w:t>
                  </w:r>
                </w:p>
              </w:tc>
            </w:tr>
            <w:tr w14:paraId="177C73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AB6AA5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1DC2D38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33</w:t>
                  </w:r>
                </w:p>
              </w:tc>
              <w:tc>
                <w:tcPr>
                  <w:tcW w:w="1078" w:type="pct"/>
                  <w:vMerge w:val="restart"/>
                  <w:noWrap w:val="0"/>
                  <w:vAlign w:val="center"/>
                </w:tcPr>
                <w:p w14:paraId="69B61F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机房北侧墙体外侧30cm（患者通道）</w:t>
                  </w:r>
                </w:p>
              </w:tc>
              <w:tc>
                <w:tcPr>
                  <w:tcW w:w="335" w:type="pct"/>
                  <w:shd w:val="clear" w:color="auto" w:fill="auto"/>
                  <w:noWrap w:val="0"/>
                  <w:vAlign w:val="center"/>
                </w:tcPr>
                <w:p w14:paraId="3983624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98D0C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5.8</w:t>
                  </w:r>
                </w:p>
              </w:tc>
              <w:tc>
                <w:tcPr>
                  <w:tcW w:w="974" w:type="pct"/>
                  <w:vMerge w:val="restart"/>
                  <w:noWrap w:val="0"/>
                  <w:vAlign w:val="center"/>
                </w:tcPr>
                <w:p w14:paraId="55D0936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5E03558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3B1263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3.07E-05</w:t>
                  </w:r>
                </w:p>
              </w:tc>
            </w:tr>
            <w:tr w14:paraId="663F6E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3B8268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97ADCE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EDC8E0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58F934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E17995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517067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01E9A22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576AAA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6.41E-04</w:t>
                  </w:r>
                </w:p>
              </w:tc>
            </w:tr>
            <w:tr w14:paraId="02BED7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3581A0E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350FEB9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34</w:t>
                  </w:r>
                </w:p>
              </w:tc>
              <w:tc>
                <w:tcPr>
                  <w:tcW w:w="1078" w:type="pct"/>
                  <w:vMerge w:val="restart"/>
                  <w:noWrap w:val="0"/>
                  <w:vAlign w:val="center"/>
                </w:tcPr>
                <w:p w14:paraId="62BE10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机房东侧观察窗外侧1m（控制室操作位）</w:t>
                  </w:r>
                </w:p>
              </w:tc>
              <w:tc>
                <w:tcPr>
                  <w:tcW w:w="335" w:type="pct"/>
                  <w:shd w:val="clear" w:color="auto" w:fill="auto"/>
                  <w:noWrap w:val="0"/>
                  <w:vAlign w:val="center"/>
                </w:tcPr>
                <w:p w14:paraId="22D62A1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FC0F6C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5.4</w:t>
                  </w:r>
                </w:p>
              </w:tc>
              <w:tc>
                <w:tcPr>
                  <w:tcW w:w="974" w:type="pct"/>
                  <w:vMerge w:val="restart"/>
                  <w:noWrap w:val="0"/>
                  <w:vAlign w:val="center"/>
                </w:tcPr>
                <w:p w14:paraId="5DC9520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125EB7D0">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AC98F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3.44E-06</w:t>
                  </w:r>
                </w:p>
              </w:tc>
            </w:tr>
            <w:tr w14:paraId="12DB21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93758D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E6C203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0F3CEA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2E3CD99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5B6ACD2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5AE9DB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50ACF4F">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748D9F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1.28E-04</w:t>
                  </w:r>
                </w:p>
              </w:tc>
            </w:tr>
            <w:tr w14:paraId="2098C4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6217B4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DCA443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35</w:t>
                  </w:r>
                </w:p>
              </w:tc>
              <w:tc>
                <w:tcPr>
                  <w:tcW w:w="1078" w:type="pct"/>
                  <w:vMerge w:val="restart"/>
                  <w:noWrap w:val="0"/>
                  <w:vAlign w:val="center"/>
                </w:tcPr>
                <w:p w14:paraId="2AEF8B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机房东侧控制室门外侧30cm（控制室）</w:t>
                  </w:r>
                </w:p>
              </w:tc>
              <w:tc>
                <w:tcPr>
                  <w:tcW w:w="335" w:type="pct"/>
                  <w:shd w:val="clear" w:color="auto" w:fill="auto"/>
                  <w:noWrap w:val="0"/>
                  <w:vAlign w:val="center"/>
                </w:tcPr>
                <w:p w14:paraId="0014695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D121B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4.8</w:t>
                  </w:r>
                </w:p>
              </w:tc>
              <w:tc>
                <w:tcPr>
                  <w:tcW w:w="974" w:type="pct"/>
                  <w:vMerge w:val="restart"/>
                  <w:noWrap w:val="0"/>
                  <w:vAlign w:val="center"/>
                </w:tcPr>
                <w:p w14:paraId="593F0AC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2281FFBE">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5D1929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4.35E-06</w:t>
                  </w:r>
                </w:p>
              </w:tc>
            </w:tr>
            <w:tr w14:paraId="504383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79C1A2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FB9BDE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3F35C5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615885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06A023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049F42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CE09838">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04FB2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1.62E-04</w:t>
                  </w:r>
                </w:p>
              </w:tc>
            </w:tr>
            <w:tr w14:paraId="148966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2AC800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1C7E4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1078" w:type="pct"/>
                  <w:vMerge w:val="restart"/>
                  <w:noWrap w:val="0"/>
                  <w:vAlign w:val="center"/>
                </w:tcPr>
                <w:p w14:paraId="1AC702B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机房东侧墙体外侧30cm（控制室）</w:t>
                  </w:r>
                </w:p>
              </w:tc>
              <w:tc>
                <w:tcPr>
                  <w:tcW w:w="335" w:type="pct"/>
                  <w:shd w:val="clear" w:color="auto" w:fill="auto"/>
                  <w:noWrap w:val="0"/>
                  <w:vAlign w:val="center"/>
                </w:tcPr>
                <w:p w14:paraId="72CA74E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216747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4.7</w:t>
                  </w:r>
                </w:p>
              </w:tc>
              <w:tc>
                <w:tcPr>
                  <w:tcW w:w="974" w:type="pct"/>
                  <w:vMerge w:val="restart"/>
                  <w:noWrap w:val="0"/>
                  <w:vAlign w:val="center"/>
                </w:tcPr>
                <w:p w14:paraId="5FD50A9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03FDA87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26B59A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4.68E-05</w:t>
                  </w:r>
                </w:p>
              </w:tc>
            </w:tr>
            <w:tr w14:paraId="5B26A2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B9A59C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73BA8B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F2B6D3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069C845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EB4B83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F05C8B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928FEF4">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451A46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9.77E-04</w:t>
                  </w:r>
                </w:p>
              </w:tc>
            </w:tr>
            <w:tr w14:paraId="6D37A6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0B970F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AE099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37</w:t>
                  </w:r>
                </w:p>
              </w:tc>
              <w:tc>
                <w:tcPr>
                  <w:tcW w:w="1078" w:type="pct"/>
                  <w:vMerge w:val="restart"/>
                  <w:noWrap w:val="0"/>
                  <w:vAlign w:val="center"/>
                </w:tcPr>
                <w:p w14:paraId="6981B5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机房南侧医生通道门外侧30cm（医生通道）</w:t>
                  </w:r>
                </w:p>
              </w:tc>
              <w:tc>
                <w:tcPr>
                  <w:tcW w:w="335" w:type="pct"/>
                  <w:shd w:val="clear" w:color="auto" w:fill="auto"/>
                  <w:noWrap w:val="0"/>
                  <w:vAlign w:val="center"/>
                </w:tcPr>
                <w:p w14:paraId="14EDB81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3E391F6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4.0</w:t>
                  </w:r>
                </w:p>
              </w:tc>
              <w:tc>
                <w:tcPr>
                  <w:tcW w:w="974" w:type="pct"/>
                  <w:vMerge w:val="restart"/>
                  <w:noWrap w:val="0"/>
                  <w:vAlign w:val="center"/>
                </w:tcPr>
                <w:p w14:paraId="7FAFC81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w:t>
                  </w:r>
                  <w:r>
                    <w:rPr>
                      <w:color w:val="auto"/>
                      <w:sz w:val="21"/>
                      <w:szCs w:val="21"/>
                      <w:highlight w:val="none"/>
                    </w:rPr>
                    <w:t>mm铅当量</w:t>
                  </w:r>
                </w:p>
              </w:tc>
              <w:tc>
                <w:tcPr>
                  <w:tcW w:w="631" w:type="pct"/>
                  <w:shd w:val="clear" w:color="auto" w:fill="auto"/>
                  <w:noWrap w:val="0"/>
                  <w:vAlign w:val="center"/>
                </w:tcPr>
                <w:p w14:paraId="73BFCBCF">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5.76E-08</w:t>
                  </w:r>
                </w:p>
              </w:tc>
              <w:tc>
                <w:tcPr>
                  <w:tcW w:w="1150" w:type="dxa"/>
                  <w:noWrap w:val="0"/>
                  <w:vAlign w:val="center"/>
                </w:tcPr>
                <w:p w14:paraId="6419E4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6.26E-06</w:t>
                  </w:r>
                </w:p>
              </w:tc>
            </w:tr>
            <w:tr w14:paraId="520A13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E926FD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197FE5E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6D467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6570EDC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567466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724CDB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51F88106">
                  <w:pPr>
                    <w:keepNext w:val="0"/>
                    <w:keepLines w:val="0"/>
                    <w:pageBreakBefore w:val="0"/>
                    <w:widowControl/>
                    <w:suppressLineNumbers w:val="0"/>
                    <w:kinsoku/>
                    <w:wordWrap/>
                    <w:overflowPunct/>
                    <w:topLinePunct w:val="0"/>
                    <w:bidi w:val="0"/>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2.14E-06</w:t>
                  </w:r>
                </w:p>
              </w:tc>
              <w:tc>
                <w:tcPr>
                  <w:tcW w:w="1150" w:type="dxa"/>
                  <w:noWrap w:val="0"/>
                  <w:vAlign w:val="center"/>
                </w:tcPr>
                <w:p w14:paraId="463E68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2.33E-04</w:t>
                  </w:r>
                </w:p>
              </w:tc>
            </w:tr>
            <w:tr w14:paraId="0EF432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82E4F0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4CB9D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38</w:t>
                  </w:r>
                </w:p>
              </w:tc>
              <w:tc>
                <w:tcPr>
                  <w:tcW w:w="1078" w:type="pct"/>
                  <w:vMerge w:val="restart"/>
                  <w:noWrap w:val="0"/>
                  <w:vAlign w:val="center"/>
                </w:tcPr>
                <w:p w14:paraId="0C66A1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机房南侧墙体外侧30cm（医生通道）</w:t>
                  </w:r>
                </w:p>
              </w:tc>
              <w:tc>
                <w:tcPr>
                  <w:tcW w:w="335" w:type="pct"/>
                  <w:shd w:val="clear" w:color="auto" w:fill="auto"/>
                  <w:noWrap w:val="0"/>
                  <w:vAlign w:val="center"/>
                </w:tcPr>
                <w:p w14:paraId="32D2185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7BD1CB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3.7</w:t>
                  </w:r>
                </w:p>
              </w:tc>
              <w:tc>
                <w:tcPr>
                  <w:tcW w:w="974" w:type="pct"/>
                  <w:vMerge w:val="restart"/>
                  <w:noWrap w:val="0"/>
                  <w:vAlign w:val="center"/>
                </w:tcPr>
                <w:p w14:paraId="7BFD8E5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5F5A6E0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3F0742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7.55E-05</w:t>
                  </w:r>
                </w:p>
              </w:tc>
            </w:tr>
            <w:tr w14:paraId="43172C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2DCB92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268591E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7F02CD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3F20656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3C765C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0B17C5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3237CC38">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5B1158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1.58E-03</w:t>
                  </w:r>
                </w:p>
              </w:tc>
            </w:tr>
            <w:tr w14:paraId="39EFA1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45CF8E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23EE70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39</w:t>
                  </w:r>
                </w:p>
              </w:tc>
              <w:tc>
                <w:tcPr>
                  <w:tcW w:w="1078" w:type="pct"/>
                  <w:vMerge w:val="restart"/>
                  <w:noWrap w:val="0"/>
                  <w:vAlign w:val="center"/>
                </w:tcPr>
                <w:p w14:paraId="17D6F7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机房西侧墙体外侧30cm（DSA手术室OR10）</w:t>
                  </w:r>
                </w:p>
              </w:tc>
              <w:tc>
                <w:tcPr>
                  <w:tcW w:w="335" w:type="pct"/>
                  <w:shd w:val="clear" w:color="auto" w:fill="auto"/>
                  <w:noWrap w:val="0"/>
                  <w:vAlign w:val="center"/>
                </w:tcPr>
                <w:p w14:paraId="12A3B8F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4EB53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4.9</w:t>
                  </w:r>
                </w:p>
              </w:tc>
              <w:tc>
                <w:tcPr>
                  <w:tcW w:w="974" w:type="pct"/>
                  <w:vMerge w:val="restart"/>
                  <w:noWrap w:val="0"/>
                  <w:vAlign w:val="center"/>
                </w:tcPr>
                <w:p w14:paraId="07164EA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240mm实心砖</w:t>
                  </w:r>
                  <w:r>
                    <w:rPr>
                      <w:rFonts w:hint="eastAsia"/>
                      <w:color w:val="auto"/>
                      <w:sz w:val="21"/>
                      <w:szCs w:val="21"/>
                      <w:highlight w:val="none"/>
                    </w:rPr>
                    <w:t>+</w:t>
                  </w:r>
                  <w:r>
                    <w:rPr>
                      <w:rFonts w:hint="eastAsia"/>
                      <w:color w:val="auto"/>
                      <w:sz w:val="21"/>
                      <w:szCs w:val="21"/>
                      <w:highlight w:val="none"/>
                      <w:lang w:val="en-US" w:eastAsia="zh-CN"/>
                    </w:rPr>
                    <w:t>30</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1136FDB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5.94E-07</w:t>
                  </w:r>
                </w:p>
              </w:tc>
              <w:tc>
                <w:tcPr>
                  <w:tcW w:w="1150" w:type="dxa"/>
                  <w:noWrap w:val="0"/>
                  <w:vAlign w:val="center"/>
                </w:tcPr>
                <w:p w14:paraId="315348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4.30E-05</w:t>
                  </w:r>
                </w:p>
              </w:tc>
            </w:tr>
            <w:tr w14:paraId="208ECD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5AE9F2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4931945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7CFFF77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9F6CCD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3FECCFC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15B9CA0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72659A9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1.24E-05</w:t>
                  </w:r>
                </w:p>
              </w:tc>
              <w:tc>
                <w:tcPr>
                  <w:tcW w:w="1150" w:type="dxa"/>
                  <w:noWrap w:val="0"/>
                  <w:vAlign w:val="center"/>
                </w:tcPr>
                <w:p w14:paraId="3284B3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8.99E-04</w:t>
                  </w:r>
                </w:p>
              </w:tc>
            </w:tr>
            <w:tr w14:paraId="4E6A4D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221E2E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3912D5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41</w:t>
                  </w:r>
                </w:p>
              </w:tc>
              <w:tc>
                <w:tcPr>
                  <w:tcW w:w="1078" w:type="pct"/>
                  <w:vMerge w:val="restart"/>
                  <w:noWrap w:val="0"/>
                  <w:vAlign w:val="center"/>
                </w:tcPr>
                <w:p w14:paraId="6862587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机房地板下方距地面1.5m（彩超功能检查区）</w:t>
                  </w:r>
                </w:p>
              </w:tc>
              <w:tc>
                <w:tcPr>
                  <w:tcW w:w="335" w:type="pct"/>
                  <w:shd w:val="clear" w:color="auto" w:fill="auto"/>
                  <w:noWrap w:val="0"/>
                  <w:vAlign w:val="center"/>
                </w:tcPr>
                <w:p w14:paraId="3CB8987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062C0147">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7C4062D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631" w:type="pct"/>
                  <w:shd w:val="clear" w:color="auto" w:fill="auto"/>
                  <w:noWrap w:val="0"/>
                  <w:vAlign w:val="center"/>
                </w:tcPr>
                <w:p w14:paraId="2C7CDA9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41D406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r>
            <w:tr w14:paraId="631679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26C67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A956F5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45AC2ED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C8EF53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715B13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14F6ED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631" w:type="pct"/>
                  <w:shd w:val="clear" w:color="auto" w:fill="auto"/>
                  <w:noWrap w:val="0"/>
                  <w:vAlign w:val="center"/>
                </w:tcPr>
                <w:p w14:paraId="67D956A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5337FE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r>
            <w:tr w14:paraId="2D7A99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restart"/>
                  <w:noWrap w:val="0"/>
                  <w:vAlign w:val="center"/>
                </w:tcPr>
                <w:p w14:paraId="1C8FF66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bCs/>
                      <w:sz w:val="21"/>
                      <w:szCs w:val="21"/>
                      <w:lang w:val="en-US" w:eastAsia="zh-CN"/>
                    </w:rPr>
                    <w:t>ERCP室</w:t>
                  </w:r>
                </w:p>
              </w:tc>
              <w:tc>
                <w:tcPr>
                  <w:tcW w:w="354" w:type="pct"/>
                  <w:vMerge w:val="restart"/>
                  <w:noWrap w:val="0"/>
                  <w:vAlign w:val="center"/>
                </w:tcPr>
                <w:p w14:paraId="461CDF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42</w:t>
                  </w:r>
                </w:p>
              </w:tc>
              <w:tc>
                <w:tcPr>
                  <w:tcW w:w="1078" w:type="pct"/>
                  <w:vMerge w:val="restart"/>
                  <w:noWrap w:val="0"/>
                  <w:vAlign w:val="center"/>
                </w:tcPr>
                <w:p w14:paraId="770E14D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机房北侧墙体外侧30cm（医生通道）</w:t>
                  </w:r>
                </w:p>
              </w:tc>
              <w:tc>
                <w:tcPr>
                  <w:tcW w:w="335" w:type="pct"/>
                  <w:shd w:val="clear" w:color="auto" w:fill="auto"/>
                  <w:noWrap w:val="0"/>
                  <w:vAlign w:val="center"/>
                </w:tcPr>
                <w:p w14:paraId="33FFEB1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EB571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974" w:type="pct"/>
                  <w:vMerge w:val="restart"/>
                  <w:noWrap w:val="0"/>
                  <w:vAlign w:val="center"/>
                </w:tcPr>
                <w:p w14:paraId="16A97CA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4EA854D7">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031AB6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7.49E-07</w:t>
                  </w:r>
                </w:p>
              </w:tc>
            </w:tr>
            <w:tr w14:paraId="455561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AFB689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ECE16D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B22BEE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19532F7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0FA53C6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61F879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4E7BEC7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5B3CE4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4.99E-05</w:t>
                  </w:r>
                </w:p>
              </w:tc>
            </w:tr>
            <w:tr w14:paraId="5B8637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8B536B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05423B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43</w:t>
                  </w:r>
                </w:p>
              </w:tc>
              <w:tc>
                <w:tcPr>
                  <w:tcW w:w="1078" w:type="pct"/>
                  <w:vMerge w:val="restart"/>
                  <w:noWrap w:val="0"/>
                  <w:vAlign w:val="center"/>
                </w:tcPr>
                <w:p w14:paraId="1BA6F51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机房东侧观察窗外侧1m（控制室操作位）</w:t>
                  </w:r>
                </w:p>
              </w:tc>
              <w:tc>
                <w:tcPr>
                  <w:tcW w:w="335" w:type="pct"/>
                  <w:shd w:val="clear" w:color="auto" w:fill="auto"/>
                  <w:noWrap w:val="0"/>
                  <w:vAlign w:val="center"/>
                </w:tcPr>
                <w:p w14:paraId="0A21E83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97F92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4.3</w:t>
                  </w:r>
                </w:p>
              </w:tc>
              <w:tc>
                <w:tcPr>
                  <w:tcW w:w="974" w:type="pct"/>
                  <w:vMerge w:val="restart"/>
                  <w:noWrap w:val="0"/>
                  <w:vAlign w:val="center"/>
                </w:tcPr>
                <w:p w14:paraId="521AC76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7275AAA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64D324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5.10E-08</w:t>
                  </w:r>
                </w:p>
              </w:tc>
            </w:tr>
            <w:tr w14:paraId="752980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DFCB51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0B40EE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333A56E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9CDCF6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0B886A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5E8F949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709E60D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6E7BC4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6.06E-06</w:t>
                  </w:r>
                </w:p>
              </w:tc>
            </w:tr>
            <w:tr w14:paraId="04CBD5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8EEDD1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04170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44</w:t>
                  </w:r>
                </w:p>
              </w:tc>
              <w:tc>
                <w:tcPr>
                  <w:tcW w:w="1078" w:type="pct"/>
                  <w:vMerge w:val="restart"/>
                  <w:noWrap w:val="0"/>
                  <w:vAlign w:val="center"/>
                </w:tcPr>
                <w:p w14:paraId="4822D8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机房东侧控制室门外侧30cm（控制室）</w:t>
                  </w:r>
                </w:p>
              </w:tc>
              <w:tc>
                <w:tcPr>
                  <w:tcW w:w="335" w:type="pct"/>
                  <w:shd w:val="clear" w:color="auto" w:fill="auto"/>
                  <w:noWrap w:val="0"/>
                  <w:vAlign w:val="center"/>
                </w:tcPr>
                <w:p w14:paraId="3588131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23760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4.0</w:t>
                  </w:r>
                </w:p>
              </w:tc>
              <w:tc>
                <w:tcPr>
                  <w:tcW w:w="974" w:type="pct"/>
                  <w:vMerge w:val="restart"/>
                  <w:noWrap w:val="0"/>
                  <w:vAlign w:val="center"/>
                </w:tcPr>
                <w:p w14:paraId="7B6FD76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1A04A851">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5A2F2B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5.89E-08</w:t>
                  </w:r>
                </w:p>
              </w:tc>
            </w:tr>
            <w:tr w14:paraId="067EE4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0690E4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0A72A7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51641DA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C803AC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4C10EB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2A9F3F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3336076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7F0429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7.00E-06</w:t>
                  </w:r>
                </w:p>
              </w:tc>
            </w:tr>
            <w:tr w14:paraId="22DB25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9AC31B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44EF7A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45</w:t>
                  </w:r>
                </w:p>
              </w:tc>
              <w:tc>
                <w:tcPr>
                  <w:tcW w:w="1078" w:type="pct"/>
                  <w:vMerge w:val="restart"/>
                  <w:noWrap w:val="0"/>
                  <w:vAlign w:val="center"/>
                </w:tcPr>
                <w:p w14:paraId="1DD483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机房东侧准备间门外侧30cm（准备间）</w:t>
                  </w:r>
                </w:p>
              </w:tc>
              <w:tc>
                <w:tcPr>
                  <w:tcW w:w="335" w:type="pct"/>
                  <w:shd w:val="clear" w:color="auto" w:fill="auto"/>
                  <w:noWrap w:val="0"/>
                  <w:vAlign w:val="center"/>
                </w:tcPr>
                <w:p w14:paraId="7B705FA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C9F2C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4.1</w:t>
                  </w:r>
                </w:p>
              </w:tc>
              <w:tc>
                <w:tcPr>
                  <w:tcW w:w="974" w:type="pct"/>
                  <w:vMerge w:val="restart"/>
                  <w:noWrap w:val="0"/>
                  <w:vAlign w:val="center"/>
                </w:tcPr>
                <w:p w14:paraId="1EBA06C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6DA6B96F">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1888F9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5.61E-08</w:t>
                  </w:r>
                </w:p>
              </w:tc>
            </w:tr>
            <w:tr w14:paraId="550F2B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6AEFA1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3543574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16645F0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7DF0D1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760AFAE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A228BD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66E5C56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19D707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6.67E-06</w:t>
                  </w:r>
                </w:p>
              </w:tc>
            </w:tr>
            <w:tr w14:paraId="786F1B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A04269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64452E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46</w:t>
                  </w:r>
                </w:p>
              </w:tc>
              <w:tc>
                <w:tcPr>
                  <w:tcW w:w="1078" w:type="pct"/>
                  <w:vMerge w:val="restart"/>
                  <w:noWrap w:val="0"/>
                  <w:vAlign w:val="center"/>
                </w:tcPr>
                <w:p w14:paraId="265849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机房东侧墙体外侧30cm（控制室）</w:t>
                  </w:r>
                </w:p>
              </w:tc>
              <w:tc>
                <w:tcPr>
                  <w:tcW w:w="335" w:type="pct"/>
                  <w:shd w:val="clear" w:color="auto" w:fill="auto"/>
                  <w:noWrap w:val="0"/>
                  <w:vAlign w:val="center"/>
                </w:tcPr>
                <w:p w14:paraId="2E07B2B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13FA8DB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3.6</w:t>
                  </w:r>
                </w:p>
              </w:tc>
              <w:tc>
                <w:tcPr>
                  <w:tcW w:w="974" w:type="pct"/>
                  <w:vMerge w:val="restart"/>
                  <w:noWrap w:val="0"/>
                  <w:vAlign w:val="center"/>
                </w:tcPr>
                <w:p w14:paraId="5DC331A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26A282CE">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00EF8A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7.49E-07</w:t>
                  </w:r>
                </w:p>
              </w:tc>
            </w:tr>
            <w:tr w14:paraId="54C72F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7AF7C4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3116D1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10E5A7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51B1265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35E875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4BAD715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72E68BA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7283BF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4.99E-05</w:t>
                  </w:r>
                </w:p>
              </w:tc>
            </w:tr>
            <w:tr w14:paraId="7356DE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86EA24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BE133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47</w:t>
                  </w:r>
                </w:p>
              </w:tc>
              <w:tc>
                <w:tcPr>
                  <w:tcW w:w="1078" w:type="pct"/>
                  <w:vMerge w:val="restart"/>
                  <w:noWrap w:val="0"/>
                  <w:vAlign w:val="center"/>
                </w:tcPr>
                <w:p w14:paraId="19331B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机房南侧患者通道门外侧30cm（患者通道）</w:t>
                  </w:r>
                </w:p>
              </w:tc>
              <w:tc>
                <w:tcPr>
                  <w:tcW w:w="335" w:type="pct"/>
                  <w:shd w:val="clear" w:color="auto" w:fill="auto"/>
                  <w:noWrap w:val="0"/>
                  <w:vAlign w:val="center"/>
                </w:tcPr>
                <w:p w14:paraId="090634C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5F3012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5.9</w:t>
                  </w:r>
                </w:p>
              </w:tc>
              <w:tc>
                <w:tcPr>
                  <w:tcW w:w="974" w:type="pct"/>
                  <w:vMerge w:val="restart"/>
                  <w:noWrap w:val="0"/>
                  <w:vAlign w:val="center"/>
                </w:tcPr>
                <w:p w14:paraId="68904F4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4</w:t>
                  </w:r>
                  <w:r>
                    <w:rPr>
                      <w:color w:val="auto"/>
                      <w:sz w:val="21"/>
                      <w:szCs w:val="21"/>
                      <w:highlight w:val="none"/>
                    </w:rPr>
                    <w:t>mm铅当量</w:t>
                  </w:r>
                </w:p>
              </w:tc>
              <w:tc>
                <w:tcPr>
                  <w:tcW w:w="1130" w:type="dxa"/>
                  <w:shd w:val="clear" w:color="auto" w:fill="auto"/>
                  <w:noWrap w:val="0"/>
                  <w:vAlign w:val="center"/>
                </w:tcPr>
                <w:p w14:paraId="0EB7C5B6">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5.42E-10</w:t>
                  </w:r>
                </w:p>
              </w:tc>
              <w:tc>
                <w:tcPr>
                  <w:tcW w:w="1150" w:type="dxa"/>
                  <w:noWrap w:val="0"/>
                  <w:vAlign w:val="center"/>
                </w:tcPr>
                <w:p w14:paraId="0F776E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2.71E-08</w:t>
                  </w:r>
                </w:p>
              </w:tc>
            </w:tr>
            <w:tr w14:paraId="7193F8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5C5FCFB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6F06915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6BCE23D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78EC5C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1730AE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2DF88D7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247B6D89">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6.44E-08</w:t>
                  </w:r>
                </w:p>
              </w:tc>
              <w:tc>
                <w:tcPr>
                  <w:tcW w:w="1150" w:type="dxa"/>
                  <w:noWrap w:val="0"/>
                  <w:vAlign w:val="center"/>
                </w:tcPr>
                <w:p w14:paraId="373C69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3.22E-06</w:t>
                  </w:r>
                </w:p>
              </w:tc>
            </w:tr>
            <w:tr w14:paraId="0C8356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0CB90C1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1346A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48</w:t>
                  </w:r>
                </w:p>
              </w:tc>
              <w:tc>
                <w:tcPr>
                  <w:tcW w:w="1078" w:type="pct"/>
                  <w:vMerge w:val="restart"/>
                  <w:noWrap w:val="0"/>
                  <w:vAlign w:val="center"/>
                </w:tcPr>
                <w:p w14:paraId="39053E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机房南侧墙体外侧30cm（患者通道）</w:t>
                  </w:r>
                </w:p>
              </w:tc>
              <w:tc>
                <w:tcPr>
                  <w:tcW w:w="335" w:type="pct"/>
                  <w:shd w:val="clear" w:color="auto" w:fill="auto"/>
                  <w:noWrap w:val="0"/>
                  <w:vAlign w:val="center"/>
                </w:tcPr>
                <w:p w14:paraId="1E28A74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6B3A901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3.7</w:t>
                  </w:r>
                </w:p>
              </w:tc>
              <w:tc>
                <w:tcPr>
                  <w:tcW w:w="974" w:type="pct"/>
                  <w:vMerge w:val="restart"/>
                  <w:noWrap w:val="0"/>
                  <w:vAlign w:val="center"/>
                </w:tcPr>
                <w:p w14:paraId="4DFF01F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7439C04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56C121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7.09E-07</w:t>
                  </w:r>
                </w:p>
              </w:tc>
            </w:tr>
            <w:tr w14:paraId="55C715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64AA08C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5AD9ECE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232EA25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25F805F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63C464B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09592A2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4C9205E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1019C6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4.73E-05</w:t>
                  </w:r>
                </w:p>
              </w:tc>
            </w:tr>
            <w:tr w14:paraId="57465C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47C2F75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1173798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49</w:t>
                  </w:r>
                </w:p>
              </w:tc>
              <w:tc>
                <w:tcPr>
                  <w:tcW w:w="1078" w:type="pct"/>
                  <w:vMerge w:val="restart"/>
                  <w:noWrap w:val="0"/>
                  <w:vAlign w:val="center"/>
                </w:tcPr>
                <w:p w14:paraId="4B5EAC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机房西侧墙体外侧30cm（治疗室R9）</w:t>
                  </w:r>
                </w:p>
              </w:tc>
              <w:tc>
                <w:tcPr>
                  <w:tcW w:w="335" w:type="pct"/>
                  <w:shd w:val="clear" w:color="auto" w:fill="auto"/>
                  <w:noWrap w:val="0"/>
                  <w:vAlign w:val="center"/>
                </w:tcPr>
                <w:p w14:paraId="639CCD9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1FA47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olor w:val="auto"/>
                      <w:spacing w:val="0"/>
                      <w:kern w:val="0"/>
                      <w:sz w:val="21"/>
                      <w:szCs w:val="21"/>
                      <w:highlight w:val="none"/>
                      <w:lang w:val="en-US" w:eastAsia="zh-CN"/>
                    </w:rPr>
                    <w:t>2.9</w:t>
                  </w:r>
                </w:p>
              </w:tc>
              <w:tc>
                <w:tcPr>
                  <w:tcW w:w="974" w:type="pct"/>
                  <w:vMerge w:val="restart"/>
                  <w:noWrap w:val="0"/>
                  <w:vAlign w:val="center"/>
                </w:tcPr>
                <w:p w14:paraId="126A6AF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370mm实心砖</w:t>
                  </w:r>
                  <w:r>
                    <w:rPr>
                      <w:rFonts w:hint="eastAsia"/>
                      <w:color w:val="auto"/>
                      <w:sz w:val="21"/>
                      <w:szCs w:val="21"/>
                      <w:highlight w:val="none"/>
                    </w:rPr>
                    <w:t>+</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110050BC">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5.58E-09</w:t>
                  </w:r>
                </w:p>
              </w:tc>
              <w:tc>
                <w:tcPr>
                  <w:tcW w:w="1150" w:type="dxa"/>
                  <w:noWrap w:val="0"/>
                  <w:vAlign w:val="center"/>
                </w:tcPr>
                <w:p w14:paraId="3D2140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1.15E-06</w:t>
                  </w:r>
                </w:p>
              </w:tc>
            </w:tr>
            <w:tr w14:paraId="15A6DE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7781532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7A9501D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571178B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7C0752B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4185EC8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67578F9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4AF0BDAB">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3.72E-07</w:t>
                  </w:r>
                </w:p>
              </w:tc>
              <w:tc>
                <w:tcPr>
                  <w:tcW w:w="1150" w:type="dxa"/>
                  <w:noWrap w:val="0"/>
                  <w:vAlign w:val="center"/>
                </w:tcPr>
                <w:p w14:paraId="1DB9A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7.70E-05</w:t>
                  </w:r>
                </w:p>
              </w:tc>
            </w:tr>
            <w:tr w14:paraId="5F185A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2A482C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restart"/>
                  <w:noWrap w:val="0"/>
                  <w:vAlign w:val="center"/>
                </w:tcPr>
                <w:p w14:paraId="5C8CD9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51</w:t>
                  </w:r>
                </w:p>
              </w:tc>
              <w:tc>
                <w:tcPr>
                  <w:tcW w:w="1078" w:type="pct"/>
                  <w:vMerge w:val="restart"/>
                  <w:noWrap w:val="0"/>
                  <w:vAlign w:val="center"/>
                </w:tcPr>
                <w:p w14:paraId="74953DA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机房地板下方距地面1.5m（妇产科盆底筛查治疗室）</w:t>
                  </w:r>
                </w:p>
              </w:tc>
              <w:tc>
                <w:tcPr>
                  <w:tcW w:w="335" w:type="pct"/>
                  <w:shd w:val="clear" w:color="auto" w:fill="auto"/>
                  <w:noWrap w:val="0"/>
                  <w:vAlign w:val="center"/>
                </w:tcPr>
                <w:p w14:paraId="15FF917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54" w:type="pct"/>
                  <w:vMerge w:val="restart"/>
                  <w:noWrap w:val="0"/>
                  <w:vAlign w:val="center"/>
                </w:tcPr>
                <w:p w14:paraId="44ECE516">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4.9</w:t>
                  </w:r>
                </w:p>
              </w:tc>
              <w:tc>
                <w:tcPr>
                  <w:tcW w:w="974" w:type="pct"/>
                  <w:vMerge w:val="restart"/>
                  <w:noWrap w:val="0"/>
                  <w:vAlign w:val="center"/>
                </w:tcPr>
                <w:p w14:paraId="58E76CC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z w:val="21"/>
                      <w:szCs w:val="21"/>
                      <w:highlight w:val="none"/>
                      <w:lang w:val="en-US" w:eastAsia="zh-CN"/>
                    </w:rPr>
                    <w:t>200m</w:t>
                  </w:r>
                  <w:r>
                    <w:rPr>
                      <w:rFonts w:hint="eastAsia"/>
                      <w:color w:val="auto"/>
                      <w:sz w:val="21"/>
                      <w:szCs w:val="21"/>
                      <w:highlight w:val="none"/>
                    </w:rPr>
                    <w:t>m厚混凝土+</w:t>
                  </w:r>
                  <w:r>
                    <w:rPr>
                      <w:rFonts w:hint="eastAsia"/>
                      <w:color w:val="auto"/>
                      <w:sz w:val="21"/>
                      <w:szCs w:val="21"/>
                      <w:highlight w:val="none"/>
                      <w:lang w:val="en-US" w:eastAsia="zh-CN"/>
                    </w:rPr>
                    <w:t>15</w:t>
                  </w:r>
                  <w:r>
                    <w:rPr>
                      <w:color w:val="auto"/>
                      <w:sz w:val="21"/>
                      <w:szCs w:val="21"/>
                      <w:highlight w:val="none"/>
                    </w:rPr>
                    <w:t>mm</w:t>
                  </w:r>
                  <w:r>
                    <w:rPr>
                      <w:rFonts w:hint="eastAsia"/>
                      <w:color w:val="auto"/>
                      <w:sz w:val="21"/>
                      <w:szCs w:val="21"/>
                      <w:highlight w:val="none"/>
                      <w:lang w:val="en-US" w:eastAsia="zh-CN"/>
                    </w:rPr>
                    <w:t>硫酸钡水泥</w:t>
                  </w:r>
                </w:p>
              </w:tc>
              <w:tc>
                <w:tcPr>
                  <w:tcW w:w="1130" w:type="dxa"/>
                  <w:shd w:val="clear" w:color="auto" w:fill="auto"/>
                  <w:noWrap w:val="0"/>
                  <w:vAlign w:val="center"/>
                </w:tcPr>
                <w:p w14:paraId="11DA2D10">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1.82E-06</w:t>
                  </w:r>
                </w:p>
              </w:tc>
              <w:tc>
                <w:tcPr>
                  <w:tcW w:w="1150" w:type="dxa"/>
                  <w:noWrap w:val="0"/>
                  <w:vAlign w:val="center"/>
                </w:tcPr>
                <w:p w14:paraId="51B4E2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r>
            <w:tr w14:paraId="2503BB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vMerge w:val="continue"/>
                  <w:noWrap w:val="0"/>
                  <w:vAlign w:val="center"/>
                </w:tcPr>
                <w:p w14:paraId="19C74E9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54" w:type="pct"/>
                  <w:vMerge w:val="continue"/>
                  <w:noWrap w:val="0"/>
                  <w:vAlign w:val="center"/>
                </w:tcPr>
                <w:p w14:paraId="0589E50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078" w:type="pct"/>
                  <w:vMerge w:val="continue"/>
                  <w:noWrap w:val="0"/>
                  <w:vAlign w:val="center"/>
                </w:tcPr>
                <w:p w14:paraId="0899B57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335" w:type="pct"/>
                  <w:shd w:val="clear" w:color="auto" w:fill="auto"/>
                  <w:noWrap w:val="0"/>
                  <w:vAlign w:val="center"/>
                </w:tcPr>
                <w:p w14:paraId="234483A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54" w:type="pct"/>
                  <w:vMerge w:val="continue"/>
                  <w:noWrap w:val="0"/>
                  <w:vAlign w:val="center"/>
                </w:tcPr>
                <w:p w14:paraId="17E3022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974" w:type="pct"/>
                  <w:vMerge w:val="continue"/>
                  <w:noWrap w:val="0"/>
                  <w:vAlign w:val="center"/>
                </w:tcPr>
                <w:p w14:paraId="7EC3FA0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p>
              </w:tc>
              <w:tc>
                <w:tcPr>
                  <w:tcW w:w="1130" w:type="dxa"/>
                  <w:shd w:val="clear" w:color="auto" w:fill="auto"/>
                  <w:noWrap w:val="0"/>
                  <w:vAlign w:val="center"/>
                </w:tcPr>
                <w:p w14:paraId="349AE102">
                  <w:pPr>
                    <w:keepNext w:val="0"/>
                    <w:keepLines w:val="0"/>
                    <w:pageBreakBefore w:val="0"/>
                    <w:widowControl/>
                    <w:suppressLineNumbers w:val="0"/>
                    <w:kinsoku/>
                    <w:wordWrap/>
                    <w:overflowPunct/>
                    <w:topLinePunct w:val="0"/>
                    <w:bidi w:val="0"/>
                    <w:adjustRightInd/>
                    <w:snapToGrid/>
                    <w:spacing w:line="300" w:lineRule="exact"/>
                    <w:jc w:val="center"/>
                    <w:textAlignment w:val="center"/>
                    <w:rPr>
                      <w:rFonts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2.87E-05</w:t>
                  </w:r>
                </w:p>
              </w:tc>
              <w:tc>
                <w:tcPr>
                  <w:tcW w:w="1150" w:type="dxa"/>
                  <w:noWrap w:val="0"/>
                  <w:vAlign w:val="center"/>
                </w:tcPr>
                <w:p w14:paraId="762D1C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r>
            <w:tr w14:paraId="213A94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noWrap w:val="0"/>
                  <w:vAlign w:val="center"/>
                </w:tcPr>
                <w:p w14:paraId="0DA21D71">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p>
              </w:tc>
              <w:tc>
                <w:tcPr>
                  <w:tcW w:w="354" w:type="pct"/>
                  <w:shd w:val="clear" w:color="auto" w:fill="auto"/>
                  <w:noWrap w:val="0"/>
                  <w:vAlign w:val="center"/>
                </w:tcPr>
                <w:p w14:paraId="0DA0A3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52</w:t>
                  </w:r>
                </w:p>
              </w:tc>
              <w:tc>
                <w:tcPr>
                  <w:tcW w:w="1078" w:type="pct"/>
                  <w:noWrap w:val="0"/>
                  <w:vAlign w:val="center"/>
                </w:tcPr>
                <w:p w14:paraId="42DD3E8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第一术者位</w:t>
                  </w:r>
                </w:p>
              </w:tc>
              <w:tc>
                <w:tcPr>
                  <w:tcW w:w="335" w:type="pct"/>
                  <w:noWrap w:val="0"/>
                  <w:vAlign w:val="center"/>
                </w:tcPr>
                <w:p w14:paraId="5D9C6C48">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介入</w:t>
                  </w:r>
                </w:p>
              </w:tc>
              <w:tc>
                <w:tcPr>
                  <w:tcW w:w="554" w:type="pct"/>
                  <w:noWrap w:val="0"/>
                  <w:vAlign w:val="center"/>
                </w:tcPr>
                <w:p w14:paraId="270A718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0.3</w:t>
                  </w:r>
                </w:p>
              </w:tc>
              <w:tc>
                <w:tcPr>
                  <w:tcW w:w="974" w:type="pct"/>
                  <w:noWrap w:val="0"/>
                  <w:vAlign w:val="center"/>
                </w:tcPr>
                <w:p w14:paraId="4C8DE03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z w:val="21"/>
                      <w:szCs w:val="21"/>
                      <w:highlight w:val="none"/>
                    </w:rPr>
                    <w:t>1mmPb</w:t>
                  </w:r>
                </w:p>
              </w:tc>
              <w:tc>
                <w:tcPr>
                  <w:tcW w:w="631" w:type="pct"/>
                  <w:noWrap w:val="0"/>
                  <w:vAlign w:val="center"/>
                </w:tcPr>
                <w:p w14:paraId="0DFDA43B">
                  <w:pPr>
                    <w:keepNext w:val="0"/>
                    <w:keepLines w:val="0"/>
                    <w:pageBreakBefore w:val="0"/>
                    <w:kinsoku/>
                    <w:wordWrap/>
                    <w:overflowPunct/>
                    <w:topLinePunct w:val="0"/>
                    <w:autoSpaceDE/>
                    <w:autoSpaceDN/>
                    <w:bidi w:val="0"/>
                    <w:adjustRightInd/>
                    <w:snapToGrid/>
                    <w:spacing w:line="280" w:lineRule="exact"/>
                    <w:jc w:val="center"/>
                    <w:rPr>
                      <w:color w:val="auto"/>
                      <w:sz w:val="21"/>
                      <w:szCs w:val="21"/>
                      <w:highlight w:val="none"/>
                    </w:rPr>
                  </w:pPr>
                  <w:r>
                    <w:rPr>
                      <w:rFonts w:hint="eastAsia"/>
                      <w:color w:val="auto"/>
                      <w:sz w:val="21"/>
                      <w:szCs w:val="21"/>
                      <w:highlight w:val="none"/>
                    </w:rPr>
                    <w:t>6.89E-04</w:t>
                  </w:r>
                </w:p>
              </w:tc>
              <w:tc>
                <w:tcPr>
                  <w:tcW w:w="1150" w:type="dxa"/>
                  <w:noWrap w:val="0"/>
                  <w:vAlign w:val="center"/>
                </w:tcPr>
                <w:p w14:paraId="4711C2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1.33E+01</w:t>
                  </w:r>
                </w:p>
              </w:tc>
            </w:tr>
            <w:tr w14:paraId="5613D0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noWrap w:val="0"/>
                  <w:vAlign w:val="center"/>
                </w:tcPr>
                <w:p w14:paraId="1B4FFE25">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p>
              </w:tc>
              <w:tc>
                <w:tcPr>
                  <w:tcW w:w="354" w:type="pct"/>
                  <w:shd w:val="clear" w:color="auto" w:fill="auto"/>
                  <w:noWrap w:val="0"/>
                  <w:vAlign w:val="center"/>
                </w:tcPr>
                <w:p w14:paraId="1CF97B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53</w:t>
                  </w:r>
                </w:p>
              </w:tc>
              <w:tc>
                <w:tcPr>
                  <w:tcW w:w="1078" w:type="pct"/>
                  <w:noWrap w:val="0"/>
                  <w:vAlign w:val="center"/>
                </w:tcPr>
                <w:p w14:paraId="03D900C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第二术者位</w:t>
                  </w:r>
                </w:p>
              </w:tc>
              <w:tc>
                <w:tcPr>
                  <w:tcW w:w="335" w:type="pct"/>
                  <w:noWrap w:val="0"/>
                  <w:vAlign w:val="center"/>
                </w:tcPr>
                <w:p w14:paraId="2B70089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noWrap w:val="0"/>
                  <w:vAlign w:val="center"/>
                </w:tcPr>
                <w:p w14:paraId="7F49171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1.0</w:t>
                  </w:r>
                </w:p>
              </w:tc>
              <w:tc>
                <w:tcPr>
                  <w:tcW w:w="974" w:type="pct"/>
                  <w:noWrap w:val="0"/>
                  <w:vAlign w:val="center"/>
                </w:tcPr>
                <w:p w14:paraId="17CA5A6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z w:val="21"/>
                      <w:szCs w:val="21"/>
                      <w:highlight w:val="none"/>
                    </w:rPr>
                    <w:t>0.5mmPb</w:t>
                  </w:r>
                </w:p>
              </w:tc>
              <w:tc>
                <w:tcPr>
                  <w:tcW w:w="631" w:type="pct"/>
                  <w:noWrap w:val="0"/>
                  <w:vAlign w:val="center"/>
                </w:tcPr>
                <w:p w14:paraId="0E1E0112">
                  <w:pPr>
                    <w:keepNext w:val="0"/>
                    <w:keepLines w:val="0"/>
                    <w:pageBreakBefore w:val="0"/>
                    <w:kinsoku/>
                    <w:wordWrap/>
                    <w:overflowPunct/>
                    <w:topLinePunct w:val="0"/>
                    <w:autoSpaceDE/>
                    <w:autoSpaceDN/>
                    <w:bidi w:val="0"/>
                    <w:adjustRightInd/>
                    <w:snapToGrid/>
                    <w:spacing w:line="280" w:lineRule="exact"/>
                    <w:jc w:val="center"/>
                    <w:rPr>
                      <w:color w:val="auto"/>
                      <w:sz w:val="21"/>
                      <w:szCs w:val="21"/>
                      <w:highlight w:val="none"/>
                    </w:rPr>
                  </w:pPr>
                  <w:r>
                    <w:rPr>
                      <w:rFonts w:hint="eastAsia"/>
                      <w:color w:val="auto"/>
                      <w:sz w:val="21"/>
                      <w:szCs w:val="21"/>
                      <w:highlight w:val="none"/>
                    </w:rPr>
                    <w:t>9.00E-03</w:t>
                  </w:r>
                </w:p>
              </w:tc>
              <w:tc>
                <w:tcPr>
                  <w:tcW w:w="1150" w:type="dxa"/>
                  <w:noWrap w:val="0"/>
                  <w:vAlign w:val="center"/>
                </w:tcPr>
                <w:p w14:paraId="23B32F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1.57E+01</w:t>
                  </w:r>
                </w:p>
              </w:tc>
            </w:tr>
            <w:tr w14:paraId="734FE5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29" w:type="pct"/>
                  <w:noWrap w:val="0"/>
                  <w:vAlign w:val="center"/>
                </w:tcPr>
                <w:p w14:paraId="29F30A17">
                  <w:pPr>
                    <w:keepNext w:val="0"/>
                    <w:keepLines w:val="0"/>
                    <w:pageBreakBefore w:val="0"/>
                    <w:kinsoku/>
                    <w:wordWrap/>
                    <w:overflowPunct/>
                    <w:topLinePunct w:val="0"/>
                    <w:autoSpaceDE/>
                    <w:autoSpaceDN/>
                    <w:bidi w:val="0"/>
                    <w:adjustRightInd/>
                    <w:snapToGrid/>
                    <w:spacing w:line="280" w:lineRule="exact"/>
                    <w:jc w:val="center"/>
                    <w:rPr>
                      <w:rFonts w:hint="default" w:eastAsia="宋体"/>
                      <w:color w:val="auto"/>
                      <w:spacing w:val="-11"/>
                      <w:kern w:val="0"/>
                      <w:sz w:val="21"/>
                      <w:szCs w:val="21"/>
                      <w:highlight w:val="none"/>
                      <w:lang w:val="en-US" w:eastAsia="zh-CN"/>
                    </w:rPr>
                  </w:pPr>
                </w:p>
              </w:tc>
              <w:tc>
                <w:tcPr>
                  <w:tcW w:w="354" w:type="pct"/>
                  <w:shd w:val="clear" w:color="auto" w:fill="auto"/>
                  <w:noWrap w:val="0"/>
                  <w:vAlign w:val="center"/>
                </w:tcPr>
                <w:p w14:paraId="082440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54</w:t>
                  </w:r>
                </w:p>
              </w:tc>
              <w:tc>
                <w:tcPr>
                  <w:tcW w:w="1078" w:type="pct"/>
                  <w:noWrap w:val="0"/>
                  <w:vAlign w:val="center"/>
                </w:tcPr>
                <w:p w14:paraId="00DB3FC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护士位</w:t>
                  </w:r>
                </w:p>
              </w:tc>
              <w:tc>
                <w:tcPr>
                  <w:tcW w:w="335" w:type="pct"/>
                  <w:noWrap w:val="0"/>
                  <w:vAlign w:val="center"/>
                </w:tcPr>
                <w:p w14:paraId="57C3BF6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54" w:type="pct"/>
                  <w:noWrap w:val="0"/>
                  <w:vAlign w:val="center"/>
                </w:tcPr>
                <w:p w14:paraId="05F3BFD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1.5</w:t>
                  </w:r>
                </w:p>
              </w:tc>
              <w:tc>
                <w:tcPr>
                  <w:tcW w:w="974" w:type="pct"/>
                  <w:noWrap w:val="0"/>
                  <w:vAlign w:val="center"/>
                </w:tcPr>
                <w:p w14:paraId="664BC65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z w:val="21"/>
                      <w:szCs w:val="21"/>
                      <w:highlight w:val="none"/>
                    </w:rPr>
                    <w:t>0.5mmPb</w:t>
                  </w:r>
                </w:p>
              </w:tc>
              <w:tc>
                <w:tcPr>
                  <w:tcW w:w="631" w:type="pct"/>
                  <w:noWrap w:val="0"/>
                  <w:vAlign w:val="center"/>
                </w:tcPr>
                <w:p w14:paraId="72035509">
                  <w:pPr>
                    <w:keepNext w:val="0"/>
                    <w:keepLines w:val="0"/>
                    <w:pageBreakBefore w:val="0"/>
                    <w:kinsoku/>
                    <w:wordWrap/>
                    <w:overflowPunct/>
                    <w:topLinePunct w:val="0"/>
                    <w:autoSpaceDE/>
                    <w:autoSpaceDN/>
                    <w:bidi w:val="0"/>
                    <w:adjustRightInd/>
                    <w:snapToGrid/>
                    <w:spacing w:line="280" w:lineRule="exact"/>
                    <w:jc w:val="center"/>
                    <w:rPr>
                      <w:color w:val="auto"/>
                      <w:sz w:val="21"/>
                      <w:szCs w:val="21"/>
                      <w:highlight w:val="none"/>
                    </w:rPr>
                  </w:pPr>
                  <w:r>
                    <w:rPr>
                      <w:rFonts w:hint="eastAsia"/>
                      <w:color w:val="auto"/>
                      <w:sz w:val="21"/>
                      <w:szCs w:val="21"/>
                      <w:highlight w:val="none"/>
                    </w:rPr>
                    <w:t>9.00E-03</w:t>
                  </w:r>
                </w:p>
              </w:tc>
              <w:tc>
                <w:tcPr>
                  <w:tcW w:w="1150" w:type="dxa"/>
                  <w:noWrap w:val="0"/>
                  <w:vAlign w:val="center"/>
                </w:tcPr>
                <w:p w14:paraId="384451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6.96E+00</w:t>
                  </w:r>
                </w:p>
              </w:tc>
            </w:tr>
          </w:tbl>
          <w:p w14:paraId="5698EF62">
            <w:pPr>
              <w:ind w:firstLine="482" w:firstLineChars="200"/>
              <w:rPr>
                <w:b/>
                <w:bCs/>
                <w:color w:val="auto"/>
                <w:kern w:val="0"/>
                <w:highlight w:val="none"/>
              </w:rPr>
            </w:pPr>
            <w:r>
              <w:rPr>
                <w:rFonts w:hint="eastAsia"/>
                <w:b/>
                <w:bCs/>
                <w:color w:val="auto"/>
                <w:kern w:val="0"/>
                <w:highlight w:val="none"/>
              </w:rPr>
              <w:t>5、</w:t>
            </w:r>
            <w:r>
              <w:rPr>
                <w:rFonts w:hint="eastAsia"/>
                <w:b/>
                <w:bCs/>
                <w:color w:val="auto"/>
                <w:kern w:val="0"/>
                <w:highlight w:val="none"/>
                <w:lang w:val="en-US" w:eastAsia="zh-CN"/>
              </w:rPr>
              <w:t>四层各机房</w:t>
            </w:r>
            <w:r>
              <w:rPr>
                <w:b/>
                <w:bCs/>
                <w:color w:val="auto"/>
                <w:kern w:val="0"/>
                <w:highlight w:val="none"/>
              </w:rPr>
              <w:t>各关注点位受到的总的辐射剂量率</w:t>
            </w:r>
          </w:p>
          <w:p w14:paraId="7C69DADA">
            <w:pPr>
              <w:ind w:firstLine="472" w:firstLineChars="200"/>
              <w:jc w:val="left"/>
              <w:rPr>
                <w:color w:val="auto"/>
                <w:spacing w:val="-2"/>
                <w:kern w:val="0"/>
                <w:highlight w:val="none"/>
              </w:rPr>
            </w:pPr>
            <w:r>
              <w:rPr>
                <w:color w:val="auto"/>
                <w:spacing w:val="-2"/>
                <w:kern w:val="0"/>
                <w:highlight w:val="none"/>
              </w:rPr>
              <w:t>本项目</w:t>
            </w:r>
            <w:r>
              <w:rPr>
                <w:rFonts w:hint="eastAsia"/>
                <w:color w:val="auto"/>
                <w:spacing w:val="-2"/>
                <w:kern w:val="0"/>
                <w:highlight w:val="none"/>
                <w:lang w:val="en-US" w:eastAsia="zh-CN"/>
              </w:rPr>
              <w:t>四层各机房</w:t>
            </w:r>
            <w:r>
              <w:rPr>
                <w:color w:val="auto"/>
                <w:spacing w:val="-2"/>
                <w:kern w:val="0"/>
                <w:highlight w:val="none"/>
              </w:rPr>
              <w:t>预测点受到的总的辐射剂量率见下表。</w:t>
            </w:r>
          </w:p>
          <w:p w14:paraId="661B3B93">
            <w:pPr>
              <w:spacing w:before="163" w:beforeLines="50"/>
              <w:jc w:val="center"/>
              <w:rPr>
                <w:rFonts w:eastAsia="黑体"/>
                <w:b/>
                <w:color w:val="auto"/>
                <w:highlight w:val="none"/>
              </w:rPr>
            </w:pPr>
            <w:r>
              <w:rPr>
                <w:rFonts w:eastAsia="黑体"/>
                <w:b/>
                <w:color w:val="auto"/>
                <w:highlight w:val="none"/>
              </w:rPr>
              <w:t>表11-</w:t>
            </w:r>
            <w:r>
              <w:rPr>
                <w:rFonts w:hint="eastAsia" w:eastAsia="黑体"/>
                <w:b/>
                <w:color w:val="auto"/>
                <w:highlight w:val="none"/>
                <w:lang w:val="en-US" w:eastAsia="zh-CN"/>
              </w:rPr>
              <w:t>15</w:t>
            </w:r>
            <w:r>
              <w:rPr>
                <w:rFonts w:eastAsia="黑体"/>
                <w:b/>
                <w:color w:val="auto"/>
                <w:highlight w:val="none"/>
              </w:rPr>
              <w:t xml:space="preserve">  </w:t>
            </w:r>
            <w:r>
              <w:rPr>
                <w:rFonts w:hint="eastAsia" w:eastAsia="黑体"/>
                <w:b/>
                <w:color w:val="auto"/>
                <w:highlight w:val="none"/>
                <w:lang w:val="en-US" w:eastAsia="zh-CN"/>
              </w:rPr>
              <w:t>各机房</w:t>
            </w:r>
            <w:r>
              <w:rPr>
                <w:rFonts w:eastAsia="黑体"/>
                <w:b/>
                <w:color w:val="auto"/>
                <w:highlight w:val="none"/>
              </w:rPr>
              <w:t>不同工作模式下各关注点处总的附加剂量率计算结果一览表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94"/>
              <w:gridCol w:w="615"/>
              <w:gridCol w:w="2010"/>
              <w:gridCol w:w="690"/>
              <w:gridCol w:w="1050"/>
              <w:gridCol w:w="1020"/>
              <w:gridCol w:w="1035"/>
              <w:gridCol w:w="975"/>
              <w:gridCol w:w="862"/>
            </w:tblGrid>
            <w:tr w14:paraId="665E0A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blHeader/>
                <w:jc w:val="center"/>
              </w:trPr>
              <w:tc>
                <w:tcPr>
                  <w:tcW w:w="387" w:type="pct"/>
                  <w:vMerge w:val="restart"/>
                  <w:noWrap w:val="0"/>
                  <w:vAlign w:val="center"/>
                </w:tcPr>
                <w:p w14:paraId="630A5C49">
                  <w:pPr>
                    <w:keepNext w:val="0"/>
                    <w:keepLines w:val="0"/>
                    <w:pageBreakBefore w:val="0"/>
                    <w:kinsoku/>
                    <w:wordWrap/>
                    <w:overflowPunct/>
                    <w:topLinePunct w:val="0"/>
                    <w:autoSpaceDE/>
                    <w:autoSpaceDN/>
                    <w:bidi w:val="0"/>
                    <w:adjustRightInd/>
                    <w:snapToGrid/>
                    <w:spacing w:line="280" w:lineRule="exact"/>
                    <w:jc w:val="center"/>
                    <w:rPr>
                      <w:rFonts w:hint="eastAsia" w:eastAsia="宋体"/>
                      <w:b/>
                      <w:bCs/>
                      <w:color w:val="auto"/>
                      <w:spacing w:val="-11"/>
                      <w:kern w:val="0"/>
                      <w:sz w:val="21"/>
                      <w:szCs w:val="21"/>
                      <w:highlight w:val="none"/>
                      <w:lang w:val="en-US" w:eastAsia="zh-CN"/>
                    </w:rPr>
                  </w:pPr>
                  <w:r>
                    <w:rPr>
                      <w:rFonts w:hint="eastAsia"/>
                      <w:b/>
                      <w:bCs/>
                      <w:color w:val="auto"/>
                      <w:spacing w:val="-11"/>
                      <w:kern w:val="0"/>
                      <w:sz w:val="21"/>
                      <w:szCs w:val="21"/>
                      <w:highlight w:val="none"/>
                      <w:lang w:val="en-US" w:eastAsia="zh-CN"/>
                    </w:rPr>
                    <w:t>机房名称</w:t>
                  </w:r>
                </w:p>
              </w:tc>
              <w:tc>
                <w:tcPr>
                  <w:tcW w:w="1466" w:type="pct"/>
                  <w:gridSpan w:val="2"/>
                  <w:noWrap w:val="0"/>
                  <w:vAlign w:val="center"/>
                </w:tcPr>
                <w:p w14:paraId="51F3EECC">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关注点位</w:t>
                  </w:r>
                </w:p>
              </w:tc>
              <w:tc>
                <w:tcPr>
                  <w:tcW w:w="385" w:type="pct"/>
                  <w:vMerge w:val="restart"/>
                  <w:noWrap w:val="0"/>
                  <w:vAlign w:val="center"/>
                </w:tcPr>
                <w:p w14:paraId="5A37B6BC">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模式</w:t>
                  </w:r>
                </w:p>
              </w:tc>
              <w:tc>
                <w:tcPr>
                  <w:tcW w:w="586" w:type="pct"/>
                  <w:vMerge w:val="restart"/>
                  <w:noWrap w:val="0"/>
                  <w:vAlign w:val="center"/>
                </w:tcPr>
                <w:p w14:paraId="62C5A1AC">
                  <w:pPr>
                    <w:keepNext w:val="0"/>
                    <w:keepLines w:val="0"/>
                    <w:pageBreakBefore w:val="0"/>
                    <w:kinsoku/>
                    <w:wordWrap/>
                    <w:overflowPunct/>
                    <w:topLinePunct w:val="0"/>
                    <w:autoSpaceDE/>
                    <w:autoSpaceDN/>
                    <w:bidi w:val="0"/>
                    <w:adjustRightInd/>
                    <w:snapToGrid/>
                    <w:spacing w:line="280" w:lineRule="exact"/>
                    <w:jc w:val="center"/>
                    <w:rPr>
                      <w:b/>
                      <w:bCs/>
                      <w:color w:val="auto"/>
                      <w:spacing w:val="-6"/>
                      <w:kern w:val="0"/>
                      <w:sz w:val="21"/>
                      <w:szCs w:val="21"/>
                      <w:highlight w:val="none"/>
                    </w:rPr>
                  </w:pPr>
                  <w:r>
                    <w:rPr>
                      <w:rFonts w:hint="eastAsia"/>
                      <w:b/>
                      <w:bCs/>
                      <w:color w:val="auto"/>
                      <w:spacing w:val="-6"/>
                      <w:kern w:val="0"/>
                      <w:sz w:val="21"/>
                      <w:szCs w:val="21"/>
                      <w:highlight w:val="none"/>
                    </w:rPr>
                    <w:t>主射线束</w:t>
                  </w:r>
                  <w:r>
                    <w:rPr>
                      <w:b/>
                      <w:bCs/>
                      <w:color w:val="auto"/>
                      <w:spacing w:val="-6"/>
                      <w:kern w:val="0"/>
                      <w:sz w:val="21"/>
                      <w:szCs w:val="21"/>
                      <w:highlight w:val="none"/>
                    </w:rPr>
                    <w:t>剂量率</w:t>
                  </w:r>
                </w:p>
                <w:p w14:paraId="1D1F3F6F">
                  <w:pPr>
                    <w:keepNext w:val="0"/>
                    <w:keepLines w:val="0"/>
                    <w:pageBreakBefore w:val="0"/>
                    <w:kinsoku/>
                    <w:wordWrap/>
                    <w:overflowPunct/>
                    <w:topLinePunct w:val="0"/>
                    <w:autoSpaceDE/>
                    <w:autoSpaceDN/>
                    <w:bidi w:val="0"/>
                    <w:adjustRightInd/>
                    <w:snapToGrid/>
                    <w:spacing w:line="280" w:lineRule="exact"/>
                    <w:jc w:val="center"/>
                    <w:rPr>
                      <w:b/>
                      <w:bCs/>
                      <w:color w:val="auto"/>
                      <w:spacing w:val="-6"/>
                      <w:kern w:val="0"/>
                      <w:sz w:val="21"/>
                      <w:szCs w:val="21"/>
                      <w:highlight w:val="none"/>
                    </w:rPr>
                  </w:pPr>
                  <w:r>
                    <w:rPr>
                      <w:b/>
                      <w:bCs/>
                      <w:color w:val="auto"/>
                      <w:spacing w:val="-6"/>
                      <w:kern w:val="0"/>
                      <w:sz w:val="21"/>
                      <w:szCs w:val="21"/>
                      <w:highlight w:val="none"/>
                    </w:rPr>
                    <w:t>（μSv/h）</w:t>
                  </w:r>
                </w:p>
              </w:tc>
              <w:tc>
                <w:tcPr>
                  <w:tcW w:w="569" w:type="pct"/>
                  <w:vMerge w:val="restart"/>
                  <w:noWrap w:val="0"/>
                  <w:vAlign w:val="center"/>
                </w:tcPr>
                <w:p w14:paraId="5F0AF58F">
                  <w:pPr>
                    <w:keepNext w:val="0"/>
                    <w:keepLines w:val="0"/>
                    <w:pageBreakBefore w:val="0"/>
                    <w:kinsoku/>
                    <w:wordWrap/>
                    <w:overflowPunct/>
                    <w:topLinePunct w:val="0"/>
                    <w:autoSpaceDE/>
                    <w:autoSpaceDN/>
                    <w:bidi w:val="0"/>
                    <w:adjustRightInd/>
                    <w:snapToGrid/>
                    <w:spacing w:line="280" w:lineRule="exact"/>
                    <w:jc w:val="center"/>
                    <w:rPr>
                      <w:b/>
                      <w:bCs/>
                      <w:color w:val="auto"/>
                      <w:spacing w:val="-6"/>
                      <w:kern w:val="0"/>
                      <w:sz w:val="21"/>
                      <w:szCs w:val="21"/>
                      <w:highlight w:val="none"/>
                    </w:rPr>
                  </w:pPr>
                  <w:r>
                    <w:rPr>
                      <w:rFonts w:hint="eastAsia"/>
                      <w:b/>
                      <w:bCs/>
                      <w:color w:val="auto"/>
                      <w:spacing w:val="-6"/>
                      <w:kern w:val="0"/>
                      <w:sz w:val="21"/>
                      <w:szCs w:val="21"/>
                      <w:highlight w:val="none"/>
                    </w:rPr>
                    <w:t>散射辐射</w:t>
                  </w:r>
                  <w:r>
                    <w:rPr>
                      <w:b/>
                      <w:bCs/>
                      <w:color w:val="auto"/>
                      <w:spacing w:val="-6"/>
                      <w:kern w:val="0"/>
                      <w:sz w:val="21"/>
                      <w:szCs w:val="21"/>
                      <w:highlight w:val="none"/>
                    </w:rPr>
                    <w:t>剂量率</w:t>
                  </w:r>
                </w:p>
                <w:p w14:paraId="726257EB">
                  <w:pPr>
                    <w:keepNext w:val="0"/>
                    <w:keepLines w:val="0"/>
                    <w:pageBreakBefore w:val="0"/>
                    <w:kinsoku/>
                    <w:wordWrap/>
                    <w:overflowPunct/>
                    <w:topLinePunct w:val="0"/>
                    <w:autoSpaceDE/>
                    <w:autoSpaceDN/>
                    <w:bidi w:val="0"/>
                    <w:adjustRightInd/>
                    <w:snapToGrid/>
                    <w:spacing w:line="280" w:lineRule="exact"/>
                    <w:jc w:val="center"/>
                    <w:rPr>
                      <w:b/>
                      <w:bCs/>
                      <w:color w:val="auto"/>
                      <w:spacing w:val="-6"/>
                      <w:kern w:val="0"/>
                      <w:sz w:val="21"/>
                      <w:szCs w:val="21"/>
                      <w:highlight w:val="none"/>
                    </w:rPr>
                  </w:pPr>
                  <w:r>
                    <w:rPr>
                      <w:b/>
                      <w:bCs/>
                      <w:color w:val="auto"/>
                      <w:spacing w:val="-6"/>
                      <w:kern w:val="0"/>
                      <w:sz w:val="21"/>
                      <w:szCs w:val="21"/>
                      <w:highlight w:val="none"/>
                    </w:rPr>
                    <w:t>（μSv/h）</w:t>
                  </w:r>
                </w:p>
              </w:tc>
              <w:tc>
                <w:tcPr>
                  <w:tcW w:w="578" w:type="pct"/>
                  <w:vMerge w:val="restart"/>
                  <w:noWrap w:val="0"/>
                  <w:vAlign w:val="center"/>
                </w:tcPr>
                <w:p w14:paraId="46BEE520">
                  <w:pPr>
                    <w:keepNext w:val="0"/>
                    <w:keepLines w:val="0"/>
                    <w:pageBreakBefore w:val="0"/>
                    <w:kinsoku/>
                    <w:wordWrap/>
                    <w:overflowPunct/>
                    <w:topLinePunct w:val="0"/>
                    <w:autoSpaceDE/>
                    <w:autoSpaceDN/>
                    <w:bidi w:val="0"/>
                    <w:adjustRightInd/>
                    <w:snapToGrid/>
                    <w:spacing w:line="280" w:lineRule="exact"/>
                    <w:jc w:val="center"/>
                    <w:rPr>
                      <w:b/>
                      <w:bCs/>
                      <w:color w:val="auto"/>
                      <w:spacing w:val="-6"/>
                      <w:kern w:val="0"/>
                      <w:sz w:val="21"/>
                      <w:szCs w:val="21"/>
                      <w:highlight w:val="none"/>
                    </w:rPr>
                  </w:pPr>
                  <w:r>
                    <w:rPr>
                      <w:rFonts w:hint="eastAsia"/>
                      <w:b/>
                      <w:bCs/>
                      <w:color w:val="auto"/>
                      <w:spacing w:val="-6"/>
                      <w:kern w:val="0"/>
                      <w:sz w:val="21"/>
                      <w:szCs w:val="21"/>
                      <w:highlight w:val="none"/>
                    </w:rPr>
                    <w:t>泄漏辐射</w:t>
                  </w:r>
                  <w:r>
                    <w:rPr>
                      <w:b/>
                      <w:bCs/>
                      <w:color w:val="auto"/>
                      <w:spacing w:val="-6"/>
                      <w:kern w:val="0"/>
                      <w:sz w:val="21"/>
                      <w:szCs w:val="21"/>
                      <w:highlight w:val="none"/>
                    </w:rPr>
                    <w:t>剂量率</w:t>
                  </w:r>
                </w:p>
                <w:p w14:paraId="26C07F76">
                  <w:pPr>
                    <w:keepNext w:val="0"/>
                    <w:keepLines w:val="0"/>
                    <w:pageBreakBefore w:val="0"/>
                    <w:kinsoku/>
                    <w:wordWrap/>
                    <w:overflowPunct/>
                    <w:topLinePunct w:val="0"/>
                    <w:autoSpaceDE/>
                    <w:autoSpaceDN/>
                    <w:bidi w:val="0"/>
                    <w:adjustRightInd/>
                    <w:snapToGrid/>
                    <w:spacing w:line="280" w:lineRule="exact"/>
                    <w:jc w:val="center"/>
                    <w:rPr>
                      <w:b/>
                      <w:bCs/>
                      <w:color w:val="auto"/>
                      <w:spacing w:val="-6"/>
                      <w:kern w:val="0"/>
                      <w:sz w:val="21"/>
                      <w:szCs w:val="21"/>
                      <w:highlight w:val="none"/>
                    </w:rPr>
                  </w:pPr>
                  <w:r>
                    <w:rPr>
                      <w:b/>
                      <w:bCs/>
                      <w:color w:val="auto"/>
                      <w:spacing w:val="-6"/>
                      <w:kern w:val="0"/>
                      <w:sz w:val="21"/>
                      <w:szCs w:val="21"/>
                      <w:highlight w:val="none"/>
                    </w:rPr>
                    <w:t>（μSv/h）</w:t>
                  </w:r>
                </w:p>
              </w:tc>
              <w:tc>
                <w:tcPr>
                  <w:tcW w:w="544" w:type="pct"/>
                  <w:vMerge w:val="restart"/>
                  <w:noWrap w:val="0"/>
                  <w:vAlign w:val="center"/>
                </w:tcPr>
                <w:p w14:paraId="09ED6104">
                  <w:pPr>
                    <w:keepNext w:val="0"/>
                    <w:keepLines w:val="0"/>
                    <w:pageBreakBefore w:val="0"/>
                    <w:kinsoku/>
                    <w:wordWrap/>
                    <w:overflowPunct/>
                    <w:topLinePunct w:val="0"/>
                    <w:autoSpaceDE/>
                    <w:autoSpaceDN/>
                    <w:bidi w:val="0"/>
                    <w:adjustRightInd/>
                    <w:snapToGrid/>
                    <w:spacing w:line="280" w:lineRule="exact"/>
                    <w:jc w:val="center"/>
                    <w:rPr>
                      <w:b/>
                      <w:bCs/>
                      <w:color w:val="auto"/>
                      <w:spacing w:val="-6"/>
                      <w:kern w:val="0"/>
                      <w:sz w:val="21"/>
                      <w:szCs w:val="21"/>
                      <w:highlight w:val="none"/>
                    </w:rPr>
                  </w:pPr>
                  <w:r>
                    <w:rPr>
                      <w:b/>
                      <w:bCs/>
                      <w:color w:val="auto"/>
                      <w:spacing w:val="-6"/>
                      <w:kern w:val="0"/>
                      <w:sz w:val="21"/>
                      <w:szCs w:val="21"/>
                      <w:highlight w:val="none"/>
                    </w:rPr>
                    <w:t>总附加剂量率(µSv/h)</w:t>
                  </w:r>
                </w:p>
              </w:tc>
              <w:tc>
                <w:tcPr>
                  <w:tcW w:w="481" w:type="pct"/>
                  <w:vMerge w:val="restart"/>
                  <w:noWrap w:val="0"/>
                  <w:vAlign w:val="center"/>
                </w:tcPr>
                <w:p w14:paraId="5B965A64">
                  <w:pPr>
                    <w:keepNext w:val="0"/>
                    <w:keepLines w:val="0"/>
                    <w:pageBreakBefore w:val="0"/>
                    <w:kinsoku/>
                    <w:wordWrap/>
                    <w:overflowPunct/>
                    <w:topLinePunct w:val="0"/>
                    <w:autoSpaceDE/>
                    <w:autoSpaceDN/>
                    <w:bidi w:val="0"/>
                    <w:adjustRightInd/>
                    <w:snapToGrid/>
                    <w:spacing w:line="280" w:lineRule="exact"/>
                    <w:jc w:val="center"/>
                    <w:rPr>
                      <w:rFonts w:hint="eastAsia"/>
                      <w:b/>
                      <w:bCs/>
                      <w:color w:val="auto"/>
                      <w:spacing w:val="-6"/>
                      <w:kern w:val="0"/>
                      <w:sz w:val="21"/>
                      <w:szCs w:val="21"/>
                      <w:highlight w:val="none"/>
                    </w:rPr>
                  </w:pPr>
                  <w:r>
                    <w:rPr>
                      <w:b/>
                      <w:bCs/>
                      <w:color w:val="auto"/>
                      <w:spacing w:val="-6"/>
                      <w:kern w:val="0"/>
                      <w:sz w:val="21"/>
                      <w:szCs w:val="21"/>
                      <w:highlight w:val="none"/>
                    </w:rPr>
                    <w:t>是否满足2.5μSv/h要求</w:t>
                  </w:r>
                </w:p>
              </w:tc>
            </w:tr>
            <w:tr w14:paraId="723FB7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blHeader/>
                <w:jc w:val="center"/>
              </w:trPr>
              <w:tc>
                <w:tcPr>
                  <w:tcW w:w="387" w:type="pct"/>
                  <w:vMerge w:val="continue"/>
                  <w:noWrap w:val="0"/>
                  <w:vAlign w:val="center"/>
                </w:tcPr>
                <w:p w14:paraId="407CA4D7">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343" w:type="pct"/>
                  <w:noWrap w:val="0"/>
                  <w:vAlign w:val="center"/>
                </w:tcPr>
                <w:p w14:paraId="04DCA735">
                  <w:pPr>
                    <w:keepNext w:val="0"/>
                    <w:keepLines w:val="0"/>
                    <w:pageBreakBefore w:val="0"/>
                    <w:kinsoku/>
                    <w:wordWrap/>
                    <w:overflowPunct/>
                    <w:topLinePunct w:val="0"/>
                    <w:autoSpaceDE/>
                    <w:autoSpaceDN/>
                    <w:bidi w:val="0"/>
                    <w:adjustRightInd/>
                    <w:snapToGrid/>
                    <w:spacing w:line="280" w:lineRule="exact"/>
                    <w:jc w:val="center"/>
                    <w:rPr>
                      <w:rFonts w:hint="eastAsia" w:eastAsia="宋体"/>
                      <w:b/>
                      <w:bCs/>
                      <w:color w:val="auto"/>
                      <w:spacing w:val="-11"/>
                      <w:kern w:val="0"/>
                      <w:sz w:val="21"/>
                      <w:szCs w:val="21"/>
                      <w:highlight w:val="none"/>
                      <w:lang w:val="en-US" w:eastAsia="zh-CN"/>
                    </w:rPr>
                  </w:pPr>
                  <w:r>
                    <w:rPr>
                      <w:rFonts w:hint="eastAsia"/>
                      <w:b/>
                      <w:bCs/>
                      <w:color w:val="auto"/>
                      <w:spacing w:val="-11"/>
                      <w:kern w:val="0"/>
                      <w:sz w:val="21"/>
                      <w:szCs w:val="21"/>
                      <w:highlight w:val="none"/>
                      <w:lang w:val="en-US" w:eastAsia="zh-CN"/>
                    </w:rPr>
                    <w:t>序号</w:t>
                  </w:r>
                </w:p>
              </w:tc>
              <w:tc>
                <w:tcPr>
                  <w:tcW w:w="1122" w:type="pct"/>
                  <w:noWrap w:val="0"/>
                  <w:vAlign w:val="center"/>
                </w:tcPr>
                <w:p w14:paraId="390FD3FD">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r>
                    <w:rPr>
                      <w:b/>
                      <w:bCs/>
                      <w:color w:val="auto"/>
                      <w:spacing w:val="-11"/>
                      <w:kern w:val="0"/>
                      <w:sz w:val="21"/>
                      <w:szCs w:val="21"/>
                      <w:highlight w:val="none"/>
                    </w:rPr>
                    <w:t>位置</w:t>
                  </w:r>
                </w:p>
              </w:tc>
              <w:tc>
                <w:tcPr>
                  <w:tcW w:w="385" w:type="pct"/>
                  <w:vMerge w:val="continue"/>
                  <w:noWrap w:val="0"/>
                  <w:vAlign w:val="center"/>
                </w:tcPr>
                <w:p w14:paraId="458D06A4">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586" w:type="pct"/>
                  <w:vMerge w:val="continue"/>
                  <w:noWrap w:val="0"/>
                  <w:vAlign w:val="center"/>
                </w:tcPr>
                <w:p w14:paraId="5A459DE0">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569" w:type="pct"/>
                  <w:vMerge w:val="continue"/>
                  <w:noWrap w:val="0"/>
                  <w:vAlign w:val="center"/>
                </w:tcPr>
                <w:p w14:paraId="34E53C0C">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578" w:type="pct"/>
                  <w:vMerge w:val="continue"/>
                  <w:noWrap w:val="0"/>
                  <w:vAlign w:val="center"/>
                </w:tcPr>
                <w:p w14:paraId="1273660A">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544" w:type="pct"/>
                  <w:vMerge w:val="continue"/>
                  <w:noWrap w:val="0"/>
                  <w:vAlign w:val="center"/>
                </w:tcPr>
                <w:p w14:paraId="538DC25C">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c>
                <w:tcPr>
                  <w:tcW w:w="481" w:type="pct"/>
                  <w:vMerge w:val="continue"/>
                  <w:noWrap w:val="0"/>
                  <w:vAlign w:val="center"/>
                </w:tcPr>
                <w:p w14:paraId="24438ED4">
                  <w:pPr>
                    <w:keepNext w:val="0"/>
                    <w:keepLines w:val="0"/>
                    <w:pageBreakBefore w:val="0"/>
                    <w:kinsoku/>
                    <w:wordWrap/>
                    <w:overflowPunct/>
                    <w:topLinePunct w:val="0"/>
                    <w:autoSpaceDE/>
                    <w:autoSpaceDN/>
                    <w:bidi w:val="0"/>
                    <w:adjustRightInd/>
                    <w:snapToGrid/>
                    <w:spacing w:line="280" w:lineRule="exact"/>
                    <w:jc w:val="center"/>
                    <w:rPr>
                      <w:b/>
                      <w:bCs/>
                      <w:color w:val="auto"/>
                      <w:spacing w:val="-11"/>
                      <w:kern w:val="0"/>
                      <w:sz w:val="21"/>
                      <w:szCs w:val="21"/>
                      <w:highlight w:val="none"/>
                    </w:rPr>
                  </w:pPr>
                </w:p>
              </w:tc>
            </w:tr>
            <w:tr w14:paraId="6C96D7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restart"/>
                  <w:shd w:val="clear" w:color="auto" w:fill="auto"/>
                  <w:noWrap w:val="0"/>
                  <w:vAlign w:val="center"/>
                </w:tcPr>
                <w:p w14:paraId="7B48E5E2">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pacing w:val="0"/>
                      <w:sz w:val="21"/>
                      <w:szCs w:val="21"/>
                      <w:highlight w:val="none"/>
                      <w:lang w:val="en-US" w:eastAsia="zh-CN"/>
                    </w:rPr>
                    <w:t>DSA+CT复合手术室</w:t>
                  </w:r>
                </w:p>
              </w:tc>
              <w:tc>
                <w:tcPr>
                  <w:tcW w:w="343" w:type="pct"/>
                  <w:vMerge w:val="restart"/>
                  <w:shd w:val="clear" w:color="auto" w:fill="auto"/>
                  <w:noWrap w:val="0"/>
                  <w:vAlign w:val="center"/>
                </w:tcPr>
                <w:p w14:paraId="1847F2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rPr>
                    <w:t>1</w:t>
                  </w:r>
                </w:p>
              </w:tc>
              <w:tc>
                <w:tcPr>
                  <w:tcW w:w="1122" w:type="pct"/>
                  <w:vMerge w:val="restart"/>
                  <w:shd w:val="clear" w:color="auto" w:fill="auto"/>
                  <w:noWrap w:val="0"/>
                  <w:vAlign w:val="center"/>
                </w:tcPr>
                <w:p w14:paraId="5FAF7D3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机房北侧观察窗外侧1m（控制室操作位）</w:t>
                  </w:r>
                </w:p>
              </w:tc>
              <w:tc>
                <w:tcPr>
                  <w:tcW w:w="385" w:type="pct"/>
                  <w:shd w:val="clear" w:color="auto" w:fill="auto"/>
                  <w:noWrap w:val="0"/>
                  <w:vAlign w:val="center"/>
                </w:tcPr>
                <w:p w14:paraId="040F05D7">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14908C61">
                  <w:pPr>
                    <w:keepNext w:val="0"/>
                    <w:keepLines w:val="0"/>
                    <w:pageBreakBefore w:val="0"/>
                    <w:kinsoku/>
                    <w:wordWrap/>
                    <w:overflowPunct/>
                    <w:topLinePunct w:val="0"/>
                    <w:autoSpaceDE/>
                    <w:autoSpaceDN/>
                    <w:bidi w:val="0"/>
                    <w:adjustRightInd/>
                    <w:snapToGrid/>
                    <w:spacing w:line="280" w:lineRule="exact"/>
                    <w:jc w:val="center"/>
                    <w:rPr>
                      <w:rFonts w:hint="eastAsia"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9D8FF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3.09E-06</w:t>
                  </w:r>
                </w:p>
              </w:tc>
              <w:tc>
                <w:tcPr>
                  <w:tcW w:w="578" w:type="pct"/>
                  <w:shd w:val="clear" w:color="auto" w:fill="auto"/>
                  <w:noWrap w:val="0"/>
                  <w:vAlign w:val="center"/>
                </w:tcPr>
                <w:p w14:paraId="60137E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1.65E-06</w:t>
                  </w:r>
                </w:p>
              </w:tc>
              <w:tc>
                <w:tcPr>
                  <w:tcW w:w="544" w:type="pct"/>
                  <w:noWrap w:val="0"/>
                  <w:vAlign w:val="center"/>
                </w:tcPr>
                <w:p w14:paraId="667356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4.74E-06</w:t>
                  </w:r>
                </w:p>
              </w:tc>
              <w:tc>
                <w:tcPr>
                  <w:tcW w:w="481" w:type="pct"/>
                  <w:noWrap w:val="0"/>
                  <w:vAlign w:val="center"/>
                </w:tcPr>
                <w:p w14:paraId="63EB25F3">
                  <w:pPr>
                    <w:keepNext w:val="0"/>
                    <w:keepLines w:val="0"/>
                    <w:pageBreakBefore w:val="0"/>
                    <w:kinsoku/>
                    <w:wordWrap/>
                    <w:overflowPunct/>
                    <w:topLinePunct w:val="0"/>
                    <w:autoSpaceDE/>
                    <w:autoSpaceDN/>
                    <w:bidi w:val="0"/>
                    <w:adjustRightInd/>
                    <w:snapToGrid/>
                    <w:spacing w:line="280" w:lineRule="exact"/>
                    <w:jc w:val="center"/>
                    <w:rPr>
                      <w:rFonts w:hint="eastAsia"/>
                      <w:color w:val="auto"/>
                      <w:sz w:val="21"/>
                      <w:szCs w:val="21"/>
                      <w:highlight w:val="none"/>
                    </w:rPr>
                  </w:pPr>
                  <w:r>
                    <w:rPr>
                      <w:color w:val="auto"/>
                      <w:spacing w:val="-11"/>
                      <w:kern w:val="0"/>
                      <w:sz w:val="21"/>
                      <w:szCs w:val="21"/>
                      <w:highlight w:val="none"/>
                    </w:rPr>
                    <w:t>满足</w:t>
                  </w:r>
                </w:p>
              </w:tc>
            </w:tr>
            <w:tr w14:paraId="39099F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DA4D3A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81C4CF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084A639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7FBCE3A">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2D65E3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35672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8.92E-03</w:t>
                  </w:r>
                </w:p>
              </w:tc>
              <w:tc>
                <w:tcPr>
                  <w:tcW w:w="578" w:type="pct"/>
                  <w:shd w:val="clear" w:color="auto" w:fill="auto"/>
                  <w:noWrap w:val="0"/>
                  <w:vAlign w:val="center"/>
                </w:tcPr>
                <w:p w14:paraId="066E96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6.12E-05</w:t>
                  </w:r>
                </w:p>
              </w:tc>
              <w:tc>
                <w:tcPr>
                  <w:tcW w:w="544" w:type="pct"/>
                  <w:noWrap w:val="0"/>
                  <w:vAlign w:val="center"/>
                </w:tcPr>
                <w:p w14:paraId="7B87A7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481" w:type="pct"/>
                  <w:noWrap w:val="0"/>
                  <w:vAlign w:val="center"/>
                </w:tcPr>
                <w:p w14:paraId="1D0D1AB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74767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90B5A3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E9CB08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2</w:t>
                  </w:r>
                </w:p>
              </w:tc>
              <w:tc>
                <w:tcPr>
                  <w:tcW w:w="1122" w:type="pct"/>
                  <w:vMerge w:val="restart"/>
                  <w:shd w:val="clear" w:color="auto" w:fill="auto"/>
                  <w:noWrap w:val="0"/>
                  <w:vAlign w:val="center"/>
                </w:tcPr>
                <w:p w14:paraId="554A366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机房北侧控制室门外侧30cm（控制室）</w:t>
                  </w:r>
                </w:p>
              </w:tc>
              <w:tc>
                <w:tcPr>
                  <w:tcW w:w="385" w:type="pct"/>
                  <w:shd w:val="clear" w:color="auto" w:fill="auto"/>
                  <w:noWrap w:val="0"/>
                  <w:vAlign w:val="center"/>
                </w:tcPr>
                <w:p w14:paraId="255D2AE2">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B7499F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15158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3.18E-06</w:t>
                  </w:r>
                </w:p>
              </w:tc>
              <w:tc>
                <w:tcPr>
                  <w:tcW w:w="578" w:type="pct"/>
                  <w:shd w:val="clear" w:color="auto" w:fill="auto"/>
                  <w:noWrap w:val="0"/>
                  <w:vAlign w:val="center"/>
                </w:tcPr>
                <w:p w14:paraId="44312C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1.69E-06</w:t>
                  </w:r>
                </w:p>
              </w:tc>
              <w:tc>
                <w:tcPr>
                  <w:tcW w:w="544" w:type="pct"/>
                  <w:noWrap w:val="0"/>
                  <w:vAlign w:val="center"/>
                </w:tcPr>
                <w:p w14:paraId="30F689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4.87E-06</w:t>
                  </w:r>
                </w:p>
              </w:tc>
              <w:tc>
                <w:tcPr>
                  <w:tcW w:w="481" w:type="pct"/>
                  <w:noWrap w:val="0"/>
                  <w:vAlign w:val="center"/>
                </w:tcPr>
                <w:p w14:paraId="3561D3D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86E92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AD1C31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034C2B8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181DAF3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2200E1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04E6D1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20E51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9.15E-03</w:t>
                  </w:r>
                </w:p>
              </w:tc>
              <w:tc>
                <w:tcPr>
                  <w:tcW w:w="578" w:type="pct"/>
                  <w:shd w:val="clear" w:color="auto" w:fill="auto"/>
                  <w:noWrap w:val="0"/>
                  <w:vAlign w:val="center"/>
                </w:tcPr>
                <w:p w14:paraId="3DF78C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6.28E-05</w:t>
                  </w:r>
                </w:p>
              </w:tc>
              <w:tc>
                <w:tcPr>
                  <w:tcW w:w="544" w:type="pct"/>
                  <w:noWrap w:val="0"/>
                  <w:vAlign w:val="center"/>
                </w:tcPr>
                <w:p w14:paraId="78F14F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9.21E-03</w:t>
                  </w:r>
                </w:p>
              </w:tc>
              <w:tc>
                <w:tcPr>
                  <w:tcW w:w="481" w:type="pct"/>
                  <w:noWrap w:val="0"/>
                  <w:vAlign w:val="center"/>
                </w:tcPr>
                <w:p w14:paraId="20C37F3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B9BE1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D7ADEC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33EA7A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rPr>
                    <w:t>3</w:t>
                  </w:r>
                </w:p>
              </w:tc>
              <w:tc>
                <w:tcPr>
                  <w:tcW w:w="1122" w:type="pct"/>
                  <w:vMerge w:val="restart"/>
                  <w:shd w:val="clear" w:color="auto" w:fill="auto"/>
                  <w:noWrap w:val="0"/>
                  <w:vAlign w:val="center"/>
                </w:tcPr>
                <w:p w14:paraId="309144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机房北侧墙体外侧30cm（控制室）</w:t>
                  </w:r>
                </w:p>
              </w:tc>
              <w:tc>
                <w:tcPr>
                  <w:tcW w:w="385" w:type="pct"/>
                  <w:shd w:val="clear" w:color="auto" w:fill="auto"/>
                  <w:noWrap w:val="0"/>
                  <w:vAlign w:val="center"/>
                </w:tcPr>
                <w:p w14:paraId="347B9C0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0B53F52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68C39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2.55E-06</w:t>
                  </w:r>
                </w:p>
              </w:tc>
              <w:tc>
                <w:tcPr>
                  <w:tcW w:w="578" w:type="pct"/>
                  <w:shd w:val="clear" w:color="auto" w:fill="auto"/>
                  <w:noWrap w:val="0"/>
                  <w:vAlign w:val="center"/>
                </w:tcPr>
                <w:p w14:paraId="69CD82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1.36E-06</w:t>
                  </w:r>
                </w:p>
              </w:tc>
              <w:tc>
                <w:tcPr>
                  <w:tcW w:w="544" w:type="pct"/>
                  <w:noWrap w:val="0"/>
                  <w:vAlign w:val="center"/>
                </w:tcPr>
                <w:p w14:paraId="207A45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3.91E-06</w:t>
                  </w:r>
                </w:p>
              </w:tc>
              <w:tc>
                <w:tcPr>
                  <w:tcW w:w="481" w:type="pct"/>
                  <w:noWrap w:val="0"/>
                  <w:vAlign w:val="center"/>
                </w:tcPr>
                <w:p w14:paraId="3F789FF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37AF1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54CA82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8E9FFC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7A781C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79519F7">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7F73A86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C0606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7.99E-03</w:t>
                  </w:r>
                </w:p>
              </w:tc>
              <w:tc>
                <w:tcPr>
                  <w:tcW w:w="578" w:type="pct"/>
                  <w:shd w:val="clear" w:color="auto" w:fill="auto"/>
                  <w:noWrap w:val="0"/>
                  <w:vAlign w:val="center"/>
                </w:tcPr>
                <w:p w14:paraId="2C6A5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5.49E-05</w:t>
                  </w:r>
                </w:p>
              </w:tc>
              <w:tc>
                <w:tcPr>
                  <w:tcW w:w="544" w:type="pct"/>
                  <w:noWrap w:val="0"/>
                  <w:vAlign w:val="center"/>
                </w:tcPr>
                <w:p w14:paraId="099488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8.04E-03</w:t>
                  </w:r>
                </w:p>
              </w:tc>
              <w:tc>
                <w:tcPr>
                  <w:tcW w:w="481" w:type="pct"/>
                  <w:noWrap w:val="0"/>
                  <w:vAlign w:val="center"/>
                </w:tcPr>
                <w:p w14:paraId="19D42B2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55AE6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A48367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5E7380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olor w:val="auto"/>
                      <w:spacing w:val="0"/>
                      <w:kern w:val="0"/>
                      <w:sz w:val="21"/>
                      <w:szCs w:val="21"/>
                      <w:highlight w:val="none"/>
                      <w:lang w:val="en-US" w:eastAsia="zh-CN"/>
                    </w:rPr>
                    <w:t>4</w:t>
                  </w:r>
                </w:p>
              </w:tc>
              <w:tc>
                <w:tcPr>
                  <w:tcW w:w="1122" w:type="pct"/>
                  <w:vMerge w:val="restart"/>
                  <w:shd w:val="clear" w:color="auto" w:fill="auto"/>
                  <w:noWrap w:val="0"/>
                  <w:vAlign w:val="center"/>
                </w:tcPr>
                <w:p w14:paraId="4C46A0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0"/>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机房东侧医生通道门外侧30cm（医生通道）</w:t>
                  </w:r>
                </w:p>
              </w:tc>
              <w:tc>
                <w:tcPr>
                  <w:tcW w:w="385" w:type="pct"/>
                  <w:shd w:val="clear" w:color="auto" w:fill="auto"/>
                  <w:noWrap w:val="0"/>
                  <w:vAlign w:val="center"/>
                </w:tcPr>
                <w:p w14:paraId="76A40B4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55F3488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1F2BD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7.84E-06</w:t>
                  </w:r>
                </w:p>
              </w:tc>
              <w:tc>
                <w:tcPr>
                  <w:tcW w:w="578" w:type="pct"/>
                  <w:shd w:val="clear" w:color="auto" w:fill="auto"/>
                  <w:noWrap w:val="0"/>
                  <w:vAlign w:val="center"/>
                </w:tcPr>
                <w:p w14:paraId="3FCE69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4.17E-06</w:t>
                  </w:r>
                </w:p>
              </w:tc>
              <w:tc>
                <w:tcPr>
                  <w:tcW w:w="544" w:type="pct"/>
                  <w:noWrap w:val="0"/>
                  <w:vAlign w:val="center"/>
                </w:tcPr>
                <w:p w14:paraId="08CA30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1.20E-05</w:t>
                  </w:r>
                </w:p>
              </w:tc>
              <w:tc>
                <w:tcPr>
                  <w:tcW w:w="481" w:type="pct"/>
                  <w:noWrap w:val="0"/>
                  <w:vAlign w:val="center"/>
                </w:tcPr>
                <w:p w14:paraId="70F5358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C99D4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A80AED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0470A0D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6ECBCE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118F2B1">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00E9F0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D5131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2.26E-02</w:t>
                  </w:r>
                </w:p>
              </w:tc>
              <w:tc>
                <w:tcPr>
                  <w:tcW w:w="578" w:type="pct"/>
                  <w:shd w:val="clear" w:color="auto" w:fill="auto"/>
                  <w:noWrap w:val="0"/>
                  <w:vAlign w:val="center"/>
                </w:tcPr>
                <w:p w14:paraId="14A146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1.55E-04</w:t>
                  </w:r>
                </w:p>
              </w:tc>
              <w:tc>
                <w:tcPr>
                  <w:tcW w:w="544" w:type="pct"/>
                  <w:noWrap w:val="0"/>
                  <w:vAlign w:val="center"/>
                </w:tcPr>
                <w:p w14:paraId="7FC647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2.28E-02</w:t>
                  </w:r>
                </w:p>
              </w:tc>
              <w:tc>
                <w:tcPr>
                  <w:tcW w:w="481" w:type="pct"/>
                  <w:noWrap w:val="0"/>
                  <w:vAlign w:val="center"/>
                </w:tcPr>
                <w:p w14:paraId="3A58176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4F83E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27A271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422228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5</w:t>
                  </w:r>
                </w:p>
              </w:tc>
              <w:tc>
                <w:tcPr>
                  <w:tcW w:w="1122" w:type="pct"/>
                  <w:vMerge w:val="restart"/>
                  <w:shd w:val="clear" w:color="auto" w:fill="auto"/>
                  <w:noWrap w:val="0"/>
                  <w:vAlign w:val="center"/>
                </w:tcPr>
                <w:p w14:paraId="2544CA6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机房东侧墙体外侧30cm（手术室OR14）</w:t>
                  </w:r>
                </w:p>
              </w:tc>
              <w:tc>
                <w:tcPr>
                  <w:tcW w:w="385" w:type="pct"/>
                  <w:shd w:val="clear" w:color="auto" w:fill="auto"/>
                  <w:noWrap w:val="0"/>
                  <w:vAlign w:val="center"/>
                </w:tcPr>
                <w:p w14:paraId="7C69F86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F6F81F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9DAAB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5.65E-06</w:t>
                  </w:r>
                </w:p>
              </w:tc>
              <w:tc>
                <w:tcPr>
                  <w:tcW w:w="578" w:type="pct"/>
                  <w:shd w:val="clear" w:color="auto" w:fill="auto"/>
                  <w:noWrap w:val="0"/>
                  <w:vAlign w:val="center"/>
                </w:tcPr>
                <w:p w14:paraId="7AB3AF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3.01E-06</w:t>
                  </w:r>
                </w:p>
              </w:tc>
              <w:tc>
                <w:tcPr>
                  <w:tcW w:w="544" w:type="pct"/>
                  <w:noWrap w:val="0"/>
                  <w:vAlign w:val="center"/>
                </w:tcPr>
                <w:p w14:paraId="4876C0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8.66E-06</w:t>
                  </w:r>
                </w:p>
              </w:tc>
              <w:tc>
                <w:tcPr>
                  <w:tcW w:w="481" w:type="pct"/>
                  <w:noWrap w:val="0"/>
                  <w:vAlign w:val="center"/>
                </w:tcPr>
                <w:p w14:paraId="1BBB6E7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878D2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A73204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7B9F6A8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3BB143F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28C9E0E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7EBCB2E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A2F7E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1.77E-02</w:t>
                  </w:r>
                </w:p>
              </w:tc>
              <w:tc>
                <w:tcPr>
                  <w:tcW w:w="578" w:type="pct"/>
                  <w:shd w:val="clear" w:color="auto" w:fill="auto"/>
                  <w:noWrap w:val="0"/>
                  <w:vAlign w:val="center"/>
                </w:tcPr>
                <w:p w14:paraId="4EE922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1.22E-04</w:t>
                  </w:r>
                </w:p>
              </w:tc>
              <w:tc>
                <w:tcPr>
                  <w:tcW w:w="544" w:type="pct"/>
                  <w:noWrap w:val="0"/>
                  <w:vAlign w:val="center"/>
                </w:tcPr>
                <w:p w14:paraId="6589CE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1.78E-02</w:t>
                  </w:r>
                </w:p>
              </w:tc>
              <w:tc>
                <w:tcPr>
                  <w:tcW w:w="481" w:type="pct"/>
                  <w:noWrap w:val="0"/>
                  <w:vAlign w:val="center"/>
                </w:tcPr>
                <w:p w14:paraId="32D064F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F926B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6084FE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6CA734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6</w:t>
                  </w:r>
                </w:p>
              </w:tc>
              <w:tc>
                <w:tcPr>
                  <w:tcW w:w="1122" w:type="pct"/>
                  <w:vMerge w:val="restart"/>
                  <w:shd w:val="clear" w:color="auto" w:fill="auto"/>
                  <w:noWrap w:val="0"/>
                  <w:vAlign w:val="center"/>
                </w:tcPr>
                <w:p w14:paraId="265EB2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机房南侧CT通道门外侧30cm（CT设备间）</w:t>
                  </w:r>
                </w:p>
              </w:tc>
              <w:tc>
                <w:tcPr>
                  <w:tcW w:w="385" w:type="pct"/>
                  <w:shd w:val="clear" w:color="auto" w:fill="auto"/>
                  <w:noWrap w:val="0"/>
                  <w:vAlign w:val="center"/>
                </w:tcPr>
                <w:p w14:paraId="018DF934">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710831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35093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9.30E-06</w:t>
                  </w:r>
                </w:p>
              </w:tc>
              <w:tc>
                <w:tcPr>
                  <w:tcW w:w="578" w:type="pct"/>
                  <w:shd w:val="clear" w:color="auto" w:fill="auto"/>
                  <w:noWrap w:val="0"/>
                  <w:vAlign w:val="center"/>
                </w:tcPr>
                <w:p w14:paraId="77820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4.95E-06</w:t>
                  </w:r>
                </w:p>
              </w:tc>
              <w:tc>
                <w:tcPr>
                  <w:tcW w:w="544" w:type="pct"/>
                  <w:noWrap w:val="0"/>
                  <w:vAlign w:val="center"/>
                </w:tcPr>
                <w:p w14:paraId="5D658E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1.43E-05</w:t>
                  </w:r>
                </w:p>
              </w:tc>
              <w:tc>
                <w:tcPr>
                  <w:tcW w:w="481" w:type="pct"/>
                  <w:noWrap w:val="0"/>
                  <w:vAlign w:val="center"/>
                </w:tcPr>
                <w:p w14:paraId="2133D1D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47B0E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44D577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47DDCB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64BCCC5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8990B8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1829168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6D0BA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2.68E-02</w:t>
                  </w:r>
                </w:p>
              </w:tc>
              <w:tc>
                <w:tcPr>
                  <w:tcW w:w="578" w:type="pct"/>
                  <w:shd w:val="clear" w:color="auto" w:fill="auto"/>
                  <w:noWrap w:val="0"/>
                  <w:vAlign w:val="center"/>
                </w:tcPr>
                <w:p w14:paraId="26FC5D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1.84E-04</w:t>
                  </w:r>
                </w:p>
              </w:tc>
              <w:tc>
                <w:tcPr>
                  <w:tcW w:w="544" w:type="pct"/>
                  <w:noWrap w:val="0"/>
                  <w:vAlign w:val="center"/>
                </w:tcPr>
                <w:p w14:paraId="6FF591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2.70E-02</w:t>
                  </w:r>
                </w:p>
              </w:tc>
              <w:tc>
                <w:tcPr>
                  <w:tcW w:w="481" w:type="pct"/>
                  <w:noWrap w:val="0"/>
                  <w:vAlign w:val="center"/>
                </w:tcPr>
                <w:p w14:paraId="518F542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C5605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2731FA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67FDBD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7</w:t>
                  </w:r>
                </w:p>
              </w:tc>
              <w:tc>
                <w:tcPr>
                  <w:tcW w:w="1122" w:type="pct"/>
                  <w:vMerge w:val="restart"/>
                  <w:shd w:val="clear" w:color="auto" w:fill="auto"/>
                  <w:noWrap w:val="0"/>
                  <w:vAlign w:val="center"/>
                </w:tcPr>
                <w:p w14:paraId="7C1F9CC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机房南侧墙体外侧30cm（CT设备间）</w:t>
                  </w:r>
                </w:p>
              </w:tc>
              <w:tc>
                <w:tcPr>
                  <w:tcW w:w="385" w:type="pct"/>
                  <w:shd w:val="clear" w:color="auto" w:fill="auto"/>
                  <w:noWrap w:val="0"/>
                  <w:vAlign w:val="center"/>
                </w:tcPr>
                <w:p w14:paraId="282FDC4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9BEC48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A4B83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6.70E-06</w:t>
                  </w:r>
                </w:p>
              </w:tc>
              <w:tc>
                <w:tcPr>
                  <w:tcW w:w="578" w:type="pct"/>
                  <w:shd w:val="clear" w:color="auto" w:fill="auto"/>
                  <w:noWrap w:val="0"/>
                  <w:vAlign w:val="center"/>
                </w:tcPr>
                <w:p w14:paraId="6AF8EE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3.57E-06</w:t>
                  </w:r>
                </w:p>
              </w:tc>
              <w:tc>
                <w:tcPr>
                  <w:tcW w:w="544" w:type="pct"/>
                  <w:noWrap w:val="0"/>
                  <w:vAlign w:val="center"/>
                </w:tcPr>
                <w:p w14:paraId="18AE0B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1.03E-05</w:t>
                  </w:r>
                </w:p>
              </w:tc>
              <w:tc>
                <w:tcPr>
                  <w:tcW w:w="481" w:type="pct"/>
                  <w:noWrap w:val="0"/>
                  <w:vAlign w:val="center"/>
                </w:tcPr>
                <w:p w14:paraId="656CDDC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B9D6C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C9D808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A986BB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3EF1E8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B5F67B8">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1C2E60B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E0AB8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2.10E-02</w:t>
                  </w:r>
                </w:p>
              </w:tc>
              <w:tc>
                <w:tcPr>
                  <w:tcW w:w="578" w:type="pct"/>
                  <w:shd w:val="clear" w:color="auto" w:fill="auto"/>
                  <w:noWrap w:val="0"/>
                  <w:vAlign w:val="center"/>
                </w:tcPr>
                <w:p w14:paraId="7C4FB2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1.44E-04</w:t>
                  </w:r>
                </w:p>
              </w:tc>
              <w:tc>
                <w:tcPr>
                  <w:tcW w:w="544" w:type="pct"/>
                  <w:noWrap w:val="0"/>
                  <w:vAlign w:val="center"/>
                </w:tcPr>
                <w:p w14:paraId="047D59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2.11E-02</w:t>
                  </w:r>
                </w:p>
              </w:tc>
              <w:tc>
                <w:tcPr>
                  <w:tcW w:w="481" w:type="pct"/>
                  <w:noWrap w:val="0"/>
                  <w:vAlign w:val="center"/>
                </w:tcPr>
                <w:p w14:paraId="310E49F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B6397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D8BE54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13B56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8</w:t>
                  </w:r>
                </w:p>
              </w:tc>
              <w:tc>
                <w:tcPr>
                  <w:tcW w:w="1122" w:type="pct"/>
                  <w:vMerge w:val="restart"/>
                  <w:shd w:val="clear" w:color="auto" w:fill="auto"/>
                  <w:noWrap w:val="0"/>
                  <w:vAlign w:val="center"/>
                </w:tcPr>
                <w:p w14:paraId="333F89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机房南侧患者通道门外侧30cm（患者通道）</w:t>
                  </w:r>
                </w:p>
              </w:tc>
              <w:tc>
                <w:tcPr>
                  <w:tcW w:w="385" w:type="pct"/>
                  <w:shd w:val="clear" w:color="auto" w:fill="auto"/>
                  <w:noWrap w:val="0"/>
                  <w:vAlign w:val="center"/>
                </w:tcPr>
                <w:p w14:paraId="08FE25D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7171848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D9019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6.70E-06</w:t>
                  </w:r>
                </w:p>
              </w:tc>
              <w:tc>
                <w:tcPr>
                  <w:tcW w:w="578" w:type="pct"/>
                  <w:shd w:val="clear" w:color="auto" w:fill="auto"/>
                  <w:noWrap w:val="0"/>
                  <w:vAlign w:val="center"/>
                </w:tcPr>
                <w:p w14:paraId="38925F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3.57E-06</w:t>
                  </w:r>
                </w:p>
              </w:tc>
              <w:tc>
                <w:tcPr>
                  <w:tcW w:w="544" w:type="pct"/>
                  <w:noWrap w:val="0"/>
                  <w:vAlign w:val="center"/>
                </w:tcPr>
                <w:p w14:paraId="1FCECD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1.03E-05</w:t>
                  </w:r>
                </w:p>
              </w:tc>
              <w:tc>
                <w:tcPr>
                  <w:tcW w:w="481" w:type="pct"/>
                  <w:noWrap w:val="0"/>
                  <w:vAlign w:val="center"/>
                </w:tcPr>
                <w:p w14:paraId="0A435E7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AC56E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0375C3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08ED1C0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B7075C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305D59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4D8E0ED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C662B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1.93E-02</w:t>
                  </w:r>
                </w:p>
              </w:tc>
              <w:tc>
                <w:tcPr>
                  <w:tcW w:w="578" w:type="pct"/>
                  <w:shd w:val="clear" w:color="auto" w:fill="auto"/>
                  <w:noWrap w:val="0"/>
                  <w:vAlign w:val="center"/>
                </w:tcPr>
                <w:p w14:paraId="2F4984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1.33E-04</w:t>
                  </w:r>
                </w:p>
              </w:tc>
              <w:tc>
                <w:tcPr>
                  <w:tcW w:w="544" w:type="pct"/>
                  <w:noWrap w:val="0"/>
                  <w:vAlign w:val="center"/>
                </w:tcPr>
                <w:p w14:paraId="5B959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1.94E-02</w:t>
                  </w:r>
                </w:p>
              </w:tc>
              <w:tc>
                <w:tcPr>
                  <w:tcW w:w="481" w:type="pct"/>
                  <w:noWrap w:val="0"/>
                  <w:vAlign w:val="center"/>
                </w:tcPr>
                <w:p w14:paraId="717624F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2373C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2F10DA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757A0E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9</w:t>
                  </w:r>
                </w:p>
              </w:tc>
              <w:tc>
                <w:tcPr>
                  <w:tcW w:w="1122" w:type="pct"/>
                  <w:vMerge w:val="restart"/>
                  <w:shd w:val="clear" w:color="auto" w:fill="auto"/>
                  <w:noWrap w:val="0"/>
                  <w:vAlign w:val="center"/>
                </w:tcPr>
                <w:p w14:paraId="45C5002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机房西侧墙体外侧30cm（患者通道）</w:t>
                  </w:r>
                </w:p>
              </w:tc>
              <w:tc>
                <w:tcPr>
                  <w:tcW w:w="385" w:type="pct"/>
                  <w:shd w:val="clear" w:color="auto" w:fill="auto"/>
                  <w:noWrap w:val="0"/>
                  <w:vAlign w:val="center"/>
                </w:tcPr>
                <w:p w14:paraId="3A4744A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78B6959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5AC1D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6.14E-06</w:t>
                  </w:r>
                </w:p>
              </w:tc>
              <w:tc>
                <w:tcPr>
                  <w:tcW w:w="578" w:type="pct"/>
                  <w:shd w:val="clear" w:color="auto" w:fill="auto"/>
                  <w:noWrap w:val="0"/>
                  <w:vAlign w:val="center"/>
                </w:tcPr>
                <w:p w14:paraId="2BC391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3.27E-06</w:t>
                  </w:r>
                </w:p>
              </w:tc>
              <w:tc>
                <w:tcPr>
                  <w:tcW w:w="544" w:type="pct"/>
                  <w:noWrap w:val="0"/>
                  <w:vAlign w:val="center"/>
                </w:tcPr>
                <w:p w14:paraId="572614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9.41E-06</w:t>
                  </w:r>
                </w:p>
              </w:tc>
              <w:tc>
                <w:tcPr>
                  <w:tcW w:w="481" w:type="pct"/>
                  <w:noWrap w:val="0"/>
                  <w:vAlign w:val="center"/>
                </w:tcPr>
                <w:p w14:paraId="68A1025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3C967E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197961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53AAED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68662E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DEE637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72D7040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77784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1.93E-02</w:t>
                  </w:r>
                </w:p>
              </w:tc>
              <w:tc>
                <w:tcPr>
                  <w:tcW w:w="578" w:type="pct"/>
                  <w:shd w:val="clear" w:color="auto" w:fill="auto"/>
                  <w:noWrap w:val="0"/>
                  <w:vAlign w:val="center"/>
                </w:tcPr>
                <w:p w14:paraId="2C4FB8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c>
                <w:tcPr>
                  <w:tcW w:w="544" w:type="pct"/>
                  <w:noWrap w:val="0"/>
                  <w:vAlign w:val="center"/>
                </w:tcPr>
                <w:p w14:paraId="7FB7E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1.94E-02</w:t>
                  </w:r>
                </w:p>
              </w:tc>
              <w:tc>
                <w:tcPr>
                  <w:tcW w:w="481" w:type="pct"/>
                  <w:noWrap w:val="0"/>
                  <w:vAlign w:val="center"/>
                </w:tcPr>
                <w:p w14:paraId="1E9FD28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45645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5EBD76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CF16EDD">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10</w:t>
                  </w:r>
                </w:p>
              </w:tc>
              <w:tc>
                <w:tcPr>
                  <w:tcW w:w="1122" w:type="pct"/>
                  <w:vMerge w:val="restart"/>
                  <w:shd w:val="clear" w:color="auto" w:fill="auto"/>
                  <w:noWrap w:val="0"/>
                  <w:vAlign w:val="center"/>
                </w:tcPr>
                <w:p w14:paraId="150108C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机房顶板上方距地面30cm（屋顶）</w:t>
                  </w:r>
                </w:p>
              </w:tc>
              <w:tc>
                <w:tcPr>
                  <w:tcW w:w="385" w:type="pct"/>
                  <w:shd w:val="clear" w:color="auto" w:fill="auto"/>
                  <w:noWrap w:val="0"/>
                  <w:vAlign w:val="center"/>
                </w:tcPr>
                <w:p w14:paraId="7AB2421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shd w:val="clear" w:color="auto" w:fill="auto"/>
                  <w:noWrap w:val="0"/>
                  <w:vAlign w:val="center"/>
                </w:tcPr>
                <w:p w14:paraId="7040AB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4.16E-04</w:t>
                  </w:r>
                </w:p>
              </w:tc>
              <w:tc>
                <w:tcPr>
                  <w:tcW w:w="569" w:type="pct"/>
                  <w:shd w:val="clear" w:color="auto" w:fill="auto"/>
                  <w:noWrap w:val="0"/>
                  <w:vAlign w:val="center"/>
                </w:tcPr>
                <w:p w14:paraId="03643A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049DB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3E4121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4.16E-04</w:t>
                  </w:r>
                </w:p>
              </w:tc>
              <w:tc>
                <w:tcPr>
                  <w:tcW w:w="481" w:type="pct"/>
                  <w:noWrap w:val="0"/>
                  <w:vAlign w:val="center"/>
                </w:tcPr>
                <w:p w14:paraId="4432025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C390D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785A1C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C2BE43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38E9A0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12604E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shd w:val="clear" w:color="auto" w:fill="auto"/>
                  <w:noWrap w:val="0"/>
                  <w:vAlign w:val="center"/>
                </w:tcPr>
                <w:p w14:paraId="30F449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1.18E+00</w:t>
                  </w:r>
                </w:p>
              </w:tc>
              <w:tc>
                <w:tcPr>
                  <w:tcW w:w="569" w:type="pct"/>
                  <w:shd w:val="clear" w:color="auto" w:fill="auto"/>
                  <w:noWrap w:val="0"/>
                  <w:vAlign w:val="center"/>
                </w:tcPr>
                <w:p w14:paraId="23F323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51E522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355365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1.18E+00</w:t>
                  </w:r>
                </w:p>
              </w:tc>
              <w:tc>
                <w:tcPr>
                  <w:tcW w:w="481" w:type="pct"/>
                  <w:noWrap w:val="0"/>
                  <w:vAlign w:val="center"/>
                </w:tcPr>
                <w:p w14:paraId="597AF9B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E7EC3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6A956A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1AD7165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11</w:t>
                  </w:r>
                </w:p>
              </w:tc>
              <w:tc>
                <w:tcPr>
                  <w:tcW w:w="1122" w:type="pct"/>
                  <w:vMerge w:val="restart"/>
                  <w:shd w:val="clear" w:color="auto" w:fill="auto"/>
                  <w:noWrap w:val="0"/>
                  <w:vAlign w:val="center"/>
                </w:tcPr>
                <w:p w14:paraId="40D4315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385" w:type="pct"/>
                  <w:shd w:val="clear" w:color="auto" w:fill="auto"/>
                  <w:noWrap w:val="0"/>
                  <w:vAlign w:val="center"/>
                </w:tcPr>
                <w:p w14:paraId="3D4004B1">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A8879D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BCD7D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5.06E-05</w:t>
                  </w:r>
                </w:p>
              </w:tc>
              <w:tc>
                <w:tcPr>
                  <w:tcW w:w="578" w:type="pct"/>
                  <w:shd w:val="clear" w:color="auto" w:fill="auto"/>
                  <w:noWrap w:val="0"/>
                  <w:vAlign w:val="center"/>
                </w:tcPr>
                <w:p w14:paraId="1B461E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2.70E-05</w:t>
                  </w:r>
                </w:p>
              </w:tc>
              <w:tc>
                <w:tcPr>
                  <w:tcW w:w="544" w:type="pct"/>
                  <w:noWrap w:val="0"/>
                  <w:vAlign w:val="center"/>
                </w:tcPr>
                <w:p w14:paraId="70C0B2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7.76E-05</w:t>
                  </w:r>
                </w:p>
              </w:tc>
              <w:tc>
                <w:tcPr>
                  <w:tcW w:w="481" w:type="pct"/>
                  <w:noWrap w:val="0"/>
                  <w:vAlign w:val="center"/>
                </w:tcPr>
                <w:p w14:paraId="2622A62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4CE5C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E9E97F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7B98D20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03B0F0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35E3980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788A111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009AE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9.20E-02</w:t>
                  </w:r>
                </w:p>
              </w:tc>
              <w:tc>
                <w:tcPr>
                  <w:tcW w:w="578" w:type="pct"/>
                  <w:shd w:val="clear" w:color="auto" w:fill="auto"/>
                  <w:noWrap w:val="0"/>
                  <w:vAlign w:val="center"/>
                </w:tcPr>
                <w:p w14:paraId="48215D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6.31E-04</w:t>
                  </w:r>
                </w:p>
              </w:tc>
              <w:tc>
                <w:tcPr>
                  <w:tcW w:w="544" w:type="pct"/>
                  <w:noWrap w:val="0"/>
                  <w:vAlign w:val="center"/>
                </w:tcPr>
                <w:p w14:paraId="0DC1C5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9.26E-02</w:t>
                  </w:r>
                </w:p>
              </w:tc>
              <w:tc>
                <w:tcPr>
                  <w:tcW w:w="481" w:type="pct"/>
                  <w:noWrap w:val="0"/>
                  <w:vAlign w:val="center"/>
                </w:tcPr>
                <w:p w14:paraId="5B8E95B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BA4F2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restart"/>
                  <w:shd w:val="clear" w:color="auto" w:fill="auto"/>
                  <w:noWrap w:val="0"/>
                  <w:vAlign w:val="center"/>
                </w:tcPr>
                <w:p w14:paraId="3FF0083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bCs/>
                      <w:sz w:val="21"/>
                      <w:szCs w:val="21"/>
                      <w:lang w:val="en-US" w:eastAsia="zh-CN"/>
                    </w:rPr>
                    <w:t>DSA手术室OR09</w:t>
                  </w:r>
                </w:p>
              </w:tc>
              <w:tc>
                <w:tcPr>
                  <w:tcW w:w="343" w:type="pct"/>
                  <w:vMerge w:val="restart"/>
                  <w:shd w:val="clear" w:color="auto" w:fill="auto"/>
                  <w:noWrap w:val="0"/>
                  <w:vAlign w:val="center"/>
                </w:tcPr>
                <w:p w14:paraId="524E616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12</w:t>
                  </w:r>
                </w:p>
              </w:tc>
              <w:tc>
                <w:tcPr>
                  <w:tcW w:w="1122" w:type="pct"/>
                  <w:vMerge w:val="restart"/>
                  <w:shd w:val="clear" w:color="auto" w:fill="auto"/>
                  <w:noWrap w:val="0"/>
                  <w:vAlign w:val="center"/>
                </w:tcPr>
                <w:p w14:paraId="55B4858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机房北侧患者通道门外侧30cm（患者通道）</w:t>
                  </w:r>
                </w:p>
              </w:tc>
              <w:tc>
                <w:tcPr>
                  <w:tcW w:w="385" w:type="pct"/>
                  <w:shd w:val="clear" w:color="auto" w:fill="auto"/>
                  <w:noWrap w:val="0"/>
                  <w:vAlign w:val="center"/>
                </w:tcPr>
                <w:p w14:paraId="7339858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A5F0F8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29AB4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5.23E-06</w:t>
                  </w:r>
                </w:p>
              </w:tc>
              <w:tc>
                <w:tcPr>
                  <w:tcW w:w="578" w:type="pct"/>
                  <w:shd w:val="clear" w:color="auto" w:fill="auto"/>
                  <w:noWrap w:val="0"/>
                  <w:vAlign w:val="center"/>
                </w:tcPr>
                <w:p w14:paraId="4B3433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2.78E-06</w:t>
                  </w:r>
                </w:p>
              </w:tc>
              <w:tc>
                <w:tcPr>
                  <w:tcW w:w="544" w:type="pct"/>
                  <w:noWrap w:val="0"/>
                  <w:vAlign w:val="center"/>
                </w:tcPr>
                <w:p w14:paraId="794D27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8.01E-06</w:t>
                  </w:r>
                </w:p>
              </w:tc>
              <w:tc>
                <w:tcPr>
                  <w:tcW w:w="481" w:type="pct"/>
                  <w:noWrap w:val="0"/>
                  <w:vAlign w:val="center"/>
                </w:tcPr>
                <w:p w14:paraId="3504D84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574E6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2C5496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26F43BC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66BAF62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E138CB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4AED463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2577F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1.51E-02</w:t>
                  </w:r>
                </w:p>
              </w:tc>
              <w:tc>
                <w:tcPr>
                  <w:tcW w:w="578" w:type="pct"/>
                  <w:shd w:val="clear" w:color="auto" w:fill="auto"/>
                  <w:noWrap w:val="0"/>
                  <w:vAlign w:val="center"/>
                </w:tcPr>
                <w:p w14:paraId="4CA89E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1.03E-04</w:t>
                  </w:r>
                </w:p>
              </w:tc>
              <w:tc>
                <w:tcPr>
                  <w:tcW w:w="544" w:type="pct"/>
                  <w:noWrap w:val="0"/>
                  <w:vAlign w:val="center"/>
                </w:tcPr>
                <w:p w14:paraId="61F37D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1.52E-02</w:t>
                  </w:r>
                </w:p>
              </w:tc>
              <w:tc>
                <w:tcPr>
                  <w:tcW w:w="481" w:type="pct"/>
                  <w:noWrap w:val="0"/>
                  <w:vAlign w:val="center"/>
                </w:tcPr>
                <w:p w14:paraId="0C9B3D3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20AB2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D7BADE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3B5818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13</w:t>
                  </w:r>
                </w:p>
              </w:tc>
              <w:tc>
                <w:tcPr>
                  <w:tcW w:w="1122" w:type="pct"/>
                  <w:vMerge w:val="restart"/>
                  <w:shd w:val="clear" w:color="auto" w:fill="auto"/>
                  <w:noWrap w:val="0"/>
                  <w:vAlign w:val="center"/>
                </w:tcPr>
                <w:p w14:paraId="5CBEE1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机房北侧墙体外侧30cm（患者通道）</w:t>
                  </w:r>
                </w:p>
              </w:tc>
              <w:tc>
                <w:tcPr>
                  <w:tcW w:w="385" w:type="pct"/>
                  <w:shd w:val="clear" w:color="auto" w:fill="auto"/>
                  <w:noWrap w:val="0"/>
                  <w:vAlign w:val="center"/>
                </w:tcPr>
                <w:p w14:paraId="024AF204">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D9F7F5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516D9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5.05E-05</w:t>
                  </w:r>
                </w:p>
              </w:tc>
              <w:tc>
                <w:tcPr>
                  <w:tcW w:w="578" w:type="pct"/>
                  <w:shd w:val="clear" w:color="auto" w:fill="auto"/>
                  <w:noWrap w:val="0"/>
                  <w:vAlign w:val="center"/>
                </w:tcPr>
                <w:p w14:paraId="614D7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2.69E-05</w:t>
                  </w:r>
                </w:p>
              </w:tc>
              <w:tc>
                <w:tcPr>
                  <w:tcW w:w="544" w:type="pct"/>
                  <w:noWrap w:val="0"/>
                  <w:vAlign w:val="center"/>
                </w:tcPr>
                <w:p w14:paraId="614FB5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7.74E-05</w:t>
                  </w:r>
                </w:p>
              </w:tc>
              <w:tc>
                <w:tcPr>
                  <w:tcW w:w="481" w:type="pct"/>
                  <w:noWrap w:val="0"/>
                  <w:vAlign w:val="center"/>
                </w:tcPr>
                <w:p w14:paraId="1F50C25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63ACC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869692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0B4E14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2A8C47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7B18AE4">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7D5985F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1ADD4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8.18E-02</w:t>
                  </w:r>
                </w:p>
              </w:tc>
              <w:tc>
                <w:tcPr>
                  <w:tcW w:w="578" w:type="pct"/>
                  <w:shd w:val="clear" w:color="auto" w:fill="auto"/>
                  <w:noWrap w:val="0"/>
                  <w:vAlign w:val="center"/>
                </w:tcPr>
                <w:p w14:paraId="13007B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5.61E-04</w:t>
                  </w:r>
                </w:p>
              </w:tc>
              <w:tc>
                <w:tcPr>
                  <w:tcW w:w="544" w:type="pct"/>
                  <w:noWrap w:val="0"/>
                  <w:vAlign w:val="center"/>
                </w:tcPr>
                <w:p w14:paraId="2611DE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8.24E-02</w:t>
                  </w:r>
                </w:p>
              </w:tc>
              <w:tc>
                <w:tcPr>
                  <w:tcW w:w="481" w:type="pct"/>
                  <w:noWrap w:val="0"/>
                  <w:vAlign w:val="center"/>
                </w:tcPr>
                <w:p w14:paraId="68FFB44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6DB55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B31F73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19BA13A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14</w:t>
                  </w:r>
                </w:p>
              </w:tc>
              <w:tc>
                <w:tcPr>
                  <w:tcW w:w="1122" w:type="pct"/>
                  <w:vMerge w:val="restart"/>
                  <w:shd w:val="clear" w:color="auto" w:fill="auto"/>
                  <w:noWrap w:val="0"/>
                  <w:vAlign w:val="center"/>
                </w:tcPr>
                <w:p w14:paraId="5E256A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机房东侧观察窗外侧1m（控制室操作位）</w:t>
                  </w:r>
                </w:p>
              </w:tc>
              <w:tc>
                <w:tcPr>
                  <w:tcW w:w="385" w:type="pct"/>
                  <w:shd w:val="clear" w:color="auto" w:fill="auto"/>
                  <w:noWrap w:val="0"/>
                  <w:vAlign w:val="center"/>
                </w:tcPr>
                <w:p w14:paraId="4DD803A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1698DEA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4F21E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6.70E-06</w:t>
                  </w:r>
                </w:p>
              </w:tc>
              <w:tc>
                <w:tcPr>
                  <w:tcW w:w="578" w:type="pct"/>
                  <w:shd w:val="clear" w:color="auto" w:fill="auto"/>
                  <w:noWrap w:val="0"/>
                  <w:vAlign w:val="center"/>
                </w:tcPr>
                <w:p w14:paraId="31AE25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3.57E-06</w:t>
                  </w:r>
                </w:p>
              </w:tc>
              <w:tc>
                <w:tcPr>
                  <w:tcW w:w="544" w:type="pct"/>
                  <w:noWrap w:val="0"/>
                  <w:vAlign w:val="center"/>
                </w:tcPr>
                <w:p w14:paraId="7C6BC3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1.03E-05</w:t>
                  </w:r>
                </w:p>
              </w:tc>
              <w:tc>
                <w:tcPr>
                  <w:tcW w:w="481" w:type="pct"/>
                  <w:noWrap w:val="0"/>
                  <w:vAlign w:val="center"/>
                </w:tcPr>
                <w:p w14:paraId="5D18E2B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7E1F3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D6F98A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4650F60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B21204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65BD141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64057E1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4B849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1.93E-02</w:t>
                  </w:r>
                </w:p>
              </w:tc>
              <w:tc>
                <w:tcPr>
                  <w:tcW w:w="578" w:type="pct"/>
                  <w:shd w:val="clear" w:color="auto" w:fill="auto"/>
                  <w:noWrap w:val="0"/>
                  <w:vAlign w:val="center"/>
                </w:tcPr>
                <w:p w14:paraId="00DD10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1.33E-04</w:t>
                  </w:r>
                </w:p>
              </w:tc>
              <w:tc>
                <w:tcPr>
                  <w:tcW w:w="544" w:type="pct"/>
                  <w:noWrap w:val="0"/>
                  <w:vAlign w:val="center"/>
                </w:tcPr>
                <w:p w14:paraId="12CB00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1.94E-02</w:t>
                  </w:r>
                </w:p>
              </w:tc>
              <w:tc>
                <w:tcPr>
                  <w:tcW w:w="481" w:type="pct"/>
                  <w:noWrap w:val="0"/>
                  <w:vAlign w:val="center"/>
                </w:tcPr>
                <w:p w14:paraId="7A558CF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8D7B3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EC8ED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2F4DE8A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15</w:t>
                  </w:r>
                </w:p>
              </w:tc>
              <w:tc>
                <w:tcPr>
                  <w:tcW w:w="1122" w:type="pct"/>
                  <w:vMerge w:val="restart"/>
                  <w:shd w:val="clear" w:color="auto" w:fill="auto"/>
                  <w:noWrap w:val="0"/>
                  <w:vAlign w:val="center"/>
                </w:tcPr>
                <w:p w14:paraId="17565C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机房东侧控制室门外侧30cm（共用控制室）</w:t>
                  </w:r>
                </w:p>
              </w:tc>
              <w:tc>
                <w:tcPr>
                  <w:tcW w:w="385" w:type="pct"/>
                  <w:shd w:val="clear" w:color="auto" w:fill="auto"/>
                  <w:noWrap w:val="0"/>
                  <w:vAlign w:val="center"/>
                </w:tcPr>
                <w:p w14:paraId="70F6FC33">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0E26F5D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AF32A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8.17E-06</w:t>
                  </w:r>
                </w:p>
              </w:tc>
              <w:tc>
                <w:tcPr>
                  <w:tcW w:w="578" w:type="pct"/>
                  <w:shd w:val="clear" w:color="auto" w:fill="auto"/>
                  <w:noWrap w:val="0"/>
                  <w:vAlign w:val="center"/>
                </w:tcPr>
                <w:p w14:paraId="27FAF0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4.35E-06</w:t>
                  </w:r>
                </w:p>
              </w:tc>
              <w:tc>
                <w:tcPr>
                  <w:tcW w:w="544" w:type="pct"/>
                  <w:noWrap w:val="0"/>
                  <w:vAlign w:val="center"/>
                </w:tcPr>
                <w:p w14:paraId="3A9A9A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1.25E-05</w:t>
                  </w:r>
                </w:p>
              </w:tc>
              <w:tc>
                <w:tcPr>
                  <w:tcW w:w="481" w:type="pct"/>
                  <w:noWrap w:val="0"/>
                  <w:vAlign w:val="center"/>
                </w:tcPr>
                <w:p w14:paraId="3E57CA7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CBA5D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B42154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719EA24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047EDB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3D5FF1B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37F7935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6E561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2.35E-02</w:t>
                  </w:r>
                </w:p>
              </w:tc>
              <w:tc>
                <w:tcPr>
                  <w:tcW w:w="578" w:type="pct"/>
                  <w:shd w:val="clear" w:color="auto" w:fill="auto"/>
                  <w:noWrap w:val="0"/>
                  <w:vAlign w:val="center"/>
                </w:tcPr>
                <w:p w14:paraId="13D543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1.62E-04</w:t>
                  </w:r>
                </w:p>
              </w:tc>
              <w:tc>
                <w:tcPr>
                  <w:tcW w:w="544" w:type="pct"/>
                  <w:noWrap w:val="0"/>
                  <w:vAlign w:val="center"/>
                </w:tcPr>
                <w:p w14:paraId="3F8B76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2.37E-02</w:t>
                  </w:r>
                </w:p>
              </w:tc>
              <w:tc>
                <w:tcPr>
                  <w:tcW w:w="481" w:type="pct"/>
                  <w:noWrap w:val="0"/>
                  <w:vAlign w:val="center"/>
                </w:tcPr>
                <w:p w14:paraId="05C6C4D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70E70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F3B6F6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22EC9A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16</w:t>
                  </w:r>
                </w:p>
              </w:tc>
              <w:tc>
                <w:tcPr>
                  <w:tcW w:w="1122" w:type="pct"/>
                  <w:vMerge w:val="restart"/>
                  <w:shd w:val="clear" w:color="auto" w:fill="auto"/>
                  <w:noWrap w:val="0"/>
                  <w:vAlign w:val="center"/>
                </w:tcPr>
                <w:p w14:paraId="064017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机房东侧墙体外侧30cm（共用控制室）</w:t>
                  </w:r>
                </w:p>
              </w:tc>
              <w:tc>
                <w:tcPr>
                  <w:tcW w:w="385" w:type="pct"/>
                  <w:shd w:val="clear" w:color="auto" w:fill="auto"/>
                  <w:noWrap w:val="0"/>
                  <w:vAlign w:val="center"/>
                </w:tcPr>
                <w:p w14:paraId="79CCEEE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BD2C38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D1675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9.18E-05</w:t>
                  </w:r>
                </w:p>
              </w:tc>
              <w:tc>
                <w:tcPr>
                  <w:tcW w:w="578" w:type="pct"/>
                  <w:shd w:val="clear" w:color="auto" w:fill="auto"/>
                  <w:noWrap w:val="0"/>
                  <w:vAlign w:val="center"/>
                </w:tcPr>
                <w:p w14:paraId="1DBC98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4.88E-05</w:t>
                  </w:r>
                </w:p>
              </w:tc>
              <w:tc>
                <w:tcPr>
                  <w:tcW w:w="544" w:type="pct"/>
                  <w:noWrap w:val="0"/>
                  <w:vAlign w:val="center"/>
                </w:tcPr>
                <w:p w14:paraId="449189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1.41E-04</w:t>
                  </w:r>
                </w:p>
              </w:tc>
              <w:tc>
                <w:tcPr>
                  <w:tcW w:w="481" w:type="pct"/>
                  <w:noWrap w:val="0"/>
                  <w:vAlign w:val="center"/>
                </w:tcPr>
                <w:p w14:paraId="2775D17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DAD4D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91C3A3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6DD994A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E86828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EB16C4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3A698B6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11822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1.49E-01</w:t>
                  </w:r>
                </w:p>
              </w:tc>
              <w:tc>
                <w:tcPr>
                  <w:tcW w:w="578" w:type="pct"/>
                  <w:shd w:val="clear" w:color="auto" w:fill="auto"/>
                  <w:noWrap w:val="0"/>
                  <w:vAlign w:val="center"/>
                </w:tcPr>
                <w:p w14:paraId="4A0D3A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1.02E-03</w:t>
                  </w:r>
                </w:p>
              </w:tc>
              <w:tc>
                <w:tcPr>
                  <w:tcW w:w="544" w:type="pct"/>
                  <w:noWrap w:val="0"/>
                  <w:vAlign w:val="center"/>
                </w:tcPr>
                <w:p w14:paraId="000600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1.50E-01</w:t>
                  </w:r>
                </w:p>
              </w:tc>
              <w:tc>
                <w:tcPr>
                  <w:tcW w:w="481" w:type="pct"/>
                  <w:noWrap w:val="0"/>
                  <w:vAlign w:val="center"/>
                </w:tcPr>
                <w:p w14:paraId="715070C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06F3C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921F5C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78041C7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17</w:t>
                  </w:r>
                </w:p>
              </w:tc>
              <w:tc>
                <w:tcPr>
                  <w:tcW w:w="1122" w:type="pct"/>
                  <w:vMerge w:val="restart"/>
                  <w:shd w:val="clear" w:color="auto" w:fill="auto"/>
                  <w:noWrap w:val="0"/>
                  <w:vAlign w:val="center"/>
                </w:tcPr>
                <w:p w14:paraId="6E56A1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机房南侧医生通道门外侧30cm（医生通道）</w:t>
                  </w:r>
                </w:p>
              </w:tc>
              <w:tc>
                <w:tcPr>
                  <w:tcW w:w="385" w:type="pct"/>
                  <w:shd w:val="clear" w:color="auto" w:fill="auto"/>
                  <w:noWrap w:val="0"/>
                  <w:vAlign w:val="center"/>
                </w:tcPr>
                <w:p w14:paraId="7AC5CBF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15241C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FFBC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1.30E-05</w:t>
                  </w:r>
                </w:p>
              </w:tc>
              <w:tc>
                <w:tcPr>
                  <w:tcW w:w="578" w:type="pct"/>
                  <w:shd w:val="clear" w:color="auto" w:fill="auto"/>
                  <w:noWrap w:val="0"/>
                  <w:vAlign w:val="center"/>
                </w:tcPr>
                <w:p w14:paraId="26DE64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6.94E-06</w:t>
                  </w:r>
                </w:p>
              </w:tc>
              <w:tc>
                <w:tcPr>
                  <w:tcW w:w="544" w:type="pct"/>
                  <w:noWrap w:val="0"/>
                  <w:vAlign w:val="center"/>
                </w:tcPr>
                <w:p w14:paraId="5C75D1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1.99E-05</w:t>
                  </w:r>
                </w:p>
              </w:tc>
              <w:tc>
                <w:tcPr>
                  <w:tcW w:w="481" w:type="pct"/>
                  <w:noWrap w:val="0"/>
                  <w:vAlign w:val="center"/>
                </w:tcPr>
                <w:p w14:paraId="31FC7E4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1F07F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0CA50D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64D151A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A3EE9E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64053E92">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598E8B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748E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3.76E-02</w:t>
                  </w:r>
                </w:p>
              </w:tc>
              <w:tc>
                <w:tcPr>
                  <w:tcW w:w="578" w:type="pct"/>
                  <w:shd w:val="clear" w:color="auto" w:fill="auto"/>
                  <w:noWrap w:val="0"/>
                  <w:vAlign w:val="center"/>
                </w:tcPr>
                <w:p w14:paraId="1BD197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2.58E-04</w:t>
                  </w:r>
                </w:p>
              </w:tc>
              <w:tc>
                <w:tcPr>
                  <w:tcW w:w="544" w:type="pct"/>
                  <w:noWrap w:val="0"/>
                  <w:vAlign w:val="center"/>
                </w:tcPr>
                <w:p w14:paraId="048DCC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3.79E-02</w:t>
                  </w:r>
                </w:p>
              </w:tc>
              <w:tc>
                <w:tcPr>
                  <w:tcW w:w="481" w:type="pct"/>
                  <w:noWrap w:val="0"/>
                  <w:vAlign w:val="center"/>
                </w:tcPr>
                <w:p w14:paraId="2D7FD48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271F7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2A164D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193F13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18</w:t>
                  </w:r>
                </w:p>
              </w:tc>
              <w:tc>
                <w:tcPr>
                  <w:tcW w:w="1122" w:type="pct"/>
                  <w:vMerge w:val="restart"/>
                  <w:shd w:val="clear" w:color="auto" w:fill="auto"/>
                  <w:noWrap w:val="0"/>
                  <w:vAlign w:val="center"/>
                </w:tcPr>
                <w:p w14:paraId="19EBE2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机房南侧墙体外侧30cm（医生通道）</w:t>
                  </w:r>
                </w:p>
              </w:tc>
              <w:tc>
                <w:tcPr>
                  <w:tcW w:w="385" w:type="pct"/>
                  <w:shd w:val="clear" w:color="auto" w:fill="auto"/>
                  <w:noWrap w:val="0"/>
                  <w:vAlign w:val="center"/>
                </w:tcPr>
                <w:p w14:paraId="4BB1F243">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C57ED6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FB6A6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1.78E-04</w:t>
                  </w:r>
                </w:p>
              </w:tc>
              <w:tc>
                <w:tcPr>
                  <w:tcW w:w="578" w:type="pct"/>
                  <w:shd w:val="clear" w:color="auto" w:fill="auto"/>
                  <w:noWrap w:val="0"/>
                  <w:vAlign w:val="center"/>
                </w:tcPr>
                <w:p w14:paraId="2C2060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9.49E-05</w:t>
                  </w:r>
                </w:p>
              </w:tc>
              <w:tc>
                <w:tcPr>
                  <w:tcW w:w="544" w:type="pct"/>
                  <w:noWrap w:val="0"/>
                  <w:vAlign w:val="center"/>
                </w:tcPr>
                <w:p w14:paraId="37D453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2.73E-04</w:t>
                  </w:r>
                </w:p>
              </w:tc>
              <w:tc>
                <w:tcPr>
                  <w:tcW w:w="481" w:type="pct"/>
                  <w:noWrap w:val="0"/>
                  <w:vAlign w:val="center"/>
                </w:tcPr>
                <w:p w14:paraId="3DAC1BD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C416E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FB24B7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137C1E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7B3E38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01A0CC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18133BE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F32CD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2.89E-01</w:t>
                  </w:r>
                </w:p>
              </w:tc>
              <w:tc>
                <w:tcPr>
                  <w:tcW w:w="578" w:type="pct"/>
                  <w:shd w:val="clear" w:color="auto" w:fill="auto"/>
                  <w:noWrap w:val="0"/>
                  <w:vAlign w:val="center"/>
                </w:tcPr>
                <w:p w14:paraId="79CFDD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1.98E-03</w:t>
                  </w:r>
                </w:p>
              </w:tc>
              <w:tc>
                <w:tcPr>
                  <w:tcW w:w="544" w:type="pct"/>
                  <w:noWrap w:val="0"/>
                  <w:vAlign w:val="center"/>
                </w:tcPr>
                <w:p w14:paraId="65D658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2.91E-01</w:t>
                  </w:r>
                </w:p>
              </w:tc>
              <w:tc>
                <w:tcPr>
                  <w:tcW w:w="481" w:type="pct"/>
                  <w:noWrap w:val="0"/>
                  <w:vAlign w:val="center"/>
                </w:tcPr>
                <w:p w14:paraId="2237390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669DD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5828E8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1C4DC71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19</w:t>
                  </w:r>
                </w:p>
              </w:tc>
              <w:tc>
                <w:tcPr>
                  <w:tcW w:w="1122" w:type="pct"/>
                  <w:vMerge w:val="restart"/>
                  <w:shd w:val="clear" w:color="auto" w:fill="auto"/>
                  <w:noWrap w:val="0"/>
                  <w:vAlign w:val="center"/>
                </w:tcPr>
                <w:p w14:paraId="4E4677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机房西侧墙体外侧30cm（患者通道）</w:t>
                  </w:r>
                </w:p>
              </w:tc>
              <w:tc>
                <w:tcPr>
                  <w:tcW w:w="385" w:type="pct"/>
                  <w:shd w:val="clear" w:color="auto" w:fill="auto"/>
                  <w:noWrap w:val="0"/>
                  <w:vAlign w:val="center"/>
                </w:tcPr>
                <w:p w14:paraId="31F56E9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09B979A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E266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9.18E-05</w:t>
                  </w:r>
                </w:p>
              </w:tc>
              <w:tc>
                <w:tcPr>
                  <w:tcW w:w="578" w:type="pct"/>
                  <w:shd w:val="clear" w:color="auto" w:fill="auto"/>
                  <w:noWrap w:val="0"/>
                  <w:vAlign w:val="center"/>
                </w:tcPr>
                <w:p w14:paraId="274FC0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4.88E-05</w:t>
                  </w:r>
                </w:p>
              </w:tc>
              <w:tc>
                <w:tcPr>
                  <w:tcW w:w="544" w:type="pct"/>
                  <w:noWrap w:val="0"/>
                  <w:vAlign w:val="center"/>
                </w:tcPr>
                <w:p w14:paraId="4E8FAE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1.41E-04</w:t>
                  </w:r>
                </w:p>
              </w:tc>
              <w:tc>
                <w:tcPr>
                  <w:tcW w:w="481" w:type="pct"/>
                  <w:noWrap w:val="0"/>
                  <w:vAlign w:val="center"/>
                </w:tcPr>
                <w:p w14:paraId="2B1DB02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E6D80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AEF717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AFD353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674BF12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6F12A0A2">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26C376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EBFCB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1.49E-01</w:t>
                  </w:r>
                </w:p>
              </w:tc>
              <w:tc>
                <w:tcPr>
                  <w:tcW w:w="578" w:type="pct"/>
                  <w:shd w:val="clear" w:color="auto" w:fill="auto"/>
                  <w:noWrap w:val="0"/>
                  <w:vAlign w:val="center"/>
                </w:tcPr>
                <w:p w14:paraId="60827B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1.02E-03</w:t>
                  </w:r>
                </w:p>
              </w:tc>
              <w:tc>
                <w:tcPr>
                  <w:tcW w:w="544" w:type="pct"/>
                  <w:noWrap w:val="0"/>
                  <w:vAlign w:val="center"/>
                </w:tcPr>
                <w:p w14:paraId="62F0AB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1.50E-01</w:t>
                  </w:r>
                </w:p>
              </w:tc>
              <w:tc>
                <w:tcPr>
                  <w:tcW w:w="481" w:type="pct"/>
                  <w:noWrap w:val="0"/>
                  <w:vAlign w:val="center"/>
                </w:tcPr>
                <w:p w14:paraId="38664E6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D526D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331EEC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3FCA9E3F">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20</w:t>
                  </w:r>
                </w:p>
              </w:tc>
              <w:tc>
                <w:tcPr>
                  <w:tcW w:w="1122" w:type="pct"/>
                  <w:vMerge w:val="restart"/>
                  <w:shd w:val="clear" w:color="auto" w:fill="auto"/>
                  <w:noWrap w:val="0"/>
                  <w:vAlign w:val="center"/>
                </w:tcPr>
                <w:p w14:paraId="732CCFF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机房顶板上方距地面30cm（屋顶）</w:t>
                  </w:r>
                </w:p>
              </w:tc>
              <w:tc>
                <w:tcPr>
                  <w:tcW w:w="385" w:type="pct"/>
                  <w:shd w:val="clear" w:color="auto" w:fill="auto"/>
                  <w:noWrap w:val="0"/>
                  <w:vAlign w:val="center"/>
                </w:tcPr>
                <w:p w14:paraId="0B82BD2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shd w:val="clear" w:color="auto" w:fill="auto"/>
                  <w:noWrap w:val="0"/>
                  <w:vAlign w:val="center"/>
                </w:tcPr>
                <w:p w14:paraId="659268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1.06E-03</w:t>
                  </w:r>
                </w:p>
              </w:tc>
              <w:tc>
                <w:tcPr>
                  <w:tcW w:w="569" w:type="pct"/>
                  <w:shd w:val="clear" w:color="auto" w:fill="auto"/>
                  <w:noWrap w:val="0"/>
                  <w:vAlign w:val="center"/>
                </w:tcPr>
                <w:p w14:paraId="52EAB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6CD9DC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51809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81" w:type="pct"/>
                  <w:noWrap w:val="0"/>
                  <w:vAlign w:val="center"/>
                </w:tcPr>
                <w:p w14:paraId="656B985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DABD3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5A8C81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4B3C5BF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7576BF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1FFB1AF0">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shd w:val="clear" w:color="auto" w:fill="auto"/>
                  <w:noWrap w:val="0"/>
                  <w:vAlign w:val="center"/>
                </w:tcPr>
                <w:p w14:paraId="14FCE04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2.07E+00</w:t>
                  </w:r>
                </w:p>
              </w:tc>
              <w:tc>
                <w:tcPr>
                  <w:tcW w:w="569" w:type="pct"/>
                  <w:shd w:val="clear" w:color="auto" w:fill="auto"/>
                  <w:noWrap w:val="0"/>
                  <w:vAlign w:val="center"/>
                </w:tcPr>
                <w:p w14:paraId="7B108C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1875B4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6BEB44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481" w:type="pct"/>
                  <w:noWrap w:val="0"/>
                  <w:vAlign w:val="center"/>
                </w:tcPr>
                <w:p w14:paraId="7B403E5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3AB73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BD6D90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59DD6F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21</w:t>
                  </w:r>
                </w:p>
              </w:tc>
              <w:tc>
                <w:tcPr>
                  <w:tcW w:w="1122" w:type="pct"/>
                  <w:vMerge w:val="restart"/>
                  <w:shd w:val="clear" w:color="auto" w:fill="auto"/>
                  <w:noWrap w:val="0"/>
                  <w:vAlign w:val="center"/>
                </w:tcPr>
                <w:p w14:paraId="5E3C63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385" w:type="pct"/>
                  <w:shd w:val="clear" w:color="auto" w:fill="auto"/>
                  <w:noWrap w:val="0"/>
                  <w:vAlign w:val="center"/>
                </w:tcPr>
                <w:p w14:paraId="34D96763">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31F45A9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F2629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c>
                <w:tcPr>
                  <w:tcW w:w="578" w:type="pct"/>
                  <w:shd w:val="clear" w:color="auto" w:fill="auto"/>
                  <w:noWrap w:val="0"/>
                  <w:vAlign w:val="center"/>
                </w:tcPr>
                <w:p w14:paraId="0B2F70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c>
                <w:tcPr>
                  <w:tcW w:w="544" w:type="pct"/>
                  <w:noWrap w:val="0"/>
                  <w:vAlign w:val="center"/>
                </w:tcPr>
                <w:p w14:paraId="6F881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481" w:type="pct"/>
                  <w:noWrap w:val="0"/>
                  <w:vAlign w:val="center"/>
                </w:tcPr>
                <w:p w14:paraId="788521E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327EF8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B961C8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61CD83C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11111C8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C3E2D29">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6902C1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F70A4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c>
                <w:tcPr>
                  <w:tcW w:w="578" w:type="pct"/>
                  <w:shd w:val="clear" w:color="auto" w:fill="auto"/>
                  <w:noWrap w:val="0"/>
                  <w:vAlign w:val="center"/>
                </w:tcPr>
                <w:p w14:paraId="2AFEC7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c>
                <w:tcPr>
                  <w:tcW w:w="544" w:type="pct"/>
                  <w:noWrap w:val="0"/>
                  <w:vAlign w:val="center"/>
                </w:tcPr>
                <w:p w14:paraId="39B8FF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481" w:type="pct"/>
                  <w:noWrap w:val="0"/>
                  <w:vAlign w:val="center"/>
                </w:tcPr>
                <w:p w14:paraId="50181B2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38F167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restart"/>
                  <w:shd w:val="clear" w:color="auto" w:fill="auto"/>
                  <w:noWrap w:val="0"/>
                  <w:vAlign w:val="center"/>
                </w:tcPr>
                <w:p w14:paraId="69B5C6DA">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rPr>
                  </w:pPr>
                  <w:r>
                    <w:rPr>
                      <w:rFonts w:hint="eastAsia"/>
                      <w:bCs/>
                      <w:sz w:val="21"/>
                      <w:szCs w:val="21"/>
                      <w:lang w:val="en-US" w:eastAsia="zh-CN"/>
                    </w:rPr>
                    <w:t>DSA手术室OR10</w:t>
                  </w:r>
                </w:p>
              </w:tc>
              <w:tc>
                <w:tcPr>
                  <w:tcW w:w="343" w:type="pct"/>
                  <w:vMerge w:val="restart"/>
                  <w:shd w:val="clear" w:color="auto" w:fill="auto"/>
                  <w:noWrap w:val="0"/>
                  <w:vAlign w:val="center"/>
                </w:tcPr>
                <w:p w14:paraId="25E7E17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22</w:t>
                  </w:r>
                </w:p>
              </w:tc>
              <w:tc>
                <w:tcPr>
                  <w:tcW w:w="1122" w:type="pct"/>
                  <w:vMerge w:val="restart"/>
                  <w:shd w:val="clear" w:color="auto" w:fill="auto"/>
                  <w:noWrap w:val="0"/>
                  <w:vAlign w:val="center"/>
                </w:tcPr>
                <w:p w14:paraId="57FF48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机房北侧患者通道门外侧30cm（患者通道）</w:t>
                  </w:r>
                </w:p>
              </w:tc>
              <w:tc>
                <w:tcPr>
                  <w:tcW w:w="385" w:type="pct"/>
                  <w:shd w:val="clear" w:color="auto" w:fill="auto"/>
                  <w:noWrap w:val="0"/>
                  <w:vAlign w:val="center"/>
                </w:tcPr>
                <w:p w14:paraId="289CC8C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7DE9012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6F61F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4.46E-06</w:t>
                  </w:r>
                </w:p>
              </w:tc>
              <w:tc>
                <w:tcPr>
                  <w:tcW w:w="578" w:type="pct"/>
                  <w:shd w:val="clear" w:color="auto" w:fill="auto"/>
                  <w:noWrap w:val="0"/>
                  <w:vAlign w:val="center"/>
                </w:tcPr>
                <w:p w14:paraId="6954E0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2.37E-06</w:t>
                  </w:r>
                </w:p>
              </w:tc>
              <w:tc>
                <w:tcPr>
                  <w:tcW w:w="544" w:type="pct"/>
                  <w:noWrap w:val="0"/>
                  <w:vAlign w:val="center"/>
                </w:tcPr>
                <w:p w14:paraId="57D8C4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6.83E-06</w:t>
                  </w:r>
                </w:p>
              </w:tc>
              <w:tc>
                <w:tcPr>
                  <w:tcW w:w="481" w:type="pct"/>
                  <w:noWrap w:val="0"/>
                  <w:vAlign w:val="center"/>
                </w:tcPr>
                <w:p w14:paraId="783F717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0B701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16908C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102AC2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F76414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9BA55D3">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7BFD2F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9A68A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1.28E-02</w:t>
                  </w:r>
                </w:p>
              </w:tc>
              <w:tc>
                <w:tcPr>
                  <w:tcW w:w="578" w:type="pct"/>
                  <w:shd w:val="clear" w:color="auto" w:fill="auto"/>
                  <w:noWrap w:val="0"/>
                  <w:vAlign w:val="center"/>
                </w:tcPr>
                <w:p w14:paraId="04F846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8.81E-05</w:t>
                  </w:r>
                </w:p>
              </w:tc>
              <w:tc>
                <w:tcPr>
                  <w:tcW w:w="544" w:type="pct"/>
                  <w:noWrap w:val="0"/>
                  <w:vAlign w:val="center"/>
                </w:tcPr>
                <w:p w14:paraId="43A515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1.29E-02</w:t>
                  </w:r>
                </w:p>
              </w:tc>
              <w:tc>
                <w:tcPr>
                  <w:tcW w:w="481" w:type="pct"/>
                  <w:noWrap w:val="0"/>
                  <w:vAlign w:val="center"/>
                </w:tcPr>
                <w:p w14:paraId="150B9C4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B583D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95EE21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4C319A2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23</w:t>
                  </w:r>
                </w:p>
              </w:tc>
              <w:tc>
                <w:tcPr>
                  <w:tcW w:w="1122" w:type="pct"/>
                  <w:vMerge w:val="restart"/>
                  <w:shd w:val="clear" w:color="auto" w:fill="auto"/>
                  <w:noWrap w:val="0"/>
                  <w:vAlign w:val="center"/>
                </w:tcPr>
                <w:p w14:paraId="74DBA3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机房北侧墙体外侧30cm（患者通道）</w:t>
                  </w:r>
                </w:p>
              </w:tc>
              <w:tc>
                <w:tcPr>
                  <w:tcW w:w="385" w:type="pct"/>
                  <w:shd w:val="clear" w:color="auto" w:fill="auto"/>
                  <w:noWrap w:val="0"/>
                  <w:vAlign w:val="center"/>
                </w:tcPr>
                <w:p w14:paraId="41FB3AB2">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11423B4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2DC1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5.77E-05</w:t>
                  </w:r>
                </w:p>
              </w:tc>
              <w:tc>
                <w:tcPr>
                  <w:tcW w:w="578" w:type="pct"/>
                  <w:shd w:val="clear" w:color="auto" w:fill="auto"/>
                  <w:noWrap w:val="0"/>
                  <w:vAlign w:val="center"/>
                </w:tcPr>
                <w:p w14:paraId="718060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3.07E-05</w:t>
                  </w:r>
                </w:p>
              </w:tc>
              <w:tc>
                <w:tcPr>
                  <w:tcW w:w="544" w:type="pct"/>
                  <w:noWrap w:val="0"/>
                  <w:vAlign w:val="center"/>
                </w:tcPr>
                <w:p w14:paraId="1E7C87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8.84E-05</w:t>
                  </w:r>
                </w:p>
              </w:tc>
              <w:tc>
                <w:tcPr>
                  <w:tcW w:w="481" w:type="pct"/>
                  <w:noWrap w:val="0"/>
                  <w:vAlign w:val="center"/>
                </w:tcPr>
                <w:p w14:paraId="1F01D68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F88D9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3D0C2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90D631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A11B59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172659B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AF1123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54EF6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9.34E-02</w:t>
                  </w:r>
                </w:p>
              </w:tc>
              <w:tc>
                <w:tcPr>
                  <w:tcW w:w="578" w:type="pct"/>
                  <w:shd w:val="clear" w:color="auto" w:fill="auto"/>
                  <w:noWrap w:val="0"/>
                  <w:vAlign w:val="center"/>
                </w:tcPr>
                <w:p w14:paraId="132660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6.41E-04</w:t>
                  </w:r>
                </w:p>
              </w:tc>
              <w:tc>
                <w:tcPr>
                  <w:tcW w:w="544" w:type="pct"/>
                  <w:noWrap w:val="0"/>
                  <w:vAlign w:val="center"/>
                </w:tcPr>
                <w:p w14:paraId="5A5B92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9.40E-02</w:t>
                  </w:r>
                </w:p>
              </w:tc>
              <w:tc>
                <w:tcPr>
                  <w:tcW w:w="481" w:type="pct"/>
                  <w:noWrap w:val="0"/>
                  <w:vAlign w:val="center"/>
                </w:tcPr>
                <w:p w14:paraId="62CC60C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00E45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55BF0F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24F95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24</w:t>
                  </w:r>
                </w:p>
              </w:tc>
              <w:tc>
                <w:tcPr>
                  <w:tcW w:w="1122" w:type="pct"/>
                  <w:vMerge w:val="restart"/>
                  <w:shd w:val="clear" w:color="auto" w:fill="auto"/>
                  <w:noWrap w:val="0"/>
                  <w:vAlign w:val="center"/>
                </w:tcPr>
                <w:p w14:paraId="6D954E3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机房西侧观察窗外侧1m（控制室操作位）</w:t>
                  </w:r>
                </w:p>
              </w:tc>
              <w:tc>
                <w:tcPr>
                  <w:tcW w:w="385" w:type="pct"/>
                  <w:shd w:val="clear" w:color="auto" w:fill="auto"/>
                  <w:noWrap w:val="0"/>
                  <w:vAlign w:val="center"/>
                </w:tcPr>
                <w:p w14:paraId="7CB45A7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35BBD8B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DD57F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5.23E-06</w:t>
                  </w:r>
                </w:p>
              </w:tc>
              <w:tc>
                <w:tcPr>
                  <w:tcW w:w="578" w:type="pct"/>
                  <w:shd w:val="clear" w:color="auto" w:fill="auto"/>
                  <w:noWrap w:val="0"/>
                  <w:vAlign w:val="center"/>
                </w:tcPr>
                <w:p w14:paraId="602FDF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2.78E-06</w:t>
                  </w:r>
                </w:p>
              </w:tc>
              <w:tc>
                <w:tcPr>
                  <w:tcW w:w="544" w:type="pct"/>
                  <w:noWrap w:val="0"/>
                  <w:vAlign w:val="center"/>
                </w:tcPr>
                <w:p w14:paraId="014B4C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8.01E-06</w:t>
                  </w:r>
                </w:p>
              </w:tc>
              <w:tc>
                <w:tcPr>
                  <w:tcW w:w="481" w:type="pct"/>
                  <w:noWrap w:val="0"/>
                  <w:vAlign w:val="center"/>
                </w:tcPr>
                <w:p w14:paraId="16E1942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81FD1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CF3172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61645B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6C1ADB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3560F0F7">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6EB4EF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51817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1.51E-02</w:t>
                  </w:r>
                </w:p>
              </w:tc>
              <w:tc>
                <w:tcPr>
                  <w:tcW w:w="578" w:type="pct"/>
                  <w:shd w:val="clear" w:color="auto" w:fill="auto"/>
                  <w:noWrap w:val="0"/>
                  <w:vAlign w:val="center"/>
                </w:tcPr>
                <w:p w14:paraId="09DF73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1.03E-04</w:t>
                  </w:r>
                </w:p>
              </w:tc>
              <w:tc>
                <w:tcPr>
                  <w:tcW w:w="544" w:type="pct"/>
                  <w:noWrap w:val="0"/>
                  <w:vAlign w:val="center"/>
                </w:tcPr>
                <w:p w14:paraId="4FF15E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1.52E-02</w:t>
                  </w:r>
                </w:p>
              </w:tc>
              <w:tc>
                <w:tcPr>
                  <w:tcW w:w="481" w:type="pct"/>
                  <w:noWrap w:val="0"/>
                  <w:vAlign w:val="center"/>
                </w:tcPr>
                <w:p w14:paraId="40245A0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826CC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A6BFD7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314D10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25</w:t>
                  </w:r>
                </w:p>
              </w:tc>
              <w:tc>
                <w:tcPr>
                  <w:tcW w:w="1122" w:type="pct"/>
                  <w:vMerge w:val="restart"/>
                  <w:shd w:val="clear" w:color="auto" w:fill="auto"/>
                  <w:noWrap w:val="0"/>
                  <w:vAlign w:val="center"/>
                </w:tcPr>
                <w:p w14:paraId="256A87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机房西侧控制室门外侧30cm（共用控制室）</w:t>
                  </w:r>
                </w:p>
              </w:tc>
              <w:tc>
                <w:tcPr>
                  <w:tcW w:w="385" w:type="pct"/>
                  <w:shd w:val="clear" w:color="auto" w:fill="auto"/>
                  <w:noWrap w:val="0"/>
                  <w:vAlign w:val="center"/>
                </w:tcPr>
                <w:p w14:paraId="71D980DA">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A9CA2E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842E1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6.22E-06</w:t>
                  </w:r>
                </w:p>
              </w:tc>
              <w:tc>
                <w:tcPr>
                  <w:tcW w:w="578" w:type="pct"/>
                  <w:shd w:val="clear" w:color="auto" w:fill="auto"/>
                  <w:noWrap w:val="0"/>
                  <w:vAlign w:val="center"/>
                </w:tcPr>
                <w:p w14:paraId="1721EC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3.31E-06</w:t>
                  </w:r>
                </w:p>
              </w:tc>
              <w:tc>
                <w:tcPr>
                  <w:tcW w:w="544" w:type="pct"/>
                  <w:noWrap w:val="0"/>
                  <w:vAlign w:val="center"/>
                </w:tcPr>
                <w:p w14:paraId="4C3A23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9.53E-06</w:t>
                  </w:r>
                </w:p>
              </w:tc>
              <w:tc>
                <w:tcPr>
                  <w:tcW w:w="481" w:type="pct"/>
                  <w:noWrap w:val="0"/>
                  <w:vAlign w:val="center"/>
                </w:tcPr>
                <w:p w14:paraId="03EAC75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72730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A236BC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6C290E9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A8DFD3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321CF2C9">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68C2948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F1E74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1.79E-02</w:t>
                  </w:r>
                </w:p>
              </w:tc>
              <w:tc>
                <w:tcPr>
                  <w:tcW w:w="578" w:type="pct"/>
                  <w:shd w:val="clear" w:color="auto" w:fill="auto"/>
                  <w:noWrap w:val="0"/>
                  <w:vAlign w:val="center"/>
                </w:tcPr>
                <w:p w14:paraId="7F1E11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1.23E-04</w:t>
                  </w:r>
                </w:p>
              </w:tc>
              <w:tc>
                <w:tcPr>
                  <w:tcW w:w="544" w:type="pct"/>
                  <w:noWrap w:val="0"/>
                  <w:vAlign w:val="center"/>
                </w:tcPr>
                <w:p w14:paraId="7C2AC0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1.80E-02</w:t>
                  </w:r>
                </w:p>
              </w:tc>
              <w:tc>
                <w:tcPr>
                  <w:tcW w:w="481" w:type="pct"/>
                  <w:noWrap w:val="0"/>
                  <w:vAlign w:val="center"/>
                </w:tcPr>
                <w:p w14:paraId="0E483FA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5828C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4099BB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54574C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26</w:t>
                  </w:r>
                </w:p>
              </w:tc>
              <w:tc>
                <w:tcPr>
                  <w:tcW w:w="1122" w:type="pct"/>
                  <w:vMerge w:val="restart"/>
                  <w:shd w:val="clear" w:color="auto" w:fill="auto"/>
                  <w:noWrap w:val="0"/>
                  <w:vAlign w:val="center"/>
                </w:tcPr>
                <w:p w14:paraId="7B30E59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机房西侧墙体外侧30cm（共用控制室）</w:t>
                  </w:r>
                </w:p>
              </w:tc>
              <w:tc>
                <w:tcPr>
                  <w:tcW w:w="385" w:type="pct"/>
                  <w:shd w:val="clear" w:color="auto" w:fill="auto"/>
                  <w:noWrap w:val="0"/>
                  <w:vAlign w:val="center"/>
                </w:tcPr>
                <w:p w14:paraId="1687C94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360098A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C0F55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6.91E-05</w:t>
                  </w:r>
                </w:p>
              </w:tc>
              <w:tc>
                <w:tcPr>
                  <w:tcW w:w="578" w:type="pct"/>
                  <w:shd w:val="clear" w:color="auto" w:fill="auto"/>
                  <w:noWrap w:val="0"/>
                  <w:vAlign w:val="center"/>
                </w:tcPr>
                <w:p w14:paraId="09B922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3.68E-05</w:t>
                  </w:r>
                </w:p>
              </w:tc>
              <w:tc>
                <w:tcPr>
                  <w:tcW w:w="544" w:type="pct"/>
                  <w:noWrap w:val="0"/>
                  <w:vAlign w:val="center"/>
                </w:tcPr>
                <w:p w14:paraId="662BC5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1.06E-04</w:t>
                  </w:r>
                </w:p>
              </w:tc>
              <w:tc>
                <w:tcPr>
                  <w:tcW w:w="481" w:type="pct"/>
                  <w:noWrap w:val="0"/>
                  <w:vAlign w:val="center"/>
                </w:tcPr>
                <w:p w14:paraId="6EAF1B6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66AA6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8EA51B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E453A1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05EBAF5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4BEA942">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2FC167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14541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1.12E-01</w:t>
                  </w:r>
                </w:p>
              </w:tc>
              <w:tc>
                <w:tcPr>
                  <w:tcW w:w="578" w:type="pct"/>
                  <w:shd w:val="clear" w:color="auto" w:fill="auto"/>
                  <w:noWrap w:val="0"/>
                  <w:vAlign w:val="center"/>
                </w:tcPr>
                <w:p w14:paraId="456877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7.68E-04</w:t>
                  </w:r>
                </w:p>
              </w:tc>
              <w:tc>
                <w:tcPr>
                  <w:tcW w:w="544" w:type="pct"/>
                  <w:noWrap w:val="0"/>
                  <w:vAlign w:val="center"/>
                </w:tcPr>
                <w:p w14:paraId="655008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1.13E-01</w:t>
                  </w:r>
                </w:p>
              </w:tc>
              <w:tc>
                <w:tcPr>
                  <w:tcW w:w="481" w:type="pct"/>
                  <w:noWrap w:val="0"/>
                  <w:vAlign w:val="center"/>
                </w:tcPr>
                <w:p w14:paraId="67455F1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3BDBAA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86FD33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523055F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27</w:t>
                  </w:r>
                </w:p>
              </w:tc>
              <w:tc>
                <w:tcPr>
                  <w:tcW w:w="1122" w:type="pct"/>
                  <w:vMerge w:val="restart"/>
                  <w:shd w:val="clear" w:color="auto" w:fill="auto"/>
                  <w:noWrap w:val="0"/>
                  <w:vAlign w:val="center"/>
                </w:tcPr>
                <w:p w14:paraId="02D664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机房南侧医生通道门外侧30cm（医生通道）</w:t>
                  </w:r>
                </w:p>
              </w:tc>
              <w:tc>
                <w:tcPr>
                  <w:tcW w:w="385" w:type="pct"/>
                  <w:shd w:val="clear" w:color="auto" w:fill="auto"/>
                  <w:noWrap w:val="0"/>
                  <w:vAlign w:val="center"/>
                </w:tcPr>
                <w:p w14:paraId="1B705D0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104984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E58FF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1.30E-05</w:t>
                  </w:r>
                </w:p>
              </w:tc>
              <w:tc>
                <w:tcPr>
                  <w:tcW w:w="578" w:type="pct"/>
                  <w:shd w:val="clear" w:color="auto" w:fill="auto"/>
                  <w:noWrap w:val="0"/>
                  <w:vAlign w:val="center"/>
                </w:tcPr>
                <w:p w14:paraId="5C7583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6.94E-06</w:t>
                  </w:r>
                </w:p>
              </w:tc>
              <w:tc>
                <w:tcPr>
                  <w:tcW w:w="544" w:type="pct"/>
                  <w:noWrap w:val="0"/>
                  <w:vAlign w:val="center"/>
                </w:tcPr>
                <w:p w14:paraId="0D6B4D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1.99E-05</w:t>
                  </w:r>
                </w:p>
              </w:tc>
              <w:tc>
                <w:tcPr>
                  <w:tcW w:w="481" w:type="pct"/>
                  <w:noWrap w:val="0"/>
                  <w:vAlign w:val="center"/>
                </w:tcPr>
                <w:p w14:paraId="0CA2C13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018E7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4B65D8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67A1689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E8EA7A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6F90F9B9">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CEE150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F9BCB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3.76E-02</w:t>
                  </w:r>
                </w:p>
              </w:tc>
              <w:tc>
                <w:tcPr>
                  <w:tcW w:w="578" w:type="pct"/>
                  <w:shd w:val="clear" w:color="auto" w:fill="auto"/>
                  <w:noWrap w:val="0"/>
                  <w:vAlign w:val="center"/>
                </w:tcPr>
                <w:p w14:paraId="0F3B1A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2.58E-04</w:t>
                  </w:r>
                </w:p>
              </w:tc>
              <w:tc>
                <w:tcPr>
                  <w:tcW w:w="544" w:type="pct"/>
                  <w:noWrap w:val="0"/>
                  <w:vAlign w:val="center"/>
                </w:tcPr>
                <w:p w14:paraId="11D578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3.79E-02</w:t>
                  </w:r>
                </w:p>
              </w:tc>
              <w:tc>
                <w:tcPr>
                  <w:tcW w:w="481" w:type="pct"/>
                  <w:noWrap w:val="0"/>
                  <w:vAlign w:val="center"/>
                </w:tcPr>
                <w:p w14:paraId="132226B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F70BF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52636F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4EA3A1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28</w:t>
                  </w:r>
                </w:p>
              </w:tc>
              <w:tc>
                <w:tcPr>
                  <w:tcW w:w="1122" w:type="pct"/>
                  <w:vMerge w:val="restart"/>
                  <w:shd w:val="clear" w:color="auto" w:fill="auto"/>
                  <w:noWrap w:val="0"/>
                  <w:vAlign w:val="center"/>
                </w:tcPr>
                <w:p w14:paraId="2A4BFB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机房南侧墙体外侧30cm（医生通道）</w:t>
                  </w:r>
                </w:p>
              </w:tc>
              <w:tc>
                <w:tcPr>
                  <w:tcW w:w="385" w:type="pct"/>
                  <w:shd w:val="clear" w:color="auto" w:fill="auto"/>
                  <w:noWrap w:val="0"/>
                  <w:vAlign w:val="center"/>
                </w:tcPr>
                <w:p w14:paraId="7D21422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B96016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DCC87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1.50E-04</w:t>
                  </w:r>
                </w:p>
              </w:tc>
              <w:tc>
                <w:tcPr>
                  <w:tcW w:w="578" w:type="pct"/>
                  <w:shd w:val="clear" w:color="auto" w:fill="auto"/>
                  <w:noWrap w:val="0"/>
                  <w:vAlign w:val="center"/>
                </w:tcPr>
                <w:p w14:paraId="4EFE1C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7.98E-05</w:t>
                  </w:r>
                </w:p>
              </w:tc>
              <w:tc>
                <w:tcPr>
                  <w:tcW w:w="544" w:type="pct"/>
                  <w:noWrap w:val="0"/>
                  <w:vAlign w:val="center"/>
                </w:tcPr>
                <w:p w14:paraId="30DFE0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2.30E-04</w:t>
                  </w:r>
                </w:p>
              </w:tc>
              <w:tc>
                <w:tcPr>
                  <w:tcW w:w="481" w:type="pct"/>
                  <w:noWrap w:val="0"/>
                  <w:vAlign w:val="center"/>
                </w:tcPr>
                <w:p w14:paraId="6F3B699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32BDE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7DF0F8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4D3F10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0BD7778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E041F28">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078F42C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11AA3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2.43E-01</w:t>
                  </w:r>
                </w:p>
              </w:tc>
              <w:tc>
                <w:tcPr>
                  <w:tcW w:w="578" w:type="pct"/>
                  <w:shd w:val="clear" w:color="auto" w:fill="auto"/>
                  <w:noWrap w:val="0"/>
                  <w:vAlign w:val="center"/>
                </w:tcPr>
                <w:p w14:paraId="24D72C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1.66E-03</w:t>
                  </w:r>
                </w:p>
              </w:tc>
              <w:tc>
                <w:tcPr>
                  <w:tcW w:w="544" w:type="pct"/>
                  <w:noWrap w:val="0"/>
                  <w:vAlign w:val="center"/>
                </w:tcPr>
                <w:p w14:paraId="22F85A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2.45E-01</w:t>
                  </w:r>
                </w:p>
              </w:tc>
              <w:tc>
                <w:tcPr>
                  <w:tcW w:w="481" w:type="pct"/>
                  <w:noWrap w:val="0"/>
                  <w:vAlign w:val="center"/>
                </w:tcPr>
                <w:p w14:paraId="60FD145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065C9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923E84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364FE2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29</w:t>
                  </w:r>
                </w:p>
              </w:tc>
              <w:tc>
                <w:tcPr>
                  <w:tcW w:w="1122" w:type="pct"/>
                  <w:vMerge w:val="restart"/>
                  <w:shd w:val="clear" w:color="auto" w:fill="auto"/>
                  <w:noWrap w:val="0"/>
                  <w:vAlign w:val="center"/>
                </w:tcPr>
                <w:p w14:paraId="27708F4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机房东侧墙体外侧30cm（DSA手术室OR11）</w:t>
                  </w:r>
                </w:p>
              </w:tc>
              <w:tc>
                <w:tcPr>
                  <w:tcW w:w="385" w:type="pct"/>
                  <w:shd w:val="clear" w:color="auto" w:fill="auto"/>
                  <w:noWrap w:val="0"/>
                  <w:vAlign w:val="center"/>
                </w:tcPr>
                <w:p w14:paraId="24488DE0">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837DBF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18E4B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1.10E-04</w:t>
                  </w:r>
                </w:p>
              </w:tc>
              <w:tc>
                <w:tcPr>
                  <w:tcW w:w="578" w:type="pct"/>
                  <w:shd w:val="clear" w:color="auto" w:fill="auto"/>
                  <w:noWrap w:val="0"/>
                  <w:vAlign w:val="center"/>
                </w:tcPr>
                <w:p w14:paraId="3B2BDF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5.86E-05</w:t>
                  </w:r>
                </w:p>
              </w:tc>
              <w:tc>
                <w:tcPr>
                  <w:tcW w:w="544" w:type="pct"/>
                  <w:noWrap w:val="0"/>
                  <w:vAlign w:val="center"/>
                </w:tcPr>
                <w:p w14:paraId="7F1FD8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1.69E-04</w:t>
                  </w:r>
                </w:p>
              </w:tc>
              <w:tc>
                <w:tcPr>
                  <w:tcW w:w="481" w:type="pct"/>
                  <w:noWrap w:val="0"/>
                  <w:vAlign w:val="center"/>
                </w:tcPr>
                <w:p w14:paraId="1575B1E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7DBCB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49A704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0A6EAC6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FEBE4C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2B619F6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170B7BF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563DD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1.78E-01</w:t>
                  </w:r>
                </w:p>
              </w:tc>
              <w:tc>
                <w:tcPr>
                  <w:tcW w:w="578" w:type="pct"/>
                  <w:shd w:val="clear" w:color="auto" w:fill="auto"/>
                  <w:noWrap w:val="0"/>
                  <w:vAlign w:val="center"/>
                </w:tcPr>
                <w:p w14:paraId="4DAA8F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1.22E-03</w:t>
                  </w:r>
                </w:p>
              </w:tc>
              <w:tc>
                <w:tcPr>
                  <w:tcW w:w="544" w:type="pct"/>
                  <w:noWrap w:val="0"/>
                  <w:vAlign w:val="center"/>
                </w:tcPr>
                <w:p w14:paraId="247605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1.79E-01</w:t>
                  </w:r>
                </w:p>
              </w:tc>
              <w:tc>
                <w:tcPr>
                  <w:tcW w:w="481" w:type="pct"/>
                  <w:noWrap w:val="0"/>
                  <w:vAlign w:val="center"/>
                </w:tcPr>
                <w:p w14:paraId="44BBA57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361171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ACC000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2B7B276B">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30</w:t>
                  </w:r>
                </w:p>
              </w:tc>
              <w:tc>
                <w:tcPr>
                  <w:tcW w:w="1122" w:type="pct"/>
                  <w:vMerge w:val="restart"/>
                  <w:shd w:val="clear" w:color="auto" w:fill="auto"/>
                  <w:noWrap w:val="0"/>
                  <w:vAlign w:val="center"/>
                </w:tcPr>
                <w:p w14:paraId="7B46ABD6">
                  <w:pPr>
                    <w:spacing w:line="240" w:lineRule="auto"/>
                    <w:jc w:val="center"/>
                    <w:rPr>
                      <w:rFonts w:hint="eastAsia"/>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机房顶板上方距地面30cm（净化机房）</w:t>
                  </w:r>
                </w:p>
              </w:tc>
              <w:tc>
                <w:tcPr>
                  <w:tcW w:w="385" w:type="pct"/>
                  <w:shd w:val="clear" w:color="auto" w:fill="auto"/>
                  <w:noWrap w:val="0"/>
                  <w:vAlign w:val="center"/>
                </w:tcPr>
                <w:p w14:paraId="52ED3A82">
                  <w:pPr>
                    <w:spacing w:line="240" w:lineRule="auto"/>
                    <w:jc w:val="center"/>
                    <w:rPr>
                      <w:rFonts w:hint="eastAsia"/>
                      <w:color w:val="auto"/>
                      <w:spacing w:val="-11"/>
                      <w:kern w:val="0"/>
                      <w:sz w:val="21"/>
                      <w:szCs w:val="21"/>
                      <w:highlight w:val="none"/>
                      <w:lang w:val="en-US" w:eastAsia="zh-CN"/>
                    </w:rPr>
                  </w:pPr>
                  <w:r>
                    <w:rPr>
                      <w:rFonts w:hint="eastAsia"/>
                      <w:color w:val="auto"/>
                      <w:spacing w:val="-6"/>
                      <w:kern w:val="0"/>
                      <w:sz w:val="21"/>
                      <w:szCs w:val="21"/>
                      <w:highlight w:val="none"/>
                      <w:lang w:val="en-US" w:eastAsia="zh-CN"/>
                    </w:rPr>
                    <w:t>介入</w:t>
                  </w:r>
                </w:p>
              </w:tc>
              <w:tc>
                <w:tcPr>
                  <w:tcW w:w="586" w:type="pct"/>
                  <w:noWrap w:val="0"/>
                  <w:vAlign w:val="center"/>
                </w:tcPr>
                <w:p w14:paraId="65CE4F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pacing w:val="-11"/>
                      <w:kern w:val="0"/>
                      <w:sz w:val="21"/>
                      <w:szCs w:val="21"/>
                      <w:highlight w:val="none"/>
                      <w:lang w:val="en-US" w:eastAsia="zh-CN"/>
                    </w:rPr>
                  </w:pPr>
                  <w:r>
                    <w:rPr>
                      <w:rFonts w:hint="eastAsia"/>
                      <w:color w:val="auto"/>
                      <w:sz w:val="21"/>
                      <w:szCs w:val="21"/>
                      <w:highlight w:val="none"/>
                      <w:lang w:val="en-US" w:eastAsia="zh-CN"/>
                    </w:rPr>
                    <w:t>1.06E-03</w:t>
                  </w:r>
                </w:p>
              </w:tc>
              <w:tc>
                <w:tcPr>
                  <w:tcW w:w="569" w:type="pct"/>
                  <w:shd w:val="clear" w:color="auto" w:fill="auto"/>
                  <w:noWrap w:val="0"/>
                  <w:vAlign w:val="center"/>
                </w:tcPr>
                <w:p w14:paraId="04B802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76419D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06D466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81" w:type="pct"/>
                  <w:noWrap w:val="0"/>
                  <w:vAlign w:val="center"/>
                </w:tcPr>
                <w:p w14:paraId="3407456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C9A5D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A40897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762D33D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3BDE99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163C422">
                  <w:pPr>
                    <w:spacing w:line="240" w:lineRule="auto"/>
                    <w:jc w:val="center"/>
                    <w:rPr>
                      <w:rFonts w:hint="eastAsia"/>
                      <w:color w:val="auto"/>
                      <w:spacing w:val="-11"/>
                      <w:kern w:val="0"/>
                      <w:sz w:val="21"/>
                      <w:szCs w:val="21"/>
                      <w:highlight w:val="none"/>
                      <w:lang w:val="en-US" w:eastAsia="zh-CN"/>
                    </w:rPr>
                  </w:pPr>
                  <w:r>
                    <w:rPr>
                      <w:rFonts w:hint="eastAsia"/>
                      <w:color w:val="auto"/>
                      <w:spacing w:val="-6"/>
                      <w:kern w:val="0"/>
                      <w:sz w:val="21"/>
                      <w:szCs w:val="21"/>
                      <w:highlight w:val="none"/>
                      <w:lang w:val="en-US" w:eastAsia="zh-CN"/>
                    </w:rPr>
                    <w:t>影像</w:t>
                  </w:r>
                </w:p>
              </w:tc>
              <w:tc>
                <w:tcPr>
                  <w:tcW w:w="586" w:type="pct"/>
                  <w:noWrap w:val="0"/>
                  <w:vAlign w:val="center"/>
                </w:tcPr>
                <w:p w14:paraId="030ED9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pacing w:val="-11"/>
                      <w:kern w:val="0"/>
                      <w:sz w:val="21"/>
                      <w:szCs w:val="21"/>
                      <w:highlight w:val="none"/>
                      <w:lang w:val="en-US" w:eastAsia="zh-CN"/>
                    </w:rPr>
                  </w:pPr>
                  <w:r>
                    <w:rPr>
                      <w:rFonts w:hint="eastAsia"/>
                      <w:color w:val="auto"/>
                      <w:sz w:val="21"/>
                      <w:szCs w:val="21"/>
                      <w:highlight w:val="none"/>
                      <w:lang w:val="en-US" w:eastAsia="zh-CN"/>
                    </w:rPr>
                    <w:t>2.07E+00</w:t>
                  </w:r>
                </w:p>
              </w:tc>
              <w:tc>
                <w:tcPr>
                  <w:tcW w:w="569" w:type="pct"/>
                  <w:shd w:val="clear" w:color="auto" w:fill="auto"/>
                  <w:noWrap w:val="0"/>
                  <w:vAlign w:val="center"/>
                </w:tcPr>
                <w:p w14:paraId="564DD7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4F3963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04232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481" w:type="pct"/>
                  <w:noWrap w:val="0"/>
                  <w:vAlign w:val="center"/>
                </w:tcPr>
                <w:p w14:paraId="317DD8EA">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D272F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C187DF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1359B0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31</w:t>
                  </w:r>
                </w:p>
              </w:tc>
              <w:tc>
                <w:tcPr>
                  <w:tcW w:w="1122" w:type="pct"/>
                  <w:vMerge w:val="restart"/>
                  <w:shd w:val="clear" w:color="auto" w:fill="auto"/>
                  <w:noWrap w:val="0"/>
                  <w:vAlign w:val="center"/>
                </w:tcPr>
                <w:p w14:paraId="39E1497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385" w:type="pct"/>
                  <w:shd w:val="clear" w:color="auto" w:fill="auto"/>
                  <w:noWrap w:val="0"/>
                  <w:vAlign w:val="center"/>
                </w:tcPr>
                <w:p w14:paraId="37EAB2C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0A93129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7A11A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c>
                <w:tcPr>
                  <w:tcW w:w="578" w:type="pct"/>
                  <w:shd w:val="clear" w:color="auto" w:fill="auto"/>
                  <w:noWrap w:val="0"/>
                  <w:vAlign w:val="center"/>
                </w:tcPr>
                <w:p w14:paraId="5E68A8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c>
                <w:tcPr>
                  <w:tcW w:w="544" w:type="pct"/>
                  <w:noWrap w:val="0"/>
                  <w:vAlign w:val="center"/>
                </w:tcPr>
                <w:p w14:paraId="06D441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481" w:type="pct"/>
                  <w:noWrap w:val="0"/>
                  <w:vAlign w:val="center"/>
                </w:tcPr>
                <w:p w14:paraId="75F589C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6B323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6AE51F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ECDC5E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D997BD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127F550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6619021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7CB9C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c>
                <w:tcPr>
                  <w:tcW w:w="578" w:type="pct"/>
                  <w:shd w:val="clear" w:color="auto" w:fill="auto"/>
                  <w:noWrap w:val="0"/>
                  <w:vAlign w:val="center"/>
                </w:tcPr>
                <w:p w14:paraId="786CD6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c>
                <w:tcPr>
                  <w:tcW w:w="544" w:type="pct"/>
                  <w:noWrap w:val="0"/>
                  <w:vAlign w:val="center"/>
                </w:tcPr>
                <w:p w14:paraId="0443E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481" w:type="pct"/>
                  <w:noWrap w:val="0"/>
                  <w:vAlign w:val="center"/>
                </w:tcPr>
                <w:p w14:paraId="5DDE605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908EF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restart"/>
                  <w:shd w:val="clear" w:color="auto" w:fill="auto"/>
                  <w:noWrap w:val="0"/>
                  <w:vAlign w:val="center"/>
                </w:tcPr>
                <w:p w14:paraId="4D37E7B7">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rPr>
                  </w:pPr>
                  <w:r>
                    <w:rPr>
                      <w:rFonts w:hint="eastAsia"/>
                      <w:bCs/>
                      <w:sz w:val="21"/>
                      <w:szCs w:val="21"/>
                      <w:lang w:val="en-US" w:eastAsia="zh-CN"/>
                    </w:rPr>
                    <w:t>DSA手术室OR11</w:t>
                  </w:r>
                </w:p>
              </w:tc>
              <w:tc>
                <w:tcPr>
                  <w:tcW w:w="343" w:type="pct"/>
                  <w:vMerge w:val="restart"/>
                  <w:shd w:val="clear" w:color="auto" w:fill="auto"/>
                  <w:noWrap w:val="0"/>
                  <w:vAlign w:val="center"/>
                </w:tcPr>
                <w:p w14:paraId="754300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32</w:t>
                  </w:r>
                </w:p>
              </w:tc>
              <w:tc>
                <w:tcPr>
                  <w:tcW w:w="1122" w:type="pct"/>
                  <w:vMerge w:val="restart"/>
                  <w:shd w:val="clear" w:color="auto" w:fill="auto"/>
                  <w:noWrap w:val="0"/>
                  <w:vAlign w:val="center"/>
                </w:tcPr>
                <w:p w14:paraId="7528FC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机房北侧患者通道门外侧30cm（患者通道）</w:t>
                  </w:r>
                </w:p>
              </w:tc>
              <w:tc>
                <w:tcPr>
                  <w:tcW w:w="385" w:type="pct"/>
                  <w:shd w:val="clear" w:color="auto" w:fill="auto"/>
                  <w:noWrap w:val="0"/>
                  <w:vAlign w:val="center"/>
                </w:tcPr>
                <w:p w14:paraId="48E0C7C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AF4A87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2A42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5.06E-06</w:t>
                  </w:r>
                </w:p>
              </w:tc>
              <w:tc>
                <w:tcPr>
                  <w:tcW w:w="578" w:type="pct"/>
                  <w:shd w:val="clear" w:color="auto" w:fill="auto"/>
                  <w:noWrap w:val="0"/>
                  <w:vAlign w:val="center"/>
                </w:tcPr>
                <w:p w14:paraId="69ED2C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2.69E-06</w:t>
                  </w:r>
                </w:p>
              </w:tc>
              <w:tc>
                <w:tcPr>
                  <w:tcW w:w="544" w:type="pct"/>
                  <w:noWrap w:val="0"/>
                  <w:vAlign w:val="center"/>
                </w:tcPr>
                <w:p w14:paraId="027242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7.75E-06</w:t>
                  </w:r>
                </w:p>
              </w:tc>
              <w:tc>
                <w:tcPr>
                  <w:tcW w:w="481" w:type="pct"/>
                  <w:noWrap w:val="0"/>
                  <w:vAlign w:val="center"/>
                </w:tcPr>
                <w:p w14:paraId="6B97820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635B7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0A26CF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B2EFA6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679B222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33D22FAA">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62A580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86BFF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1.46E-02</w:t>
                  </w:r>
                </w:p>
              </w:tc>
              <w:tc>
                <w:tcPr>
                  <w:tcW w:w="578" w:type="pct"/>
                  <w:shd w:val="clear" w:color="auto" w:fill="auto"/>
                  <w:noWrap w:val="0"/>
                  <w:vAlign w:val="center"/>
                </w:tcPr>
                <w:p w14:paraId="2B7755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1.00E-04</w:t>
                  </w:r>
                </w:p>
              </w:tc>
              <w:tc>
                <w:tcPr>
                  <w:tcW w:w="544" w:type="pct"/>
                  <w:noWrap w:val="0"/>
                  <w:vAlign w:val="center"/>
                </w:tcPr>
                <w:p w14:paraId="45FADC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1.47E-02</w:t>
                  </w:r>
                </w:p>
              </w:tc>
              <w:tc>
                <w:tcPr>
                  <w:tcW w:w="481" w:type="pct"/>
                  <w:noWrap w:val="0"/>
                  <w:vAlign w:val="center"/>
                </w:tcPr>
                <w:p w14:paraId="0817595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59803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A4BED1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111D5E7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33</w:t>
                  </w:r>
                </w:p>
              </w:tc>
              <w:tc>
                <w:tcPr>
                  <w:tcW w:w="1122" w:type="pct"/>
                  <w:vMerge w:val="restart"/>
                  <w:shd w:val="clear" w:color="auto" w:fill="auto"/>
                  <w:noWrap w:val="0"/>
                  <w:vAlign w:val="center"/>
                </w:tcPr>
                <w:p w14:paraId="39DBFB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机房北侧墙体外侧30cm（患者通道）</w:t>
                  </w:r>
                </w:p>
              </w:tc>
              <w:tc>
                <w:tcPr>
                  <w:tcW w:w="385" w:type="pct"/>
                  <w:shd w:val="clear" w:color="auto" w:fill="auto"/>
                  <w:noWrap w:val="0"/>
                  <w:vAlign w:val="center"/>
                </w:tcPr>
                <w:p w14:paraId="7DB81342">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59AD9B4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16ABF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5.77E-05</w:t>
                  </w:r>
                </w:p>
              </w:tc>
              <w:tc>
                <w:tcPr>
                  <w:tcW w:w="578" w:type="pct"/>
                  <w:shd w:val="clear" w:color="auto" w:fill="auto"/>
                  <w:noWrap w:val="0"/>
                  <w:vAlign w:val="center"/>
                </w:tcPr>
                <w:p w14:paraId="7BAA90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3.07E-05</w:t>
                  </w:r>
                </w:p>
              </w:tc>
              <w:tc>
                <w:tcPr>
                  <w:tcW w:w="544" w:type="pct"/>
                  <w:noWrap w:val="0"/>
                  <w:vAlign w:val="center"/>
                </w:tcPr>
                <w:p w14:paraId="7F6C01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8.84E-05</w:t>
                  </w:r>
                </w:p>
              </w:tc>
              <w:tc>
                <w:tcPr>
                  <w:tcW w:w="481" w:type="pct"/>
                  <w:noWrap w:val="0"/>
                  <w:vAlign w:val="center"/>
                </w:tcPr>
                <w:p w14:paraId="1E4CB58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D0338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E68F23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76D6442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9B28CE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27F4E1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3F2D6A8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6BB87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9.34E-02</w:t>
                  </w:r>
                </w:p>
              </w:tc>
              <w:tc>
                <w:tcPr>
                  <w:tcW w:w="578" w:type="pct"/>
                  <w:shd w:val="clear" w:color="auto" w:fill="auto"/>
                  <w:noWrap w:val="0"/>
                  <w:vAlign w:val="center"/>
                </w:tcPr>
                <w:p w14:paraId="459E70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6.41E-04</w:t>
                  </w:r>
                </w:p>
              </w:tc>
              <w:tc>
                <w:tcPr>
                  <w:tcW w:w="544" w:type="pct"/>
                  <w:noWrap w:val="0"/>
                  <w:vAlign w:val="center"/>
                </w:tcPr>
                <w:p w14:paraId="010AF4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9.40E-02</w:t>
                  </w:r>
                </w:p>
              </w:tc>
              <w:tc>
                <w:tcPr>
                  <w:tcW w:w="481" w:type="pct"/>
                  <w:noWrap w:val="0"/>
                  <w:vAlign w:val="center"/>
                </w:tcPr>
                <w:p w14:paraId="40E8084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E0A39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9F31C9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158693B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34</w:t>
                  </w:r>
                </w:p>
              </w:tc>
              <w:tc>
                <w:tcPr>
                  <w:tcW w:w="1122" w:type="pct"/>
                  <w:vMerge w:val="restart"/>
                  <w:shd w:val="clear" w:color="auto" w:fill="auto"/>
                  <w:noWrap w:val="0"/>
                  <w:vAlign w:val="center"/>
                </w:tcPr>
                <w:p w14:paraId="1F0C376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机房东侧观察窗外侧1m（控制室操作位）</w:t>
                  </w:r>
                </w:p>
              </w:tc>
              <w:tc>
                <w:tcPr>
                  <w:tcW w:w="385" w:type="pct"/>
                  <w:shd w:val="clear" w:color="auto" w:fill="auto"/>
                  <w:noWrap w:val="0"/>
                  <w:vAlign w:val="center"/>
                </w:tcPr>
                <w:p w14:paraId="1EC5E78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57B5112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E01CE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6.46E-06</w:t>
                  </w:r>
                </w:p>
              </w:tc>
              <w:tc>
                <w:tcPr>
                  <w:tcW w:w="578" w:type="pct"/>
                  <w:shd w:val="clear" w:color="auto" w:fill="auto"/>
                  <w:noWrap w:val="0"/>
                  <w:vAlign w:val="center"/>
                </w:tcPr>
                <w:p w14:paraId="474680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3.44E-06</w:t>
                  </w:r>
                </w:p>
              </w:tc>
              <w:tc>
                <w:tcPr>
                  <w:tcW w:w="544" w:type="pct"/>
                  <w:noWrap w:val="0"/>
                  <w:vAlign w:val="center"/>
                </w:tcPr>
                <w:p w14:paraId="650E68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9.90E-06</w:t>
                  </w:r>
                </w:p>
              </w:tc>
              <w:tc>
                <w:tcPr>
                  <w:tcW w:w="481" w:type="pct"/>
                  <w:noWrap w:val="0"/>
                  <w:vAlign w:val="center"/>
                </w:tcPr>
                <w:p w14:paraId="3397C5E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EB2A8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BAA7D3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091CC6B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8920A7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381361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1A4E9F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A176D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1.86E-02</w:t>
                  </w:r>
                </w:p>
              </w:tc>
              <w:tc>
                <w:tcPr>
                  <w:tcW w:w="578" w:type="pct"/>
                  <w:shd w:val="clear" w:color="auto" w:fill="auto"/>
                  <w:noWrap w:val="0"/>
                  <w:vAlign w:val="center"/>
                </w:tcPr>
                <w:p w14:paraId="7F1815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1.28E-04</w:t>
                  </w:r>
                </w:p>
              </w:tc>
              <w:tc>
                <w:tcPr>
                  <w:tcW w:w="544" w:type="pct"/>
                  <w:noWrap w:val="0"/>
                  <w:vAlign w:val="center"/>
                </w:tcPr>
                <w:p w14:paraId="762F69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481" w:type="pct"/>
                  <w:noWrap w:val="0"/>
                  <w:vAlign w:val="center"/>
                </w:tcPr>
                <w:p w14:paraId="59E21B8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5F5E9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FC7E70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4CD3E9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35</w:t>
                  </w:r>
                </w:p>
              </w:tc>
              <w:tc>
                <w:tcPr>
                  <w:tcW w:w="1122" w:type="pct"/>
                  <w:vMerge w:val="restart"/>
                  <w:shd w:val="clear" w:color="auto" w:fill="auto"/>
                  <w:noWrap w:val="0"/>
                  <w:vAlign w:val="center"/>
                </w:tcPr>
                <w:p w14:paraId="7F4C8C3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机房东侧控制室门外侧30cm（控制室）</w:t>
                  </w:r>
                </w:p>
              </w:tc>
              <w:tc>
                <w:tcPr>
                  <w:tcW w:w="385" w:type="pct"/>
                  <w:shd w:val="clear" w:color="auto" w:fill="auto"/>
                  <w:noWrap w:val="0"/>
                  <w:vAlign w:val="center"/>
                </w:tcPr>
                <w:p w14:paraId="496AE438">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41ECBB9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AE9EF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8.17E-06</w:t>
                  </w:r>
                </w:p>
              </w:tc>
              <w:tc>
                <w:tcPr>
                  <w:tcW w:w="578" w:type="pct"/>
                  <w:shd w:val="clear" w:color="auto" w:fill="auto"/>
                  <w:noWrap w:val="0"/>
                  <w:vAlign w:val="center"/>
                </w:tcPr>
                <w:p w14:paraId="4A3B46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4.35E-06</w:t>
                  </w:r>
                </w:p>
              </w:tc>
              <w:tc>
                <w:tcPr>
                  <w:tcW w:w="544" w:type="pct"/>
                  <w:noWrap w:val="0"/>
                  <w:vAlign w:val="center"/>
                </w:tcPr>
                <w:p w14:paraId="1A8056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1.25E-05</w:t>
                  </w:r>
                </w:p>
              </w:tc>
              <w:tc>
                <w:tcPr>
                  <w:tcW w:w="481" w:type="pct"/>
                  <w:noWrap w:val="0"/>
                  <w:vAlign w:val="center"/>
                </w:tcPr>
                <w:p w14:paraId="13263AC5">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F92BD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CBA41F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682FFAD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18F0FAD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2A7EC27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4E1849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95A33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2.35E-02</w:t>
                  </w:r>
                </w:p>
              </w:tc>
              <w:tc>
                <w:tcPr>
                  <w:tcW w:w="578" w:type="pct"/>
                  <w:shd w:val="clear" w:color="auto" w:fill="auto"/>
                  <w:noWrap w:val="0"/>
                  <w:vAlign w:val="center"/>
                </w:tcPr>
                <w:p w14:paraId="3B7F57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1.62E-04</w:t>
                  </w:r>
                </w:p>
              </w:tc>
              <w:tc>
                <w:tcPr>
                  <w:tcW w:w="544" w:type="pct"/>
                  <w:noWrap w:val="0"/>
                  <w:vAlign w:val="center"/>
                </w:tcPr>
                <w:p w14:paraId="070B77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2.37E-02</w:t>
                  </w:r>
                </w:p>
              </w:tc>
              <w:tc>
                <w:tcPr>
                  <w:tcW w:w="481" w:type="pct"/>
                  <w:noWrap w:val="0"/>
                  <w:vAlign w:val="center"/>
                </w:tcPr>
                <w:p w14:paraId="63EAA01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802EC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A44C1E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7DE6CE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36</w:t>
                  </w:r>
                </w:p>
              </w:tc>
              <w:tc>
                <w:tcPr>
                  <w:tcW w:w="1122" w:type="pct"/>
                  <w:vMerge w:val="restart"/>
                  <w:shd w:val="clear" w:color="auto" w:fill="auto"/>
                  <w:noWrap w:val="0"/>
                  <w:vAlign w:val="center"/>
                </w:tcPr>
                <w:p w14:paraId="7E624F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机房东侧墙体外侧30cm（控制室）</w:t>
                  </w:r>
                </w:p>
              </w:tc>
              <w:tc>
                <w:tcPr>
                  <w:tcW w:w="385" w:type="pct"/>
                  <w:shd w:val="clear" w:color="auto" w:fill="auto"/>
                  <w:noWrap w:val="0"/>
                  <w:vAlign w:val="center"/>
                </w:tcPr>
                <w:p w14:paraId="306098AA">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31BA426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85883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8.79E-05</w:t>
                  </w:r>
                </w:p>
              </w:tc>
              <w:tc>
                <w:tcPr>
                  <w:tcW w:w="578" w:type="pct"/>
                  <w:shd w:val="clear" w:color="auto" w:fill="auto"/>
                  <w:noWrap w:val="0"/>
                  <w:vAlign w:val="center"/>
                </w:tcPr>
                <w:p w14:paraId="2D0DAF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4.68E-05</w:t>
                  </w:r>
                </w:p>
              </w:tc>
              <w:tc>
                <w:tcPr>
                  <w:tcW w:w="544" w:type="pct"/>
                  <w:noWrap w:val="0"/>
                  <w:vAlign w:val="center"/>
                </w:tcPr>
                <w:p w14:paraId="0160F8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1.35E-04</w:t>
                  </w:r>
                </w:p>
              </w:tc>
              <w:tc>
                <w:tcPr>
                  <w:tcW w:w="481" w:type="pct"/>
                  <w:noWrap w:val="0"/>
                  <w:vAlign w:val="center"/>
                </w:tcPr>
                <w:p w14:paraId="47294ED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40B60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C25E79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56A1F4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FB3479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042E23D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A60C33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D3A96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1.42E-01</w:t>
                  </w:r>
                </w:p>
              </w:tc>
              <w:tc>
                <w:tcPr>
                  <w:tcW w:w="578" w:type="pct"/>
                  <w:shd w:val="clear" w:color="auto" w:fill="auto"/>
                  <w:noWrap w:val="0"/>
                  <w:vAlign w:val="center"/>
                </w:tcPr>
                <w:p w14:paraId="3FD103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9.77E-04</w:t>
                  </w:r>
                </w:p>
              </w:tc>
              <w:tc>
                <w:tcPr>
                  <w:tcW w:w="544" w:type="pct"/>
                  <w:noWrap w:val="0"/>
                  <w:vAlign w:val="center"/>
                </w:tcPr>
                <w:p w14:paraId="7F0CF2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1.43E-01</w:t>
                  </w:r>
                </w:p>
              </w:tc>
              <w:tc>
                <w:tcPr>
                  <w:tcW w:w="481" w:type="pct"/>
                  <w:noWrap w:val="0"/>
                  <w:vAlign w:val="center"/>
                </w:tcPr>
                <w:p w14:paraId="24994DE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98CCE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AE5223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48A958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37</w:t>
                  </w:r>
                </w:p>
              </w:tc>
              <w:tc>
                <w:tcPr>
                  <w:tcW w:w="1122" w:type="pct"/>
                  <w:vMerge w:val="restart"/>
                  <w:shd w:val="clear" w:color="auto" w:fill="auto"/>
                  <w:noWrap w:val="0"/>
                  <w:vAlign w:val="center"/>
                </w:tcPr>
                <w:p w14:paraId="0F594B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机房南侧医生通道门外侧30cm（医生通道）</w:t>
                  </w:r>
                </w:p>
              </w:tc>
              <w:tc>
                <w:tcPr>
                  <w:tcW w:w="385" w:type="pct"/>
                  <w:shd w:val="clear" w:color="auto" w:fill="auto"/>
                  <w:noWrap w:val="0"/>
                  <w:vAlign w:val="center"/>
                </w:tcPr>
                <w:p w14:paraId="7991DAF0">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4033BC7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0DDF7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1.18E-05</w:t>
                  </w:r>
                </w:p>
              </w:tc>
              <w:tc>
                <w:tcPr>
                  <w:tcW w:w="578" w:type="pct"/>
                  <w:shd w:val="clear" w:color="auto" w:fill="auto"/>
                  <w:noWrap w:val="0"/>
                  <w:vAlign w:val="center"/>
                </w:tcPr>
                <w:p w14:paraId="777154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6.26E-06</w:t>
                  </w:r>
                </w:p>
              </w:tc>
              <w:tc>
                <w:tcPr>
                  <w:tcW w:w="544" w:type="pct"/>
                  <w:noWrap w:val="0"/>
                  <w:vAlign w:val="center"/>
                </w:tcPr>
                <w:p w14:paraId="23A346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1.81E-05</w:t>
                  </w:r>
                </w:p>
              </w:tc>
              <w:tc>
                <w:tcPr>
                  <w:tcW w:w="481" w:type="pct"/>
                  <w:noWrap w:val="0"/>
                  <w:vAlign w:val="center"/>
                </w:tcPr>
                <w:p w14:paraId="7446338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D0E88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4C4E3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332C62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51C71A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69B7AE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9B882F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A1BE3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3.39E-02</w:t>
                  </w:r>
                </w:p>
              </w:tc>
              <w:tc>
                <w:tcPr>
                  <w:tcW w:w="578" w:type="pct"/>
                  <w:shd w:val="clear" w:color="auto" w:fill="auto"/>
                  <w:noWrap w:val="0"/>
                  <w:vAlign w:val="center"/>
                </w:tcPr>
                <w:p w14:paraId="2F2B26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2.33E-04</w:t>
                  </w:r>
                </w:p>
              </w:tc>
              <w:tc>
                <w:tcPr>
                  <w:tcW w:w="544" w:type="pct"/>
                  <w:noWrap w:val="0"/>
                  <w:vAlign w:val="center"/>
                </w:tcPr>
                <w:p w14:paraId="61EE81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3.41E-02</w:t>
                  </w:r>
                </w:p>
              </w:tc>
              <w:tc>
                <w:tcPr>
                  <w:tcW w:w="481" w:type="pct"/>
                  <w:noWrap w:val="0"/>
                  <w:vAlign w:val="center"/>
                </w:tcPr>
                <w:p w14:paraId="1F6B9F8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12DC0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EC9B27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7B8248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38</w:t>
                  </w:r>
                </w:p>
              </w:tc>
              <w:tc>
                <w:tcPr>
                  <w:tcW w:w="1122" w:type="pct"/>
                  <w:vMerge w:val="restart"/>
                  <w:shd w:val="clear" w:color="auto" w:fill="auto"/>
                  <w:noWrap w:val="0"/>
                  <w:vAlign w:val="center"/>
                </w:tcPr>
                <w:p w14:paraId="487D4AA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机房南侧墙体外侧30cm（医生通道）</w:t>
                  </w:r>
                </w:p>
              </w:tc>
              <w:tc>
                <w:tcPr>
                  <w:tcW w:w="385" w:type="pct"/>
                  <w:shd w:val="clear" w:color="auto" w:fill="auto"/>
                  <w:noWrap w:val="0"/>
                  <w:vAlign w:val="center"/>
                </w:tcPr>
                <w:p w14:paraId="737F18BA">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394DB00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2EBCD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1.42E-04</w:t>
                  </w:r>
                </w:p>
              </w:tc>
              <w:tc>
                <w:tcPr>
                  <w:tcW w:w="578" w:type="pct"/>
                  <w:shd w:val="clear" w:color="auto" w:fill="auto"/>
                  <w:noWrap w:val="0"/>
                  <w:vAlign w:val="center"/>
                </w:tcPr>
                <w:p w14:paraId="0B0503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7.55E-05</w:t>
                  </w:r>
                </w:p>
              </w:tc>
              <w:tc>
                <w:tcPr>
                  <w:tcW w:w="544" w:type="pct"/>
                  <w:noWrap w:val="0"/>
                  <w:vAlign w:val="center"/>
                </w:tcPr>
                <w:p w14:paraId="21B28A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2.18E-04</w:t>
                  </w:r>
                </w:p>
              </w:tc>
              <w:tc>
                <w:tcPr>
                  <w:tcW w:w="481" w:type="pct"/>
                  <w:noWrap w:val="0"/>
                  <w:vAlign w:val="center"/>
                </w:tcPr>
                <w:p w14:paraId="3FD532B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0439B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0F2F66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F2DD71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31B1AD5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0641F9A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2268716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621DB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2.30E-01</w:t>
                  </w:r>
                </w:p>
              </w:tc>
              <w:tc>
                <w:tcPr>
                  <w:tcW w:w="578" w:type="pct"/>
                  <w:shd w:val="clear" w:color="auto" w:fill="auto"/>
                  <w:noWrap w:val="0"/>
                  <w:vAlign w:val="center"/>
                </w:tcPr>
                <w:p w14:paraId="4CE6F8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1.58E-03</w:t>
                  </w:r>
                </w:p>
              </w:tc>
              <w:tc>
                <w:tcPr>
                  <w:tcW w:w="544" w:type="pct"/>
                  <w:noWrap w:val="0"/>
                  <w:vAlign w:val="center"/>
                </w:tcPr>
                <w:p w14:paraId="1ACA42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2.32E-01</w:t>
                  </w:r>
                </w:p>
              </w:tc>
              <w:tc>
                <w:tcPr>
                  <w:tcW w:w="481" w:type="pct"/>
                  <w:noWrap w:val="0"/>
                  <w:vAlign w:val="center"/>
                </w:tcPr>
                <w:p w14:paraId="7BDE832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19533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50796B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EEE525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39</w:t>
                  </w:r>
                </w:p>
              </w:tc>
              <w:tc>
                <w:tcPr>
                  <w:tcW w:w="1122" w:type="pct"/>
                  <w:vMerge w:val="restart"/>
                  <w:shd w:val="clear" w:color="auto" w:fill="auto"/>
                  <w:noWrap w:val="0"/>
                  <w:vAlign w:val="center"/>
                </w:tcPr>
                <w:p w14:paraId="40762A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机房西侧墙体外侧30cm（DSA手术室OR10）</w:t>
                  </w:r>
                </w:p>
              </w:tc>
              <w:tc>
                <w:tcPr>
                  <w:tcW w:w="385" w:type="pct"/>
                  <w:shd w:val="clear" w:color="auto" w:fill="auto"/>
                  <w:noWrap w:val="0"/>
                  <w:vAlign w:val="center"/>
                </w:tcPr>
                <w:p w14:paraId="7EBA5235">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D8AB09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DD30B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8.09E-05</w:t>
                  </w:r>
                </w:p>
              </w:tc>
              <w:tc>
                <w:tcPr>
                  <w:tcW w:w="578" w:type="pct"/>
                  <w:shd w:val="clear" w:color="auto" w:fill="auto"/>
                  <w:noWrap w:val="0"/>
                  <w:vAlign w:val="center"/>
                </w:tcPr>
                <w:p w14:paraId="111113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4.30E-05</w:t>
                  </w:r>
                </w:p>
              </w:tc>
              <w:tc>
                <w:tcPr>
                  <w:tcW w:w="544" w:type="pct"/>
                  <w:noWrap w:val="0"/>
                  <w:vAlign w:val="center"/>
                </w:tcPr>
                <w:p w14:paraId="71B2B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1.24E-04</w:t>
                  </w:r>
                </w:p>
              </w:tc>
              <w:tc>
                <w:tcPr>
                  <w:tcW w:w="481" w:type="pct"/>
                  <w:noWrap w:val="0"/>
                  <w:vAlign w:val="center"/>
                </w:tcPr>
                <w:p w14:paraId="46A2C81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22CD2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9054CD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841BE2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32345D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CC4816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64DEA4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55373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1.31E-01</w:t>
                  </w:r>
                </w:p>
              </w:tc>
              <w:tc>
                <w:tcPr>
                  <w:tcW w:w="578" w:type="pct"/>
                  <w:shd w:val="clear" w:color="auto" w:fill="auto"/>
                  <w:noWrap w:val="0"/>
                  <w:vAlign w:val="center"/>
                </w:tcPr>
                <w:p w14:paraId="2F8DED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8.99E-04</w:t>
                  </w:r>
                </w:p>
              </w:tc>
              <w:tc>
                <w:tcPr>
                  <w:tcW w:w="544" w:type="pct"/>
                  <w:noWrap w:val="0"/>
                  <w:vAlign w:val="center"/>
                </w:tcPr>
                <w:p w14:paraId="5C80FF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1.32E-01</w:t>
                  </w:r>
                </w:p>
              </w:tc>
              <w:tc>
                <w:tcPr>
                  <w:tcW w:w="481" w:type="pct"/>
                  <w:noWrap w:val="0"/>
                  <w:vAlign w:val="center"/>
                </w:tcPr>
                <w:p w14:paraId="2FC1F6D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8FAC2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BC01DC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5D110E91">
                  <w:pPr>
                    <w:keepNext w:val="0"/>
                    <w:keepLines w:val="0"/>
                    <w:pageBreakBefore w:val="0"/>
                    <w:kinsoku/>
                    <w:wordWrap/>
                    <w:overflowPunct/>
                    <w:topLinePunct w:val="0"/>
                    <w:autoSpaceDE/>
                    <w:autoSpaceDN/>
                    <w:bidi w:val="0"/>
                    <w:adjustRightInd/>
                    <w:snapToGrid/>
                    <w:spacing w:line="280" w:lineRule="exact"/>
                    <w:jc w:val="center"/>
                    <w:rPr>
                      <w:rFonts w:hint="default"/>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40</w:t>
                  </w:r>
                </w:p>
              </w:tc>
              <w:tc>
                <w:tcPr>
                  <w:tcW w:w="1122" w:type="pct"/>
                  <w:vMerge w:val="restart"/>
                  <w:shd w:val="clear" w:color="auto" w:fill="auto"/>
                  <w:noWrap w:val="0"/>
                  <w:vAlign w:val="center"/>
                </w:tcPr>
                <w:p w14:paraId="361CD29A">
                  <w:pPr>
                    <w:spacing w:line="240" w:lineRule="auto"/>
                    <w:jc w:val="center"/>
                    <w:rPr>
                      <w:rFonts w:hint="eastAsia" w:ascii="Times New Roman" w:hAnsi="Times New Roman" w:eastAsia="宋体" w:cs="Times New Roman"/>
                      <w:color w:val="auto"/>
                      <w:spacing w:val="-6"/>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机房顶板上方距地面30cm（净化机房）</w:t>
                  </w:r>
                </w:p>
              </w:tc>
              <w:tc>
                <w:tcPr>
                  <w:tcW w:w="385" w:type="pct"/>
                  <w:shd w:val="clear" w:color="auto" w:fill="auto"/>
                  <w:noWrap w:val="0"/>
                  <w:vAlign w:val="center"/>
                </w:tcPr>
                <w:p w14:paraId="2234E46C">
                  <w:pPr>
                    <w:spacing w:line="240" w:lineRule="auto"/>
                    <w:jc w:val="center"/>
                    <w:rPr>
                      <w:rFonts w:hint="eastAsia" w:ascii="Times New Roman" w:hAnsi="Times New Roman" w:eastAsia="宋体" w:cs="Times New Roman"/>
                      <w:color w:val="auto"/>
                      <w:spacing w:val="-6"/>
                      <w:kern w:val="0"/>
                      <w:sz w:val="21"/>
                      <w:szCs w:val="21"/>
                      <w:highlight w:val="none"/>
                      <w:lang w:val="en-US" w:eastAsia="zh-CN" w:bidi="ar-SA"/>
                    </w:rPr>
                  </w:pPr>
                  <w:r>
                    <w:rPr>
                      <w:rFonts w:hint="eastAsia"/>
                      <w:color w:val="auto"/>
                      <w:spacing w:val="-6"/>
                      <w:kern w:val="0"/>
                      <w:sz w:val="21"/>
                      <w:szCs w:val="21"/>
                      <w:highlight w:val="none"/>
                      <w:lang w:val="en-US" w:eastAsia="zh-CN"/>
                    </w:rPr>
                    <w:t>介入</w:t>
                  </w:r>
                </w:p>
              </w:tc>
              <w:tc>
                <w:tcPr>
                  <w:tcW w:w="586" w:type="pct"/>
                  <w:shd w:val="clear" w:color="auto" w:fill="auto"/>
                  <w:noWrap w:val="0"/>
                  <w:vAlign w:val="center"/>
                </w:tcPr>
                <w:p w14:paraId="4B397A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1.06E-03</w:t>
                  </w:r>
                </w:p>
              </w:tc>
              <w:tc>
                <w:tcPr>
                  <w:tcW w:w="569" w:type="pct"/>
                  <w:shd w:val="clear" w:color="auto" w:fill="auto"/>
                  <w:noWrap w:val="0"/>
                  <w:vAlign w:val="center"/>
                </w:tcPr>
                <w:p w14:paraId="35BDD9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2FE9C6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7AE02F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81" w:type="pct"/>
                  <w:noWrap w:val="0"/>
                  <w:vAlign w:val="center"/>
                </w:tcPr>
                <w:p w14:paraId="1D14B65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72CC5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9E5515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2429A3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373E626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B11B0A1">
                  <w:pPr>
                    <w:spacing w:line="240" w:lineRule="auto"/>
                    <w:jc w:val="center"/>
                    <w:rPr>
                      <w:rFonts w:hint="eastAsia" w:ascii="Times New Roman" w:hAnsi="Times New Roman" w:eastAsia="宋体" w:cs="Times New Roman"/>
                      <w:color w:val="auto"/>
                      <w:spacing w:val="-6"/>
                      <w:kern w:val="0"/>
                      <w:sz w:val="21"/>
                      <w:szCs w:val="21"/>
                      <w:highlight w:val="none"/>
                      <w:lang w:val="en-US" w:eastAsia="zh-CN" w:bidi="ar-SA"/>
                    </w:rPr>
                  </w:pPr>
                  <w:r>
                    <w:rPr>
                      <w:rFonts w:hint="eastAsia"/>
                      <w:color w:val="auto"/>
                      <w:spacing w:val="-6"/>
                      <w:kern w:val="0"/>
                      <w:sz w:val="21"/>
                      <w:szCs w:val="21"/>
                      <w:highlight w:val="none"/>
                      <w:lang w:val="en-US" w:eastAsia="zh-CN"/>
                    </w:rPr>
                    <w:t>影像</w:t>
                  </w:r>
                </w:p>
              </w:tc>
              <w:tc>
                <w:tcPr>
                  <w:tcW w:w="586" w:type="pct"/>
                  <w:shd w:val="clear" w:color="auto" w:fill="auto"/>
                  <w:noWrap w:val="0"/>
                  <w:vAlign w:val="center"/>
                </w:tcPr>
                <w:p w14:paraId="01B799C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2.07E+00</w:t>
                  </w:r>
                </w:p>
              </w:tc>
              <w:tc>
                <w:tcPr>
                  <w:tcW w:w="569" w:type="pct"/>
                  <w:shd w:val="clear" w:color="auto" w:fill="auto"/>
                  <w:noWrap w:val="0"/>
                  <w:vAlign w:val="center"/>
                </w:tcPr>
                <w:p w14:paraId="6CB62D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181DA8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39E92D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481" w:type="pct"/>
                  <w:noWrap w:val="0"/>
                  <w:vAlign w:val="center"/>
                </w:tcPr>
                <w:p w14:paraId="3D3C134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4F8C5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0EAFBA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522E8C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41</w:t>
                  </w:r>
                </w:p>
              </w:tc>
              <w:tc>
                <w:tcPr>
                  <w:tcW w:w="1122" w:type="pct"/>
                  <w:vMerge w:val="restart"/>
                  <w:shd w:val="clear" w:color="auto" w:fill="auto"/>
                  <w:noWrap w:val="0"/>
                  <w:vAlign w:val="center"/>
                </w:tcPr>
                <w:p w14:paraId="0556FA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机房地板下方距地面1.5m（彩超功能检查区）</w:t>
                  </w:r>
                </w:p>
              </w:tc>
              <w:tc>
                <w:tcPr>
                  <w:tcW w:w="385" w:type="pct"/>
                  <w:shd w:val="clear" w:color="auto" w:fill="auto"/>
                  <w:noWrap w:val="0"/>
                  <w:vAlign w:val="center"/>
                </w:tcPr>
                <w:p w14:paraId="2A53E92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484FD7F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0D038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c>
                <w:tcPr>
                  <w:tcW w:w="578" w:type="pct"/>
                  <w:shd w:val="clear" w:color="auto" w:fill="auto"/>
                  <w:noWrap w:val="0"/>
                  <w:vAlign w:val="center"/>
                </w:tcPr>
                <w:p w14:paraId="408C92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c>
                <w:tcPr>
                  <w:tcW w:w="544" w:type="pct"/>
                  <w:noWrap w:val="0"/>
                  <w:vAlign w:val="center"/>
                </w:tcPr>
                <w:p w14:paraId="3E23A6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481" w:type="pct"/>
                  <w:noWrap w:val="0"/>
                  <w:vAlign w:val="center"/>
                </w:tcPr>
                <w:p w14:paraId="52E12017">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55413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FCA095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4942CCA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68C8140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0799E19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6EBA9E8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A6E11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c>
                <w:tcPr>
                  <w:tcW w:w="578" w:type="pct"/>
                  <w:shd w:val="clear" w:color="auto" w:fill="auto"/>
                  <w:noWrap w:val="0"/>
                  <w:vAlign w:val="center"/>
                </w:tcPr>
                <w:p w14:paraId="13F239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c>
                <w:tcPr>
                  <w:tcW w:w="544" w:type="pct"/>
                  <w:noWrap w:val="0"/>
                  <w:vAlign w:val="center"/>
                </w:tcPr>
                <w:p w14:paraId="4AFE68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481" w:type="pct"/>
                  <w:noWrap w:val="0"/>
                  <w:vAlign w:val="center"/>
                </w:tcPr>
                <w:p w14:paraId="3703832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CE2EB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restart"/>
                  <w:shd w:val="clear" w:color="auto" w:fill="auto"/>
                  <w:noWrap w:val="0"/>
                  <w:vAlign w:val="center"/>
                </w:tcPr>
                <w:p w14:paraId="15A1FA5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r>
                    <w:rPr>
                      <w:rFonts w:hint="eastAsia"/>
                      <w:color w:val="auto"/>
                      <w:spacing w:val="-6"/>
                      <w:kern w:val="0"/>
                      <w:sz w:val="21"/>
                      <w:szCs w:val="21"/>
                      <w:highlight w:val="none"/>
                      <w:lang w:val="en-US" w:eastAsia="zh-CN"/>
                    </w:rPr>
                    <w:t>ERCP室</w:t>
                  </w:r>
                </w:p>
              </w:tc>
              <w:tc>
                <w:tcPr>
                  <w:tcW w:w="343" w:type="pct"/>
                  <w:vMerge w:val="restart"/>
                  <w:shd w:val="clear" w:color="auto" w:fill="auto"/>
                  <w:noWrap w:val="0"/>
                  <w:vAlign w:val="center"/>
                </w:tcPr>
                <w:p w14:paraId="6E5E81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42</w:t>
                  </w:r>
                </w:p>
              </w:tc>
              <w:tc>
                <w:tcPr>
                  <w:tcW w:w="1122" w:type="pct"/>
                  <w:vMerge w:val="restart"/>
                  <w:shd w:val="clear" w:color="auto" w:fill="auto"/>
                  <w:noWrap w:val="0"/>
                  <w:vAlign w:val="center"/>
                </w:tcPr>
                <w:p w14:paraId="2B5A92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机房北侧墙体外侧30cm（医生通道）</w:t>
                  </w:r>
                </w:p>
              </w:tc>
              <w:tc>
                <w:tcPr>
                  <w:tcW w:w="385" w:type="pct"/>
                  <w:shd w:val="clear" w:color="auto" w:fill="auto"/>
                  <w:noWrap w:val="0"/>
                  <w:vAlign w:val="center"/>
                </w:tcPr>
                <w:p w14:paraId="4C139A2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1BAF99E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A1FF0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1.41E-06</w:t>
                  </w:r>
                </w:p>
              </w:tc>
              <w:tc>
                <w:tcPr>
                  <w:tcW w:w="578" w:type="pct"/>
                  <w:shd w:val="clear" w:color="auto" w:fill="auto"/>
                  <w:noWrap w:val="0"/>
                  <w:vAlign w:val="center"/>
                </w:tcPr>
                <w:p w14:paraId="05B780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7.49E-07</w:t>
                  </w:r>
                </w:p>
              </w:tc>
              <w:tc>
                <w:tcPr>
                  <w:tcW w:w="544" w:type="pct"/>
                  <w:noWrap w:val="0"/>
                  <w:vAlign w:val="center"/>
                </w:tcPr>
                <w:p w14:paraId="11F67E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2.16E-06</w:t>
                  </w:r>
                </w:p>
              </w:tc>
              <w:tc>
                <w:tcPr>
                  <w:tcW w:w="481" w:type="pct"/>
                  <w:noWrap w:val="0"/>
                  <w:vAlign w:val="center"/>
                </w:tcPr>
                <w:p w14:paraId="18DFF9FB">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4381C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B2297D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E459C21">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2877A5F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6BA5E10C">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05578D2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0ABA1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7.28E-03</w:t>
                  </w:r>
                </w:p>
              </w:tc>
              <w:tc>
                <w:tcPr>
                  <w:tcW w:w="578" w:type="pct"/>
                  <w:shd w:val="clear" w:color="auto" w:fill="auto"/>
                  <w:noWrap w:val="0"/>
                  <w:vAlign w:val="center"/>
                </w:tcPr>
                <w:p w14:paraId="2B7E95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4.99E-05</w:t>
                  </w:r>
                </w:p>
              </w:tc>
              <w:tc>
                <w:tcPr>
                  <w:tcW w:w="544" w:type="pct"/>
                  <w:noWrap w:val="0"/>
                  <w:vAlign w:val="center"/>
                </w:tcPr>
                <w:p w14:paraId="38113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7.33E-03</w:t>
                  </w:r>
                </w:p>
              </w:tc>
              <w:tc>
                <w:tcPr>
                  <w:tcW w:w="481" w:type="pct"/>
                  <w:noWrap w:val="0"/>
                  <w:vAlign w:val="center"/>
                </w:tcPr>
                <w:p w14:paraId="4A3DDA4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11458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140919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704FD1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43</w:t>
                  </w:r>
                </w:p>
              </w:tc>
              <w:tc>
                <w:tcPr>
                  <w:tcW w:w="1122" w:type="pct"/>
                  <w:vMerge w:val="restart"/>
                  <w:shd w:val="clear" w:color="auto" w:fill="auto"/>
                  <w:noWrap w:val="0"/>
                  <w:vAlign w:val="center"/>
                </w:tcPr>
                <w:p w14:paraId="773747C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机房东侧观察窗外侧1m（控制室操作位）</w:t>
                  </w:r>
                </w:p>
              </w:tc>
              <w:tc>
                <w:tcPr>
                  <w:tcW w:w="385" w:type="pct"/>
                  <w:shd w:val="clear" w:color="auto" w:fill="auto"/>
                  <w:noWrap w:val="0"/>
                  <w:vAlign w:val="center"/>
                </w:tcPr>
                <w:p w14:paraId="44507609">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02AAA82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609BF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9.58E-08</w:t>
                  </w:r>
                </w:p>
              </w:tc>
              <w:tc>
                <w:tcPr>
                  <w:tcW w:w="578" w:type="pct"/>
                  <w:shd w:val="clear" w:color="auto" w:fill="auto"/>
                  <w:noWrap w:val="0"/>
                  <w:vAlign w:val="center"/>
                </w:tcPr>
                <w:p w14:paraId="7CA39A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5.10E-08</w:t>
                  </w:r>
                </w:p>
              </w:tc>
              <w:tc>
                <w:tcPr>
                  <w:tcW w:w="544" w:type="pct"/>
                  <w:noWrap w:val="0"/>
                  <w:vAlign w:val="center"/>
                </w:tcPr>
                <w:p w14:paraId="34228A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1.47E-07</w:t>
                  </w:r>
                </w:p>
              </w:tc>
              <w:tc>
                <w:tcPr>
                  <w:tcW w:w="481" w:type="pct"/>
                  <w:noWrap w:val="0"/>
                  <w:vAlign w:val="center"/>
                </w:tcPr>
                <w:p w14:paraId="7150C4E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CD48E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EC9D82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7E1CD21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8045A8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184052D8">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F809F3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467849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8.83E-04</w:t>
                  </w:r>
                </w:p>
              </w:tc>
              <w:tc>
                <w:tcPr>
                  <w:tcW w:w="578" w:type="pct"/>
                  <w:shd w:val="clear" w:color="auto" w:fill="auto"/>
                  <w:noWrap w:val="0"/>
                  <w:vAlign w:val="center"/>
                </w:tcPr>
                <w:p w14:paraId="7149C8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6.06E-06</w:t>
                  </w:r>
                </w:p>
              </w:tc>
              <w:tc>
                <w:tcPr>
                  <w:tcW w:w="544" w:type="pct"/>
                  <w:noWrap w:val="0"/>
                  <w:vAlign w:val="center"/>
                </w:tcPr>
                <w:p w14:paraId="4855F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8.89E-04</w:t>
                  </w:r>
                </w:p>
              </w:tc>
              <w:tc>
                <w:tcPr>
                  <w:tcW w:w="481" w:type="pct"/>
                  <w:noWrap w:val="0"/>
                  <w:vAlign w:val="center"/>
                </w:tcPr>
                <w:p w14:paraId="5D29AD5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B52DA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7" w:type="pct"/>
                  <w:vMerge w:val="continue"/>
                  <w:shd w:val="clear" w:color="auto" w:fill="auto"/>
                  <w:noWrap w:val="0"/>
                  <w:vAlign w:val="center"/>
                </w:tcPr>
                <w:p w14:paraId="7AB8FA5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602CDC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44</w:t>
                  </w:r>
                </w:p>
              </w:tc>
              <w:tc>
                <w:tcPr>
                  <w:tcW w:w="1122" w:type="pct"/>
                  <w:vMerge w:val="restart"/>
                  <w:shd w:val="clear" w:color="auto" w:fill="auto"/>
                  <w:noWrap w:val="0"/>
                  <w:vAlign w:val="center"/>
                </w:tcPr>
                <w:p w14:paraId="032E0A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机房东侧控制室门外侧30cm（控制室）</w:t>
                  </w:r>
                </w:p>
              </w:tc>
              <w:tc>
                <w:tcPr>
                  <w:tcW w:w="385" w:type="pct"/>
                  <w:shd w:val="clear" w:color="auto" w:fill="auto"/>
                  <w:noWrap w:val="0"/>
                  <w:vAlign w:val="center"/>
                </w:tcPr>
                <w:p w14:paraId="7AB26BF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1C86E2C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D0ACD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1.11E-07</w:t>
                  </w:r>
                </w:p>
              </w:tc>
              <w:tc>
                <w:tcPr>
                  <w:tcW w:w="578" w:type="pct"/>
                  <w:shd w:val="clear" w:color="auto" w:fill="auto"/>
                  <w:noWrap w:val="0"/>
                  <w:vAlign w:val="center"/>
                </w:tcPr>
                <w:p w14:paraId="000D08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5.89E-08</w:t>
                  </w:r>
                </w:p>
              </w:tc>
              <w:tc>
                <w:tcPr>
                  <w:tcW w:w="544" w:type="pct"/>
                  <w:noWrap w:val="0"/>
                  <w:vAlign w:val="center"/>
                </w:tcPr>
                <w:p w14:paraId="7FB2B5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1.70E-07</w:t>
                  </w:r>
                </w:p>
              </w:tc>
              <w:tc>
                <w:tcPr>
                  <w:tcW w:w="481" w:type="pct"/>
                  <w:noWrap w:val="0"/>
                  <w:vAlign w:val="center"/>
                </w:tcPr>
                <w:p w14:paraId="1E1EA2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C9955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4D5274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6ABC55A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8DB5E6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F25A787">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0691FEB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06B1B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1.02E-03</w:t>
                  </w:r>
                </w:p>
              </w:tc>
              <w:tc>
                <w:tcPr>
                  <w:tcW w:w="578" w:type="pct"/>
                  <w:shd w:val="clear" w:color="auto" w:fill="auto"/>
                  <w:noWrap w:val="0"/>
                  <w:vAlign w:val="center"/>
                </w:tcPr>
                <w:p w14:paraId="52826B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7.00E-06</w:t>
                  </w:r>
                </w:p>
              </w:tc>
              <w:tc>
                <w:tcPr>
                  <w:tcW w:w="544" w:type="pct"/>
                  <w:noWrap w:val="0"/>
                  <w:vAlign w:val="center"/>
                </w:tcPr>
                <w:p w14:paraId="73972C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1.03E-03</w:t>
                  </w:r>
                </w:p>
              </w:tc>
              <w:tc>
                <w:tcPr>
                  <w:tcW w:w="481" w:type="pct"/>
                  <w:noWrap w:val="0"/>
                  <w:vAlign w:val="center"/>
                </w:tcPr>
                <w:p w14:paraId="16540770">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B87A8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23F29E0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636681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45</w:t>
                  </w:r>
                </w:p>
              </w:tc>
              <w:tc>
                <w:tcPr>
                  <w:tcW w:w="1122" w:type="pct"/>
                  <w:vMerge w:val="restart"/>
                  <w:shd w:val="clear" w:color="auto" w:fill="auto"/>
                  <w:noWrap w:val="0"/>
                  <w:vAlign w:val="center"/>
                </w:tcPr>
                <w:p w14:paraId="02D14BB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机房东侧准备间门外侧30cm（准备间）</w:t>
                  </w:r>
                </w:p>
              </w:tc>
              <w:tc>
                <w:tcPr>
                  <w:tcW w:w="385" w:type="pct"/>
                  <w:shd w:val="clear" w:color="auto" w:fill="auto"/>
                  <w:noWrap w:val="0"/>
                  <w:vAlign w:val="center"/>
                </w:tcPr>
                <w:p w14:paraId="7A29086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0C24E02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D7D6C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1.05E-07</w:t>
                  </w:r>
                </w:p>
              </w:tc>
              <w:tc>
                <w:tcPr>
                  <w:tcW w:w="578" w:type="pct"/>
                  <w:shd w:val="clear" w:color="auto" w:fill="auto"/>
                  <w:noWrap w:val="0"/>
                  <w:vAlign w:val="center"/>
                </w:tcPr>
                <w:p w14:paraId="32DF04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5.61E-08</w:t>
                  </w:r>
                </w:p>
              </w:tc>
              <w:tc>
                <w:tcPr>
                  <w:tcW w:w="544" w:type="pct"/>
                  <w:noWrap w:val="0"/>
                  <w:vAlign w:val="center"/>
                </w:tcPr>
                <w:p w14:paraId="7F90E9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1.61E-07</w:t>
                  </w:r>
                </w:p>
              </w:tc>
              <w:tc>
                <w:tcPr>
                  <w:tcW w:w="481" w:type="pct"/>
                  <w:noWrap w:val="0"/>
                  <w:vAlign w:val="center"/>
                </w:tcPr>
                <w:p w14:paraId="751077C6">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A159C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2960EE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4A80FB7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0ADA5F3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5427F721">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5112876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00F3C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9.71E-04</w:t>
                  </w:r>
                </w:p>
              </w:tc>
              <w:tc>
                <w:tcPr>
                  <w:tcW w:w="578" w:type="pct"/>
                  <w:shd w:val="clear" w:color="auto" w:fill="auto"/>
                  <w:noWrap w:val="0"/>
                  <w:vAlign w:val="center"/>
                </w:tcPr>
                <w:p w14:paraId="79BE6D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6.67E-06</w:t>
                  </w:r>
                </w:p>
              </w:tc>
              <w:tc>
                <w:tcPr>
                  <w:tcW w:w="544" w:type="pct"/>
                  <w:noWrap w:val="0"/>
                  <w:vAlign w:val="center"/>
                </w:tcPr>
                <w:p w14:paraId="5819BC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9.78E-04</w:t>
                  </w:r>
                </w:p>
              </w:tc>
              <w:tc>
                <w:tcPr>
                  <w:tcW w:w="481" w:type="pct"/>
                  <w:noWrap w:val="0"/>
                  <w:vAlign w:val="center"/>
                </w:tcPr>
                <w:p w14:paraId="2E02FA0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67FEF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BE180D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C4F37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46</w:t>
                  </w:r>
                </w:p>
              </w:tc>
              <w:tc>
                <w:tcPr>
                  <w:tcW w:w="1122" w:type="pct"/>
                  <w:vMerge w:val="restart"/>
                  <w:shd w:val="clear" w:color="auto" w:fill="auto"/>
                  <w:noWrap w:val="0"/>
                  <w:vAlign w:val="center"/>
                </w:tcPr>
                <w:p w14:paraId="646A0C4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机房东侧墙体外侧30cm（控制室）</w:t>
                  </w:r>
                </w:p>
              </w:tc>
              <w:tc>
                <w:tcPr>
                  <w:tcW w:w="385" w:type="pct"/>
                  <w:shd w:val="clear" w:color="auto" w:fill="auto"/>
                  <w:noWrap w:val="0"/>
                  <w:vAlign w:val="center"/>
                </w:tcPr>
                <w:p w14:paraId="10DFB42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6E080D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8B60B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1.41E-06</w:t>
                  </w:r>
                </w:p>
              </w:tc>
              <w:tc>
                <w:tcPr>
                  <w:tcW w:w="578" w:type="pct"/>
                  <w:shd w:val="clear" w:color="auto" w:fill="auto"/>
                  <w:noWrap w:val="0"/>
                  <w:vAlign w:val="center"/>
                </w:tcPr>
                <w:p w14:paraId="28E0B6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7.49E-07</w:t>
                  </w:r>
                </w:p>
              </w:tc>
              <w:tc>
                <w:tcPr>
                  <w:tcW w:w="544" w:type="pct"/>
                  <w:noWrap w:val="0"/>
                  <w:vAlign w:val="center"/>
                </w:tcPr>
                <w:p w14:paraId="02A86E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2.16E-06</w:t>
                  </w:r>
                </w:p>
              </w:tc>
              <w:tc>
                <w:tcPr>
                  <w:tcW w:w="481" w:type="pct"/>
                  <w:noWrap w:val="0"/>
                  <w:vAlign w:val="center"/>
                </w:tcPr>
                <w:p w14:paraId="3D2F4FA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83A91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6055966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47D453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5266166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47CF9326">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140DB0D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D23FF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7.28E-03</w:t>
                  </w:r>
                </w:p>
              </w:tc>
              <w:tc>
                <w:tcPr>
                  <w:tcW w:w="578" w:type="pct"/>
                  <w:shd w:val="clear" w:color="auto" w:fill="auto"/>
                  <w:noWrap w:val="0"/>
                  <w:vAlign w:val="center"/>
                </w:tcPr>
                <w:p w14:paraId="0CD56F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4.99E-05</w:t>
                  </w:r>
                </w:p>
              </w:tc>
              <w:tc>
                <w:tcPr>
                  <w:tcW w:w="544" w:type="pct"/>
                  <w:noWrap w:val="0"/>
                  <w:vAlign w:val="center"/>
                </w:tcPr>
                <w:p w14:paraId="4134C1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7.33E-03</w:t>
                  </w:r>
                </w:p>
              </w:tc>
              <w:tc>
                <w:tcPr>
                  <w:tcW w:w="481" w:type="pct"/>
                  <w:noWrap w:val="0"/>
                  <w:vAlign w:val="center"/>
                </w:tcPr>
                <w:p w14:paraId="7F554179">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21902B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5F6317C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6961A53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47</w:t>
                  </w:r>
                </w:p>
              </w:tc>
              <w:tc>
                <w:tcPr>
                  <w:tcW w:w="1122" w:type="pct"/>
                  <w:vMerge w:val="restart"/>
                  <w:shd w:val="clear" w:color="auto" w:fill="auto"/>
                  <w:noWrap w:val="0"/>
                  <w:vAlign w:val="center"/>
                </w:tcPr>
                <w:p w14:paraId="429BB7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机房南侧患者通道门外侧30cm（患者通道）</w:t>
                  </w:r>
                </w:p>
              </w:tc>
              <w:tc>
                <w:tcPr>
                  <w:tcW w:w="385" w:type="pct"/>
                  <w:shd w:val="clear" w:color="auto" w:fill="auto"/>
                  <w:noWrap w:val="0"/>
                  <w:vAlign w:val="center"/>
                </w:tcPr>
                <w:p w14:paraId="323630B7">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7DD3A29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5B8A2C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5.09E-08</w:t>
                  </w:r>
                </w:p>
              </w:tc>
              <w:tc>
                <w:tcPr>
                  <w:tcW w:w="578" w:type="pct"/>
                  <w:shd w:val="clear" w:color="auto" w:fill="auto"/>
                  <w:noWrap w:val="0"/>
                  <w:vAlign w:val="center"/>
                </w:tcPr>
                <w:p w14:paraId="62A254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2.71E-08</w:t>
                  </w:r>
                </w:p>
              </w:tc>
              <w:tc>
                <w:tcPr>
                  <w:tcW w:w="544" w:type="pct"/>
                  <w:noWrap w:val="0"/>
                  <w:vAlign w:val="center"/>
                </w:tcPr>
                <w:p w14:paraId="2E977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7.80E-08</w:t>
                  </w:r>
                </w:p>
              </w:tc>
              <w:tc>
                <w:tcPr>
                  <w:tcW w:w="481" w:type="pct"/>
                  <w:noWrap w:val="0"/>
                  <w:vAlign w:val="center"/>
                </w:tcPr>
                <w:p w14:paraId="0D41B7C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719A3A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C7AE05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517C634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45BE053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0D6405C1">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04B4CB9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3DF18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4.69E-04</w:t>
                  </w:r>
                </w:p>
              </w:tc>
              <w:tc>
                <w:tcPr>
                  <w:tcW w:w="578" w:type="pct"/>
                  <w:shd w:val="clear" w:color="auto" w:fill="auto"/>
                  <w:noWrap w:val="0"/>
                  <w:vAlign w:val="center"/>
                </w:tcPr>
                <w:p w14:paraId="31E90B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3.22E-06</w:t>
                  </w:r>
                </w:p>
              </w:tc>
              <w:tc>
                <w:tcPr>
                  <w:tcW w:w="544" w:type="pct"/>
                  <w:noWrap w:val="0"/>
                  <w:vAlign w:val="center"/>
                </w:tcPr>
                <w:p w14:paraId="38973C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4.72E-04</w:t>
                  </w:r>
                </w:p>
              </w:tc>
              <w:tc>
                <w:tcPr>
                  <w:tcW w:w="481" w:type="pct"/>
                  <w:noWrap w:val="0"/>
                  <w:vAlign w:val="center"/>
                </w:tcPr>
                <w:p w14:paraId="352CD4FF">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09A6D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7E1F2A5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2C823B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48</w:t>
                  </w:r>
                </w:p>
              </w:tc>
              <w:tc>
                <w:tcPr>
                  <w:tcW w:w="1122" w:type="pct"/>
                  <w:vMerge w:val="restart"/>
                  <w:shd w:val="clear" w:color="auto" w:fill="auto"/>
                  <w:noWrap w:val="0"/>
                  <w:vAlign w:val="center"/>
                </w:tcPr>
                <w:p w14:paraId="40B8FE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机房南侧墙体外侧30cm（患者通道）</w:t>
                  </w:r>
                </w:p>
              </w:tc>
              <w:tc>
                <w:tcPr>
                  <w:tcW w:w="385" w:type="pct"/>
                  <w:shd w:val="clear" w:color="auto" w:fill="auto"/>
                  <w:noWrap w:val="0"/>
                  <w:vAlign w:val="center"/>
                </w:tcPr>
                <w:p w14:paraId="46680B2D">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0F8CA88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048E16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1.33E-06</w:t>
                  </w:r>
                </w:p>
              </w:tc>
              <w:tc>
                <w:tcPr>
                  <w:tcW w:w="578" w:type="pct"/>
                  <w:shd w:val="clear" w:color="auto" w:fill="auto"/>
                  <w:noWrap w:val="0"/>
                  <w:vAlign w:val="center"/>
                </w:tcPr>
                <w:p w14:paraId="76709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7.09E-07</w:t>
                  </w:r>
                </w:p>
              </w:tc>
              <w:tc>
                <w:tcPr>
                  <w:tcW w:w="544" w:type="pct"/>
                  <w:noWrap w:val="0"/>
                  <w:vAlign w:val="center"/>
                </w:tcPr>
                <w:p w14:paraId="48A0C1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2.04E-06</w:t>
                  </w:r>
                </w:p>
              </w:tc>
              <w:tc>
                <w:tcPr>
                  <w:tcW w:w="481" w:type="pct"/>
                  <w:noWrap w:val="0"/>
                  <w:vAlign w:val="center"/>
                </w:tcPr>
                <w:p w14:paraId="326939D1">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0F487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0A066E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11DE6173">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EEBF18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6CF9149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325289E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6D6DA6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6.89E-03</w:t>
                  </w:r>
                </w:p>
              </w:tc>
              <w:tc>
                <w:tcPr>
                  <w:tcW w:w="578" w:type="pct"/>
                  <w:shd w:val="clear" w:color="auto" w:fill="auto"/>
                  <w:noWrap w:val="0"/>
                  <w:vAlign w:val="center"/>
                </w:tcPr>
                <w:p w14:paraId="72E80F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4.73E-05</w:t>
                  </w:r>
                </w:p>
              </w:tc>
              <w:tc>
                <w:tcPr>
                  <w:tcW w:w="544" w:type="pct"/>
                  <w:noWrap w:val="0"/>
                  <w:vAlign w:val="center"/>
                </w:tcPr>
                <w:p w14:paraId="601830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6.94E-03</w:t>
                  </w:r>
                </w:p>
              </w:tc>
              <w:tc>
                <w:tcPr>
                  <w:tcW w:w="481" w:type="pct"/>
                  <w:noWrap w:val="0"/>
                  <w:vAlign w:val="center"/>
                </w:tcPr>
                <w:p w14:paraId="14EEB0DD">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597361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0C3A8A4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231C35E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0"/>
                      <w:kern w:val="0"/>
                      <w:sz w:val="21"/>
                      <w:szCs w:val="21"/>
                      <w:highlight w:val="none"/>
                      <w:lang w:val="en-US" w:eastAsia="zh-CN"/>
                    </w:rPr>
                    <w:t>49</w:t>
                  </w:r>
                </w:p>
              </w:tc>
              <w:tc>
                <w:tcPr>
                  <w:tcW w:w="1122" w:type="pct"/>
                  <w:vMerge w:val="restart"/>
                  <w:shd w:val="clear" w:color="auto" w:fill="auto"/>
                  <w:noWrap w:val="0"/>
                  <w:vAlign w:val="center"/>
                </w:tcPr>
                <w:p w14:paraId="02D2C5D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机房西侧墙体外侧30cm（治疗室R9）</w:t>
                  </w:r>
                </w:p>
              </w:tc>
              <w:tc>
                <w:tcPr>
                  <w:tcW w:w="385" w:type="pct"/>
                  <w:shd w:val="clear" w:color="auto" w:fill="auto"/>
                  <w:noWrap w:val="0"/>
                  <w:vAlign w:val="center"/>
                </w:tcPr>
                <w:p w14:paraId="68A76CB1">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092BB6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2DD9D8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2.17E-06</w:t>
                  </w:r>
                </w:p>
              </w:tc>
              <w:tc>
                <w:tcPr>
                  <w:tcW w:w="578" w:type="pct"/>
                  <w:shd w:val="clear" w:color="auto" w:fill="auto"/>
                  <w:noWrap w:val="0"/>
                  <w:vAlign w:val="center"/>
                </w:tcPr>
                <w:p w14:paraId="393AE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1.15E-06</w:t>
                  </w:r>
                </w:p>
              </w:tc>
              <w:tc>
                <w:tcPr>
                  <w:tcW w:w="544" w:type="pct"/>
                  <w:noWrap w:val="0"/>
                  <w:vAlign w:val="center"/>
                </w:tcPr>
                <w:p w14:paraId="14B022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3.32E-06</w:t>
                  </w:r>
                </w:p>
              </w:tc>
              <w:tc>
                <w:tcPr>
                  <w:tcW w:w="481" w:type="pct"/>
                  <w:noWrap w:val="0"/>
                  <w:vAlign w:val="center"/>
                </w:tcPr>
                <w:p w14:paraId="63B0B63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1EBBF5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1D76A4A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0235C39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3F8AC026">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64D32557">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1924CCED">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128485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1.12E-02</w:t>
                  </w:r>
                </w:p>
              </w:tc>
              <w:tc>
                <w:tcPr>
                  <w:tcW w:w="578" w:type="pct"/>
                  <w:shd w:val="clear" w:color="auto" w:fill="auto"/>
                  <w:noWrap w:val="0"/>
                  <w:vAlign w:val="center"/>
                </w:tcPr>
                <w:p w14:paraId="19820C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7.70E-05</w:t>
                  </w:r>
                </w:p>
              </w:tc>
              <w:tc>
                <w:tcPr>
                  <w:tcW w:w="544" w:type="pct"/>
                  <w:noWrap w:val="0"/>
                  <w:vAlign w:val="center"/>
                </w:tcPr>
                <w:p w14:paraId="279CA2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1.13E-02</w:t>
                  </w:r>
                </w:p>
              </w:tc>
              <w:tc>
                <w:tcPr>
                  <w:tcW w:w="481" w:type="pct"/>
                  <w:noWrap w:val="0"/>
                  <w:vAlign w:val="center"/>
                </w:tcPr>
                <w:p w14:paraId="0F8CB80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F9B22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22C0D6E">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ABF856E">
                  <w:pPr>
                    <w:spacing w:line="240" w:lineRule="auto"/>
                    <w:jc w:val="center"/>
                    <w:rPr>
                      <w:rFonts w:hint="default"/>
                      <w:color w:val="auto"/>
                      <w:spacing w:val="-11"/>
                      <w:kern w:val="0"/>
                      <w:sz w:val="21"/>
                      <w:szCs w:val="21"/>
                      <w:highlight w:val="none"/>
                      <w:lang w:val="en-US" w:eastAsia="zh-CN"/>
                    </w:rPr>
                  </w:pPr>
                  <w:r>
                    <w:rPr>
                      <w:rFonts w:hint="eastAsia"/>
                      <w:color w:val="auto"/>
                      <w:spacing w:val="-6"/>
                      <w:kern w:val="0"/>
                      <w:sz w:val="21"/>
                      <w:szCs w:val="21"/>
                      <w:highlight w:val="none"/>
                      <w:lang w:val="en-US" w:eastAsia="zh-CN"/>
                    </w:rPr>
                    <w:t>50</w:t>
                  </w:r>
                </w:p>
              </w:tc>
              <w:tc>
                <w:tcPr>
                  <w:tcW w:w="1122" w:type="pct"/>
                  <w:vMerge w:val="restart"/>
                  <w:shd w:val="clear" w:color="auto" w:fill="auto"/>
                  <w:noWrap w:val="0"/>
                  <w:vAlign w:val="center"/>
                </w:tcPr>
                <w:p w14:paraId="2B722512">
                  <w:pPr>
                    <w:spacing w:line="240" w:lineRule="auto"/>
                    <w:jc w:val="center"/>
                    <w:rPr>
                      <w:rFonts w:hint="eastAsia"/>
                      <w:color w:val="auto"/>
                      <w:spacing w:val="-11"/>
                      <w:kern w:val="0"/>
                      <w:sz w:val="21"/>
                      <w:szCs w:val="21"/>
                      <w:highlight w:val="none"/>
                    </w:rPr>
                  </w:pPr>
                  <w:r>
                    <w:rPr>
                      <w:rFonts w:hint="eastAsia" w:cs="Times New Roman"/>
                      <w:color w:val="auto"/>
                      <w:spacing w:val="0"/>
                      <w:kern w:val="0"/>
                      <w:sz w:val="21"/>
                      <w:szCs w:val="21"/>
                      <w:highlight w:val="none"/>
                      <w:lang w:val="en-US" w:eastAsia="zh-CN" w:bidi="ar-SA"/>
                    </w:rPr>
                    <w:t>机房顶板上方距地面30cm（屋顶）</w:t>
                  </w:r>
                </w:p>
              </w:tc>
              <w:tc>
                <w:tcPr>
                  <w:tcW w:w="385" w:type="pct"/>
                  <w:shd w:val="clear" w:color="auto" w:fill="auto"/>
                  <w:noWrap w:val="0"/>
                  <w:vAlign w:val="center"/>
                </w:tcPr>
                <w:p w14:paraId="0C113E46">
                  <w:pPr>
                    <w:spacing w:line="240" w:lineRule="auto"/>
                    <w:jc w:val="center"/>
                    <w:rPr>
                      <w:rFonts w:hint="eastAsia"/>
                      <w:color w:val="auto"/>
                      <w:spacing w:val="-11"/>
                      <w:kern w:val="0"/>
                      <w:sz w:val="21"/>
                      <w:szCs w:val="21"/>
                      <w:highlight w:val="none"/>
                      <w:lang w:val="en-US" w:eastAsia="zh-CN"/>
                    </w:rPr>
                  </w:pPr>
                  <w:r>
                    <w:rPr>
                      <w:rFonts w:hint="eastAsia"/>
                      <w:color w:val="auto"/>
                      <w:spacing w:val="-6"/>
                      <w:kern w:val="0"/>
                      <w:sz w:val="21"/>
                      <w:szCs w:val="21"/>
                      <w:highlight w:val="none"/>
                      <w:lang w:val="en-US" w:eastAsia="zh-CN"/>
                    </w:rPr>
                    <w:t>介入</w:t>
                  </w:r>
                </w:p>
              </w:tc>
              <w:tc>
                <w:tcPr>
                  <w:tcW w:w="586" w:type="pct"/>
                  <w:noWrap w:val="0"/>
                  <w:vAlign w:val="center"/>
                </w:tcPr>
                <w:p w14:paraId="5A7B24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pacing w:val="-11"/>
                      <w:kern w:val="0"/>
                      <w:sz w:val="21"/>
                      <w:szCs w:val="21"/>
                      <w:highlight w:val="none"/>
                      <w:lang w:val="en-US" w:eastAsia="zh-CN"/>
                    </w:rPr>
                  </w:pPr>
                  <w:r>
                    <w:rPr>
                      <w:rFonts w:hint="eastAsia"/>
                      <w:color w:val="auto"/>
                      <w:sz w:val="21"/>
                      <w:szCs w:val="21"/>
                      <w:highlight w:val="none"/>
                      <w:lang w:val="en-US" w:eastAsia="zh-CN"/>
                    </w:rPr>
                    <w:t>1.06E-03</w:t>
                  </w:r>
                </w:p>
              </w:tc>
              <w:tc>
                <w:tcPr>
                  <w:tcW w:w="569" w:type="pct"/>
                  <w:shd w:val="clear" w:color="auto" w:fill="auto"/>
                  <w:noWrap w:val="0"/>
                  <w:vAlign w:val="center"/>
                </w:tcPr>
                <w:p w14:paraId="01F8E6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3FDE26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1C89FF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81" w:type="pct"/>
                  <w:noWrap w:val="0"/>
                  <w:vAlign w:val="center"/>
                </w:tcPr>
                <w:p w14:paraId="719A3D0E">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412DA8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880C69B">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41EFA3A2">
                  <w:pPr>
                    <w:spacing w:line="240" w:lineRule="auto"/>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70E7BD3F">
                  <w:pPr>
                    <w:spacing w:line="240" w:lineRule="auto"/>
                    <w:jc w:val="center"/>
                    <w:rPr>
                      <w:rFonts w:hint="eastAsia"/>
                      <w:color w:val="auto"/>
                      <w:spacing w:val="-11"/>
                      <w:kern w:val="0"/>
                      <w:sz w:val="21"/>
                      <w:szCs w:val="21"/>
                      <w:highlight w:val="none"/>
                    </w:rPr>
                  </w:pPr>
                </w:p>
              </w:tc>
              <w:tc>
                <w:tcPr>
                  <w:tcW w:w="385" w:type="pct"/>
                  <w:shd w:val="clear" w:color="auto" w:fill="auto"/>
                  <w:noWrap w:val="0"/>
                  <w:vAlign w:val="center"/>
                </w:tcPr>
                <w:p w14:paraId="05FF0812">
                  <w:pPr>
                    <w:spacing w:line="240" w:lineRule="auto"/>
                    <w:jc w:val="center"/>
                    <w:rPr>
                      <w:rFonts w:hint="eastAsia"/>
                      <w:color w:val="auto"/>
                      <w:spacing w:val="-11"/>
                      <w:kern w:val="0"/>
                      <w:sz w:val="21"/>
                      <w:szCs w:val="21"/>
                      <w:highlight w:val="none"/>
                      <w:lang w:val="en-US" w:eastAsia="zh-CN"/>
                    </w:rPr>
                  </w:pPr>
                  <w:r>
                    <w:rPr>
                      <w:rFonts w:hint="eastAsia"/>
                      <w:color w:val="auto"/>
                      <w:spacing w:val="-6"/>
                      <w:kern w:val="0"/>
                      <w:sz w:val="21"/>
                      <w:szCs w:val="21"/>
                      <w:highlight w:val="none"/>
                      <w:lang w:val="en-US" w:eastAsia="zh-CN"/>
                    </w:rPr>
                    <w:t>影像</w:t>
                  </w:r>
                </w:p>
              </w:tc>
              <w:tc>
                <w:tcPr>
                  <w:tcW w:w="586" w:type="pct"/>
                  <w:noWrap w:val="0"/>
                  <w:vAlign w:val="center"/>
                </w:tcPr>
                <w:p w14:paraId="3AD37B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color w:val="auto"/>
                      <w:spacing w:val="-11"/>
                      <w:kern w:val="0"/>
                      <w:sz w:val="21"/>
                      <w:szCs w:val="21"/>
                      <w:highlight w:val="none"/>
                      <w:lang w:val="en-US" w:eastAsia="zh-CN"/>
                    </w:rPr>
                  </w:pPr>
                  <w:r>
                    <w:rPr>
                      <w:rFonts w:hint="eastAsia"/>
                      <w:color w:val="auto"/>
                      <w:sz w:val="21"/>
                      <w:szCs w:val="21"/>
                      <w:highlight w:val="none"/>
                      <w:lang w:val="en-US" w:eastAsia="zh-CN"/>
                    </w:rPr>
                    <w:t>2.07E+00</w:t>
                  </w:r>
                </w:p>
              </w:tc>
              <w:tc>
                <w:tcPr>
                  <w:tcW w:w="569" w:type="pct"/>
                  <w:shd w:val="clear" w:color="auto" w:fill="auto"/>
                  <w:noWrap w:val="0"/>
                  <w:vAlign w:val="center"/>
                </w:tcPr>
                <w:p w14:paraId="18CFE0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78" w:type="pct"/>
                  <w:shd w:val="clear" w:color="auto" w:fill="auto"/>
                  <w:noWrap w:val="0"/>
                  <w:vAlign w:val="center"/>
                </w:tcPr>
                <w:p w14:paraId="671922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spacing w:val="-11"/>
                      <w:kern w:val="0"/>
                      <w:sz w:val="21"/>
                      <w:szCs w:val="21"/>
                      <w:highlight w:val="none"/>
                      <w:lang w:val="en-US" w:eastAsia="zh-CN"/>
                    </w:rPr>
                    <w:t>/</w:t>
                  </w:r>
                </w:p>
              </w:tc>
              <w:tc>
                <w:tcPr>
                  <w:tcW w:w="544" w:type="pct"/>
                  <w:noWrap w:val="0"/>
                  <w:vAlign w:val="center"/>
                </w:tcPr>
                <w:p w14:paraId="6057C5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481" w:type="pct"/>
                  <w:noWrap w:val="0"/>
                  <w:vAlign w:val="center"/>
                </w:tcPr>
                <w:p w14:paraId="63EC1D2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1A402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4A095615">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restart"/>
                  <w:shd w:val="clear" w:color="auto" w:fill="auto"/>
                  <w:noWrap w:val="0"/>
                  <w:vAlign w:val="center"/>
                </w:tcPr>
                <w:p w14:paraId="0E3E35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51</w:t>
                  </w:r>
                </w:p>
              </w:tc>
              <w:tc>
                <w:tcPr>
                  <w:tcW w:w="1122" w:type="pct"/>
                  <w:vMerge w:val="restart"/>
                  <w:shd w:val="clear" w:color="auto" w:fill="auto"/>
                  <w:noWrap w:val="0"/>
                  <w:vAlign w:val="center"/>
                </w:tcPr>
                <w:p w14:paraId="6A9F39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机房地板下方距地面1.5m（妇产科盆底筛查治疗室）</w:t>
                  </w:r>
                </w:p>
              </w:tc>
              <w:tc>
                <w:tcPr>
                  <w:tcW w:w="385" w:type="pct"/>
                  <w:shd w:val="clear" w:color="auto" w:fill="auto"/>
                  <w:noWrap w:val="0"/>
                  <w:vAlign w:val="center"/>
                </w:tcPr>
                <w:p w14:paraId="32C44B01">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3848DCC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7ED5EF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2.48E-04</w:t>
                  </w:r>
                </w:p>
              </w:tc>
              <w:tc>
                <w:tcPr>
                  <w:tcW w:w="578" w:type="pct"/>
                  <w:shd w:val="clear" w:color="auto" w:fill="auto"/>
                  <w:noWrap w:val="0"/>
                  <w:vAlign w:val="center"/>
                </w:tcPr>
                <w:p w14:paraId="51F10B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1.32E-04</w:t>
                  </w:r>
                </w:p>
              </w:tc>
              <w:tc>
                <w:tcPr>
                  <w:tcW w:w="544" w:type="pct"/>
                  <w:noWrap w:val="0"/>
                  <w:vAlign w:val="center"/>
                </w:tcPr>
                <w:p w14:paraId="090EEC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481" w:type="pct"/>
                  <w:noWrap w:val="0"/>
                  <w:vAlign w:val="center"/>
                </w:tcPr>
                <w:p w14:paraId="255F00B3">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07D7ED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vMerge w:val="continue"/>
                  <w:shd w:val="clear" w:color="auto" w:fill="auto"/>
                  <w:noWrap w:val="0"/>
                  <w:vAlign w:val="center"/>
                </w:tcPr>
                <w:p w14:paraId="3C3FCEB0">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vMerge w:val="continue"/>
                  <w:shd w:val="clear" w:color="auto" w:fill="auto"/>
                  <w:noWrap w:val="0"/>
                  <w:vAlign w:val="center"/>
                </w:tcPr>
                <w:p w14:paraId="3C11CD8C">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p>
              </w:tc>
              <w:tc>
                <w:tcPr>
                  <w:tcW w:w="1122" w:type="pct"/>
                  <w:vMerge w:val="continue"/>
                  <w:shd w:val="clear" w:color="auto" w:fill="auto"/>
                  <w:noWrap w:val="0"/>
                  <w:vAlign w:val="center"/>
                </w:tcPr>
                <w:p w14:paraId="0745A654">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85" w:type="pct"/>
                  <w:shd w:val="clear" w:color="auto" w:fill="auto"/>
                  <w:noWrap w:val="0"/>
                  <w:vAlign w:val="center"/>
                </w:tcPr>
                <w:p w14:paraId="75C9AF1E">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影像</w:t>
                  </w:r>
                </w:p>
              </w:tc>
              <w:tc>
                <w:tcPr>
                  <w:tcW w:w="586" w:type="pct"/>
                  <w:noWrap w:val="0"/>
                  <w:vAlign w:val="center"/>
                </w:tcPr>
                <w:p w14:paraId="4398344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569" w:type="pct"/>
                  <w:shd w:val="clear" w:color="auto" w:fill="auto"/>
                  <w:noWrap w:val="0"/>
                  <w:vAlign w:val="center"/>
                </w:tcPr>
                <w:p w14:paraId="38EBB6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3.03E-01</w:t>
                  </w:r>
                </w:p>
              </w:tc>
              <w:tc>
                <w:tcPr>
                  <w:tcW w:w="578" w:type="pct"/>
                  <w:shd w:val="clear" w:color="auto" w:fill="auto"/>
                  <w:noWrap w:val="0"/>
                  <w:vAlign w:val="center"/>
                </w:tcPr>
                <w:p w14:paraId="4731FC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2.08E-03</w:t>
                  </w:r>
                </w:p>
              </w:tc>
              <w:tc>
                <w:tcPr>
                  <w:tcW w:w="544" w:type="pct"/>
                  <w:noWrap w:val="0"/>
                  <w:vAlign w:val="center"/>
                </w:tcPr>
                <w:p w14:paraId="448EA4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481" w:type="pct"/>
                  <w:noWrap w:val="0"/>
                  <w:vAlign w:val="center"/>
                </w:tcPr>
                <w:p w14:paraId="62F9E634">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color w:val="auto"/>
                      <w:spacing w:val="-11"/>
                      <w:kern w:val="0"/>
                      <w:sz w:val="21"/>
                      <w:szCs w:val="21"/>
                      <w:highlight w:val="none"/>
                    </w:rPr>
                    <w:t>满足</w:t>
                  </w:r>
                </w:p>
              </w:tc>
            </w:tr>
            <w:tr w14:paraId="620A56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shd w:val="clear" w:color="auto" w:fill="auto"/>
                  <w:noWrap w:val="0"/>
                  <w:vAlign w:val="center"/>
                </w:tcPr>
                <w:p w14:paraId="57D546E7">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shd w:val="clear" w:color="auto" w:fill="auto"/>
                  <w:noWrap w:val="0"/>
                  <w:vAlign w:val="center"/>
                </w:tcPr>
                <w:p w14:paraId="63F241B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52</w:t>
                  </w:r>
                </w:p>
              </w:tc>
              <w:tc>
                <w:tcPr>
                  <w:tcW w:w="1122" w:type="pct"/>
                  <w:shd w:val="clear" w:color="auto" w:fill="auto"/>
                  <w:noWrap w:val="0"/>
                  <w:vAlign w:val="center"/>
                </w:tcPr>
                <w:p w14:paraId="551D8168">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color w:val="auto"/>
                      <w:spacing w:val="-11"/>
                      <w:kern w:val="0"/>
                      <w:sz w:val="21"/>
                      <w:szCs w:val="21"/>
                      <w:highlight w:val="none"/>
                    </w:rPr>
                    <w:t>第一术者位</w:t>
                  </w:r>
                </w:p>
              </w:tc>
              <w:tc>
                <w:tcPr>
                  <w:tcW w:w="385" w:type="pct"/>
                  <w:shd w:val="clear" w:color="auto" w:fill="auto"/>
                  <w:noWrap w:val="0"/>
                  <w:vAlign w:val="center"/>
                </w:tcPr>
                <w:p w14:paraId="752DB3DB">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69BCF63F">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1020" w:type="dxa"/>
                  <w:shd w:val="clear" w:color="auto" w:fill="auto"/>
                  <w:noWrap w:val="0"/>
                  <w:vAlign w:val="center"/>
                </w:tcPr>
                <w:p w14:paraId="7424AF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2.50E+01</w:t>
                  </w:r>
                </w:p>
              </w:tc>
              <w:tc>
                <w:tcPr>
                  <w:tcW w:w="578" w:type="pct"/>
                  <w:shd w:val="clear" w:color="auto" w:fill="auto"/>
                  <w:noWrap w:val="0"/>
                  <w:vAlign w:val="center"/>
                </w:tcPr>
                <w:p w14:paraId="26866F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1.33E+01</w:t>
                  </w:r>
                </w:p>
              </w:tc>
              <w:tc>
                <w:tcPr>
                  <w:tcW w:w="975" w:type="dxa"/>
                  <w:noWrap w:val="0"/>
                  <w:vAlign w:val="center"/>
                </w:tcPr>
                <w:p w14:paraId="393720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3.83E+01</w:t>
                  </w:r>
                </w:p>
              </w:tc>
              <w:tc>
                <w:tcPr>
                  <w:tcW w:w="481" w:type="pct"/>
                  <w:noWrap w:val="0"/>
                  <w:vAlign w:val="center"/>
                </w:tcPr>
                <w:p w14:paraId="0D8DEBC8">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w:t>
                  </w:r>
                </w:p>
              </w:tc>
            </w:tr>
            <w:tr w14:paraId="3E16FB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shd w:val="clear" w:color="auto" w:fill="auto"/>
                  <w:noWrap w:val="0"/>
                  <w:vAlign w:val="center"/>
                </w:tcPr>
                <w:p w14:paraId="403339BA">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shd w:val="clear" w:color="auto" w:fill="auto"/>
                  <w:noWrap w:val="0"/>
                  <w:vAlign w:val="center"/>
                </w:tcPr>
                <w:p w14:paraId="20081CD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53</w:t>
                  </w:r>
                </w:p>
              </w:tc>
              <w:tc>
                <w:tcPr>
                  <w:tcW w:w="1122" w:type="pct"/>
                  <w:shd w:val="clear" w:color="auto" w:fill="auto"/>
                  <w:noWrap w:val="0"/>
                  <w:vAlign w:val="center"/>
                </w:tcPr>
                <w:p w14:paraId="47B4BD7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color w:val="auto"/>
                      <w:spacing w:val="-11"/>
                      <w:kern w:val="0"/>
                      <w:sz w:val="21"/>
                      <w:szCs w:val="21"/>
                      <w:highlight w:val="none"/>
                    </w:rPr>
                    <w:t>第二术者位</w:t>
                  </w:r>
                </w:p>
              </w:tc>
              <w:tc>
                <w:tcPr>
                  <w:tcW w:w="385" w:type="pct"/>
                  <w:shd w:val="clear" w:color="auto" w:fill="auto"/>
                  <w:noWrap w:val="0"/>
                  <w:vAlign w:val="center"/>
                </w:tcPr>
                <w:p w14:paraId="7A8E6272">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222B2B99">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1020" w:type="dxa"/>
                  <w:shd w:val="clear" w:color="auto" w:fill="auto"/>
                  <w:noWrap w:val="0"/>
                  <w:vAlign w:val="center"/>
                </w:tcPr>
                <w:p w14:paraId="59567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2.94E+01</w:t>
                  </w:r>
                </w:p>
              </w:tc>
              <w:tc>
                <w:tcPr>
                  <w:tcW w:w="578" w:type="pct"/>
                  <w:shd w:val="clear" w:color="auto" w:fill="auto"/>
                  <w:noWrap w:val="0"/>
                  <w:vAlign w:val="center"/>
                </w:tcPr>
                <w:p w14:paraId="5567CD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1.57E+01</w:t>
                  </w:r>
                </w:p>
              </w:tc>
              <w:tc>
                <w:tcPr>
                  <w:tcW w:w="975" w:type="dxa"/>
                  <w:noWrap w:val="0"/>
                  <w:vAlign w:val="center"/>
                </w:tcPr>
                <w:p w14:paraId="21921A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4.51E+01</w:t>
                  </w:r>
                </w:p>
              </w:tc>
              <w:tc>
                <w:tcPr>
                  <w:tcW w:w="481" w:type="pct"/>
                  <w:noWrap w:val="0"/>
                  <w:vAlign w:val="center"/>
                </w:tcPr>
                <w:p w14:paraId="676731B2">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w:t>
                  </w:r>
                </w:p>
              </w:tc>
            </w:tr>
            <w:tr w14:paraId="186C36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87" w:type="pct"/>
                  <w:shd w:val="clear" w:color="auto" w:fill="auto"/>
                  <w:noWrap w:val="0"/>
                  <w:vAlign w:val="center"/>
                </w:tcPr>
                <w:p w14:paraId="34C234A2">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rPr>
                  </w:pPr>
                </w:p>
              </w:tc>
              <w:tc>
                <w:tcPr>
                  <w:tcW w:w="343" w:type="pct"/>
                  <w:shd w:val="clear" w:color="auto" w:fill="auto"/>
                  <w:noWrap w:val="0"/>
                  <w:vAlign w:val="center"/>
                </w:tcPr>
                <w:p w14:paraId="5CC53E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pacing w:val="-11"/>
                      <w:kern w:val="0"/>
                      <w:sz w:val="21"/>
                      <w:szCs w:val="21"/>
                      <w:highlight w:val="none"/>
                      <w:lang w:val="en-US" w:eastAsia="zh-CN" w:bidi="ar-SA"/>
                    </w:rPr>
                  </w:pPr>
                  <w:r>
                    <w:rPr>
                      <w:rFonts w:hint="eastAsia" w:cs="Times New Roman"/>
                      <w:color w:val="auto"/>
                      <w:spacing w:val="0"/>
                      <w:kern w:val="0"/>
                      <w:sz w:val="21"/>
                      <w:szCs w:val="21"/>
                      <w:highlight w:val="none"/>
                      <w:lang w:val="en-US" w:eastAsia="zh-CN" w:bidi="ar-SA"/>
                    </w:rPr>
                    <w:t>54</w:t>
                  </w:r>
                </w:p>
              </w:tc>
              <w:tc>
                <w:tcPr>
                  <w:tcW w:w="1122" w:type="pct"/>
                  <w:shd w:val="clear" w:color="auto" w:fill="auto"/>
                  <w:noWrap w:val="0"/>
                  <w:vAlign w:val="center"/>
                </w:tcPr>
                <w:p w14:paraId="6E5DC19A">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rPr>
                    <w:t>护士位</w:t>
                  </w:r>
                </w:p>
              </w:tc>
              <w:tc>
                <w:tcPr>
                  <w:tcW w:w="385" w:type="pct"/>
                  <w:shd w:val="clear" w:color="auto" w:fill="auto"/>
                  <w:noWrap w:val="0"/>
                  <w:vAlign w:val="center"/>
                </w:tcPr>
                <w:p w14:paraId="1800632F">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rFonts w:hint="eastAsia"/>
                      <w:color w:val="auto"/>
                      <w:spacing w:val="-11"/>
                      <w:kern w:val="0"/>
                      <w:sz w:val="21"/>
                      <w:szCs w:val="21"/>
                      <w:highlight w:val="none"/>
                      <w:lang w:val="en-US" w:eastAsia="zh-CN"/>
                    </w:rPr>
                    <w:t>介入</w:t>
                  </w:r>
                </w:p>
              </w:tc>
              <w:tc>
                <w:tcPr>
                  <w:tcW w:w="586" w:type="pct"/>
                  <w:noWrap w:val="0"/>
                  <w:vAlign w:val="center"/>
                </w:tcPr>
                <w:p w14:paraId="79950168">
                  <w:pPr>
                    <w:keepNext w:val="0"/>
                    <w:keepLines w:val="0"/>
                    <w:pageBreakBefore w:val="0"/>
                    <w:kinsoku/>
                    <w:wordWrap/>
                    <w:overflowPunct/>
                    <w:topLinePunct w:val="0"/>
                    <w:autoSpaceDE/>
                    <w:autoSpaceDN/>
                    <w:bidi w:val="0"/>
                    <w:adjustRightInd/>
                    <w:snapToGrid/>
                    <w:spacing w:line="28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w:t>
                  </w:r>
                </w:p>
              </w:tc>
              <w:tc>
                <w:tcPr>
                  <w:tcW w:w="1020" w:type="dxa"/>
                  <w:shd w:val="clear" w:color="auto" w:fill="auto"/>
                  <w:noWrap w:val="0"/>
                  <w:vAlign w:val="center"/>
                </w:tcPr>
                <w:p w14:paraId="416A85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1.31E+01</w:t>
                  </w:r>
                </w:p>
              </w:tc>
              <w:tc>
                <w:tcPr>
                  <w:tcW w:w="578" w:type="pct"/>
                  <w:shd w:val="clear" w:color="auto" w:fill="auto"/>
                  <w:noWrap w:val="0"/>
                  <w:vAlign w:val="center"/>
                </w:tcPr>
                <w:p w14:paraId="47F78A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6.96E+00</w:t>
                  </w:r>
                </w:p>
              </w:tc>
              <w:tc>
                <w:tcPr>
                  <w:tcW w:w="975" w:type="dxa"/>
                  <w:noWrap w:val="0"/>
                  <w:vAlign w:val="center"/>
                </w:tcPr>
                <w:p w14:paraId="24B2E9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2.01E+01</w:t>
                  </w:r>
                </w:p>
              </w:tc>
              <w:tc>
                <w:tcPr>
                  <w:tcW w:w="481" w:type="pct"/>
                  <w:noWrap w:val="0"/>
                  <w:vAlign w:val="center"/>
                </w:tcPr>
                <w:p w14:paraId="1AAC167C">
                  <w:pPr>
                    <w:keepNext w:val="0"/>
                    <w:keepLines w:val="0"/>
                    <w:pageBreakBefore w:val="0"/>
                    <w:kinsoku/>
                    <w:wordWrap/>
                    <w:overflowPunct/>
                    <w:topLinePunct w:val="0"/>
                    <w:autoSpaceDE/>
                    <w:autoSpaceDN/>
                    <w:bidi w:val="0"/>
                    <w:adjustRightInd/>
                    <w:snapToGrid/>
                    <w:spacing w:line="28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w:t>
                  </w:r>
                </w:p>
              </w:tc>
            </w:tr>
          </w:tbl>
          <w:p w14:paraId="674EB889">
            <w:pPr>
              <w:ind w:firstLine="472" w:firstLineChars="200"/>
              <w:rPr>
                <w:color w:val="auto"/>
                <w:highlight w:val="none"/>
              </w:rPr>
            </w:pPr>
            <w:r>
              <w:rPr>
                <w:color w:val="auto"/>
                <w:spacing w:val="-2"/>
                <w:kern w:val="0"/>
                <w:highlight w:val="none"/>
              </w:rPr>
              <w:t>根据上表可知，本项目</w:t>
            </w:r>
            <w:r>
              <w:rPr>
                <w:rFonts w:hint="eastAsia"/>
                <w:color w:val="auto"/>
                <w:spacing w:val="-2"/>
                <w:kern w:val="0"/>
                <w:highlight w:val="none"/>
                <w:lang w:val="en-US" w:eastAsia="zh-CN"/>
              </w:rPr>
              <w:t>各机房射线装置</w:t>
            </w:r>
            <w:r>
              <w:rPr>
                <w:color w:val="auto"/>
                <w:spacing w:val="-2"/>
                <w:kern w:val="0"/>
                <w:highlight w:val="none"/>
              </w:rPr>
              <w:t>正常运行时，</w:t>
            </w:r>
            <w:r>
              <w:rPr>
                <w:rFonts w:hint="eastAsia"/>
                <w:color w:val="auto"/>
                <w:spacing w:val="-2"/>
                <w:kern w:val="0"/>
                <w:highlight w:val="none"/>
                <w:lang w:val="en-US" w:eastAsia="zh-CN"/>
              </w:rPr>
              <w:t>各机房</w:t>
            </w:r>
            <w:r>
              <w:rPr>
                <w:color w:val="auto"/>
                <w:spacing w:val="-2"/>
                <w:kern w:val="0"/>
                <w:highlight w:val="none"/>
              </w:rPr>
              <w:t>外各预测点的</w:t>
            </w:r>
            <w:r>
              <w:rPr>
                <w:color w:val="auto"/>
                <w:highlight w:val="none"/>
              </w:rPr>
              <w:t>辐射剂量率最大值为</w:t>
            </w:r>
            <w:r>
              <w:rPr>
                <w:rFonts w:hint="eastAsia"/>
                <w:color w:val="auto"/>
                <w:highlight w:val="none"/>
                <w:lang w:val="en-US" w:eastAsia="zh-CN"/>
              </w:rPr>
              <w:t>2.07</w:t>
            </w:r>
            <w:r>
              <w:rPr>
                <w:color w:val="auto"/>
                <w:highlight w:val="none"/>
              </w:rPr>
              <w:t>μSv/h，满足</w:t>
            </w:r>
            <w:bookmarkStart w:id="61" w:name="_Hlk196917563"/>
            <w:r>
              <w:rPr>
                <w:bCs/>
                <w:color w:val="auto"/>
                <w:highlight w:val="none"/>
              </w:rPr>
              <w:t>《放射诊断放射防护要求》（GBZ130-2020）</w:t>
            </w:r>
            <w:r>
              <w:rPr>
                <w:color w:val="auto"/>
                <w:highlight w:val="none"/>
              </w:rPr>
              <w:t>规定的机房屏蔽体外的周围剂量当量率控制目标值应不大于2.5μSv/h的要求。</w:t>
            </w:r>
            <w:bookmarkEnd w:id="61"/>
          </w:p>
          <w:p w14:paraId="0C1FB607">
            <w:pPr>
              <w:pStyle w:val="20"/>
              <w:ind w:firstLine="482" w:firstLineChars="200"/>
              <w:rPr>
                <w:b/>
                <w:bCs/>
                <w:color w:val="auto"/>
                <w:kern w:val="0"/>
                <w:highlight w:val="none"/>
              </w:rPr>
            </w:pPr>
            <w:r>
              <w:rPr>
                <w:b/>
                <w:bCs/>
                <w:color w:val="auto"/>
                <w:kern w:val="0"/>
                <w:highlight w:val="none"/>
              </w:rPr>
              <w:t>1、职业人员</w:t>
            </w:r>
          </w:p>
          <w:p w14:paraId="31172602">
            <w:pPr>
              <w:pStyle w:val="20"/>
              <w:ind w:firstLine="482" w:firstLineChars="200"/>
              <w:rPr>
                <w:color w:val="auto"/>
                <w:highlight w:val="none"/>
                <w:lang w:bidi="ar"/>
              </w:rPr>
            </w:pPr>
            <w:r>
              <w:rPr>
                <w:b/>
                <w:bCs/>
                <w:color w:val="auto"/>
                <w:kern w:val="0"/>
                <w:highlight w:val="none"/>
              </w:rPr>
              <w:t>（1）全身受照射剂量</w:t>
            </w:r>
          </w:p>
          <w:p w14:paraId="750E83D2">
            <w:pPr>
              <w:pStyle w:val="281"/>
              <w:spacing w:line="360" w:lineRule="auto"/>
              <w:ind w:firstLine="480"/>
              <w:rPr>
                <w:bCs/>
                <w:color w:val="auto"/>
                <w:sz w:val="24"/>
                <w:highlight w:val="none"/>
              </w:rPr>
            </w:pPr>
            <w:r>
              <w:rPr>
                <w:color w:val="auto"/>
                <w:sz w:val="24"/>
                <w:szCs w:val="24"/>
                <w:highlight w:val="none"/>
              </w:rPr>
              <w:t>根据</w:t>
            </w:r>
            <w:r>
              <w:rPr>
                <w:rFonts w:hint="eastAsia"/>
                <w:color w:val="auto"/>
                <w:sz w:val="24"/>
                <w:szCs w:val="24"/>
                <w:highlight w:val="none"/>
              </w:rPr>
              <w:t>《</w:t>
            </w:r>
            <w:r>
              <w:rPr>
                <w:color w:val="auto"/>
                <w:sz w:val="24"/>
                <w:szCs w:val="24"/>
                <w:highlight w:val="none"/>
              </w:rPr>
              <w:t>辐射安全手册</w:t>
            </w:r>
            <w:r>
              <w:rPr>
                <w:rFonts w:hint="eastAsia"/>
                <w:color w:val="auto"/>
                <w:sz w:val="24"/>
                <w:szCs w:val="24"/>
                <w:highlight w:val="none"/>
              </w:rPr>
              <w:t>》</w:t>
            </w:r>
            <w:r>
              <w:rPr>
                <w:color w:val="auto"/>
                <w:sz w:val="24"/>
                <w:szCs w:val="24"/>
                <w:highlight w:val="none"/>
              </w:rPr>
              <w:t>，X射线产生的外照射年有效剂量计算公式如下</w:t>
            </w:r>
            <w:r>
              <w:rPr>
                <w:rFonts w:hint="eastAsia"/>
                <w:bCs/>
                <w:color w:val="auto"/>
                <w:sz w:val="24"/>
                <w:highlight w:val="none"/>
              </w:rPr>
              <w:t>：</w:t>
            </w:r>
          </w:p>
          <w:p w14:paraId="6BA3A641">
            <w:pPr>
              <w:ind w:right="960" w:firstLine="1680" w:firstLineChars="700"/>
              <w:jc w:val="center"/>
              <w:rPr>
                <w:rFonts w:hint="default" w:eastAsia="宋体"/>
                <w:bCs/>
                <w:color w:val="auto"/>
                <w:highlight w:val="none"/>
                <w:lang w:val="en-US" w:eastAsia="zh-CN"/>
              </w:rPr>
            </w:pPr>
            <w:r>
              <w:rPr>
                <w:rFonts w:hint="eastAsia"/>
                <w:bCs/>
                <w:i/>
                <w:color w:val="auto"/>
                <w:highlight w:val="none"/>
                <w:lang w:val="de-DE"/>
              </w:rPr>
              <w:t xml:space="preserve">       </w:t>
            </w:r>
            <w:r>
              <w:rPr>
                <w:bCs/>
                <w:i/>
                <w:color w:val="auto"/>
                <w:highlight w:val="none"/>
                <w:lang w:val="de-DE"/>
              </w:rPr>
              <w:t>E=H×10</w:t>
            </w:r>
            <w:r>
              <w:rPr>
                <w:bCs/>
                <w:i/>
                <w:color w:val="auto"/>
                <w:highlight w:val="none"/>
                <w:vertAlign w:val="superscript"/>
                <w:lang w:val="de-DE"/>
              </w:rPr>
              <w:t>-3</w:t>
            </w:r>
            <w:r>
              <w:rPr>
                <w:bCs/>
                <w:i/>
                <w:color w:val="auto"/>
                <w:highlight w:val="none"/>
                <w:lang w:val="de-DE"/>
              </w:rPr>
              <w:t>×h×η×W</w:t>
            </w:r>
            <w:r>
              <w:rPr>
                <w:bCs/>
                <w:i/>
                <w:color w:val="auto"/>
                <w:highlight w:val="none"/>
                <w:vertAlign w:val="subscript"/>
                <w:lang w:val="de-DE"/>
              </w:rPr>
              <w:t>T</w:t>
            </w:r>
            <w:r>
              <w:rPr>
                <w:bCs/>
                <w:color w:val="auto"/>
                <w:highlight w:val="none"/>
                <w:lang w:val="de-DE"/>
              </w:rPr>
              <w:t xml:space="preserve"> </w:t>
            </w:r>
            <w:r>
              <w:rPr>
                <w:rFonts w:eastAsia="仿宋"/>
                <w:bCs/>
                <w:color w:val="auto"/>
                <w:highlight w:val="none"/>
                <w:lang w:val="de-DE"/>
              </w:rPr>
              <w:t>………</w:t>
            </w:r>
            <w:r>
              <w:rPr>
                <w:rFonts w:eastAsia="仿宋"/>
                <w:bCs/>
                <w:color w:val="auto"/>
                <w:highlight w:val="none"/>
              </w:rPr>
              <w:t>......</w:t>
            </w:r>
            <w:r>
              <w:rPr>
                <w:rFonts w:eastAsia="仿宋"/>
                <w:bCs/>
                <w:color w:val="auto"/>
                <w:highlight w:val="none"/>
                <w:lang w:val="de-DE"/>
              </w:rPr>
              <w:t>……...…</w:t>
            </w:r>
            <w:r>
              <w:rPr>
                <w:bCs/>
                <w:color w:val="auto"/>
                <w:szCs w:val="28"/>
                <w:highlight w:val="none"/>
              </w:rPr>
              <w:t>式</w:t>
            </w:r>
            <w:r>
              <w:rPr>
                <w:bCs/>
                <w:color w:val="auto"/>
                <w:szCs w:val="28"/>
                <w:highlight w:val="none"/>
                <w:lang w:val="de-DE"/>
              </w:rPr>
              <w:t>11-</w:t>
            </w:r>
            <w:r>
              <w:rPr>
                <w:rFonts w:hint="eastAsia"/>
                <w:bCs/>
                <w:color w:val="auto"/>
                <w:szCs w:val="28"/>
                <w:highlight w:val="none"/>
                <w:lang w:val="en-US" w:eastAsia="zh-CN"/>
              </w:rPr>
              <w:t>11</w:t>
            </w:r>
          </w:p>
          <w:p w14:paraId="3F9B2BA9">
            <w:pPr>
              <w:ind w:firstLine="480" w:firstLineChars="200"/>
              <w:rPr>
                <w:bCs/>
                <w:color w:val="auto"/>
                <w:highlight w:val="none"/>
                <w:lang w:val="de-DE"/>
              </w:rPr>
            </w:pPr>
            <w:r>
              <w:rPr>
                <w:bCs/>
                <w:color w:val="auto"/>
                <w:highlight w:val="none"/>
              </w:rPr>
              <w:t>式中：</w:t>
            </w:r>
            <w:r>
              <w:rPr>
                <w:bCs/>
                <w:i/>
                <w:color w:val="auto"/>
                <w:highlight w:val="none"/>
                <w:lang w:val="de-DE"/>
              </w:rPr>
              <w:t>E</w:t>
            </w:r>
            <w:r>
              <w:rPr>
                <w:bCs/>
                <w:color w:val="auto"/>
                <w:highlight w:val="none"/>
                <w:lang w:val="de-DE"/>
              </w:rPr>
              <w:t>—</w:t>
            </w:r>
            <w:r>
              <w:rPr>
                <w:bCs/>
                <w:color w:val="auto"/>
                <w:highlight w:val="none"/>
              </w:rPr>
              <w:t>关注点的附加</w:t>
            </w:r>
            <w:r>
              <w:rPr>
                <w:rFonts w:hint="eastAsia"/>
                <w:bCs/>
                <w:color w:val="auto"/>
                <w:highlight w:val="none"/>
              </w:rPr>
              <w:t>年</w:t>
            </w:r>
            <w:r>
              <w:rPr>
                <w:bCs/>
                <w:color w:val="auto"/>
                <w:highlight w:val="none"/>
              </w:rPr>
              <w:t>有效剂量</w:t>
            </w:r>
            <w:r>
              <w:rPr>
                <w:bCs/>
                <w:color w:val="auto"/>
                <w:highlight w:val="none"/>
                <w:lang w:val="de-DE"/>
              </w:rPr>
              <w:t>（mSv/a）；</w:t>
            </w:r>
          </w:p>
          <w:p w14:paraId="36383C6D">
            <w:pPr>
              <w:ind w:firstLine="1200" w:firstLineChars="500"/>
              <w:rPr>
                <w:bCs/>
                <w:i/>
                <w:color w:val="auto"/>
                <w:highlight w:val="none"/>
                <w:lang w:val="de-DE"/>
              </w:rPr>
            </w:pPr>
            <w:r>
              <w:rPr>
                <w:bCs/>
                <w:i/>
                <w:color w:val="auto"/>
                <w:highlight w:val="none"/>
                <w:lang w:val="de-DE"/>
              </w:rPr>
              <w:t>H</w:t>
            </w:r>
            <w:r>
              <w:rPr>
                <w:bCs/>
                <w:color w:val="auto"/>
                <w:highlight w:val="none"/>
                <w:lang w:val="de-DE"/>
              </w:rPr>
              <w:t>—</w:t>
            </w:r>
            <w:r>
              <w:rPr>
                <w:bCs/>
                <w:color w:val="auto"/>
                <w:highlight w:val="none"/>
              </w:rPr>
              <w:t>关注点的当量剂量率（</w:t>
            </w:r>
            <w:r>
              <w:rPr>
                <w:color w:val="auto"/>
                <w:kern w:val="0"/>
                <w:highlight w:val="none"/>
                <w:lang w:bidi="ar"/>
              </w:rPr>
              <w:t>μ</w:t>
            </w:r>
            <w:r>
              <w:rPr>
                <w:color w:val="auto"/>
                <w:highlight w:val="none"/>
              </w:rPr>
              <w:t>Sv/h）；</w:t>
            </w:r>
          </w:p>
          <w:p w14:paraId="1A6B7320">
            <w:pPr>
              <w:ind w:firstLine="1200" w:firstLineChars="500"/>
              <w:rPr>
                <w:bCs/>
                <w:color w:val="auto"/>
                <w:highlight w:val="none"/>
                <w:lang w:val="de-DE"/>
              </w:rPr>
            </w:pPr>
            <w:r>
              <w:rPr>
                <w:bCs/>
                <w:i/>
                <w:color w:val="auto"/>
                <w:highlight w:val="none"/>
                <w:lang w:val="de-DE"/>
              </w:rPr>
              <w:t>h—</w:t>
            </w:r>
            <w:r>
              <w:rPr>
                <w:bCs/>
                <w:color w:val="auto"/>
                <w:highlight w:val="none"/>
              </w:rPr>
              <w:t>工作负荷</w:t>
            </w:r>
            <w:r>
              <w:rPr>
                <w:bCs/>
                <w:color w:val="auto"/>
                <w:highlight w:val="none"/>
                <w:lang w:val="de-DE"/>
              </w:rPr>
              <w:t>（h/a）；</w:t>
            </w:r>
          </w:p>
          <w:p w14:paraId="115ED26E">
            <w:pPr>
              <w:ind w:firstLine="1200" w:firstLineChars="500"/>
              <w:rPr>
                <w:bCs/>
                <w:i/>
                <w:color w:val="auto"/>
                <w:highlight w:val="none"/>
                <w:lang w:val="de-DE"/>
              </w:rPr>
            </w:pPr>
            <w:r>
              <w:rPr>
                <w:bCs/>
                <w:i/>
                <w:color w:val="auto"/>
                <w:highlight w:val="none"/>
                <w:lang w:val="de-DE"/>
              </w:rPr>
              <w:t>η—</w:t>
            </w:r>
            <w:r>
              <w:rPr>
                <w:bCs/>
                <w:iCs/>
                <w:color w:val="auto"/>
                <w:highlight w:val="none"/>
                <w:lang w:val="de-DE"/>
              </w:rPr>
              <w:t>居留因子，经常有人员停留的地方取1，有部分时间有人员停留的地方取1/4，偶然有人员停留的地方取1/16</w:t>
            </w:r>
            <w:r>
              <w:rPr>
                <w:bCs/>
                <w:i/>
                <w:color w:val="auto"/>
                <w:highlight w:val="none"/>
                <w:lang w:val="de-DE"/>
              </w:rPr>
              <w:t>；</w:t>
            </w:r>
          </w:p>
          <w:p w14:paraId="540DC1DE">
            <w:pPr>
              <w:pStyle w:val="281"/>
              <w:spacing w:line="360" w:lineRule="auto"/>
              <w:ind w:firstLine="1200" w:firstLineChars="500"/>
              <w:rPr>
                <w:bCs/>
                <w:color w:val="auto"/>
                <w:sz w:val="24"/>
                <w:szCs w:val="24"/>
                <w:highlight w:val="none"/>
              </w:rPr>
            </w:pPr>
            <w:r>
              <w:rPr>
                <w:bCs/>
                <w:i/>
                <w:color w:val="auto"/>
                <w:sz w:val="24"/>
                <w:szCs w:val="24"/>
                <w:highlight w:val="none"/>
                <w:lang w:val="de-DE"/>
              </w:rPr>
              <w:t>W</w:t>
            </w:r>
            <w:r>
              <w:rPr>
                <w:bCs/>
                <w:i/>
                <w:color w:val="auto"/>
                <w:sz w:val="24"/>
                <w:szCs w:val="24"/>
                <w:highlight w:val="none"/>
                <w:vertAlign w:val="subscript"/>
                <w:lang w:val="de-DE"/>
              </w:rPr>
              <w:t>T</w:t>
            </w:r>
            <w:r>
              <w:rPr>
                <w:bCs/>
                <w:color w:val="auto"/>
                <w:sz w:val="24"/>
                <w:szCs w:val="24"/>
                <w:highlight w:val="none"/>
                <w:lang w:val="de-DE"/>
              </w:rPr>
              <w:t xml:space="preserve"> </w:t>
            </w:r>
            <w:r>
              <w:rPr>
                <w:bCs/>
                <w:i/>
                <w:color w:val="auto"/>
                <w:sz w:val="24"/>
                <w:szCs w:val="24"/>
                <w:highlight w:val="none"/>
              </w:rPr>
              <w:t>—</w:t>
            </w:r>
            <w:r>
              <w:rPr>
                <w:bCs/>
                <w:iCs/>
                <w:color w:val="auto"/>
                <w:sz w:val="24"/>
                <w:szCs w:val="24"/>
                <w:highlight w:val="none"/>
              </w:rPr>
              <w:t>组织</w:t>
            </w:r>
            <w:r>
              <w:rPr>
                <w:bCs/>
                <w:color w:val="auto"/>
                <w:sz w:val="24"/>
                <w:szCs w:val="24"/>
                <w:highlight w:val="none"/>
              </w:rPr>
              <w:t>权重因子，取1。</w:t>
            </w:r>
          </w:p>
          <w:p w14:paraId="17658E65">
            <w:pPr>
              <w:pStyle w:val="20"/>
              <w:ind w:firstLine="480" w:firstLineChars="200"/>
              <w:rPr>
                <w:rFonts w:hint="eastAsia"/>
                <w:color w:val="auto"/>
                <w:kern w:val="28"/>
                <w:highlight w:val="none"/>
              </w:rPr>
            </w:pPr>
            <w:r>
              <w:rPr>
                <w:color w:val="auto"/>
                <w:kern w:val="28"/>
                <w:highlight w:val="none"/>
              </w:rPr>
              <w:t>根据医院提供资料，本项目</w:t>
            </w:r>
            <w:r>
              <w:rPr>
                <w:rFonts w:hint="eastAsia"/>
                <w:color w:val="auto"/>
                <w:kern w:val="28"/>
                <w:highlight w:val="none"/>
                <w:lang w:val="en-US" w:eastAsia="zh-CN"/>
              </w:rPr>
              <w:t>射线装置主要使用科室为心胸内/外科、神经内/外科、血管内/外科、肝胆外科、呼吸内科、泌尿外科、普外科和脾胃病科</w:t>
            </w:r>
            <w:r>
              <w:rPr>
                <w:rFonts w:hint="eastAsia"/>
                <w:color w:val="auto"/>
                <w:kern w:val="28"/>
                <w:highlight w:val="none"/>
              </w:rPr>
              <w:t>，由</w:t>
            </w:r>
            <w:r>
              <w:rPr>
                <w:rFonts w:hint="eastAsia"/>
                <w:color w:val="auto"/>
                <w:kern w:val="28"/>
                <w:highlight w:val="none"/>
                <w:lang w:val="en-US" w:eastAsia="zh-CN"/>
              </w:rPr>
              <w:t>手术部、放射科和内镜中心分别</w:t>
            </w:r>
            <w:r>
              <w:rPr>
                <w:rFonts w:hint="eastAsia"/>
                <w:color w:val="auto"/>
                <w:kern w:val="28"/>
                <w:highlight w:val="none"/>
              </w:rPr>
              <w:t>配备</w:t>
            </w:r>
            <w:r>
              <w:rPr>
                <w:rFonts w:hint="eastAsia"/>
                <w:color w:val="auto"/>
                <w:kern w:val="28"/>
                <w:highlight w:val="none"/>
                <w:lang w:val="en-US" w:eastAsia="zh-CN"/>
              </w:rPr>
              <w:t>辅助护士和技师</w:t>
            </w:r>
            <w:r>
              <w:rPr>
                <w:rFonts w:hint="eastAsia"/>
                <w:color w:val="auto"/>
                <w:kern w:val="28"/>
                <w:highlight w:val="none"/>
              </w:rPr>
              <w:t>，各科室手术量及受照时间核算见下表。</w:t>
            </w:r>
          </w:p>
          <w:p w14:paraId="6EE6E5A1">
            <w:pPr>
              <w:spacing w:before="163" w:beforeLines="50"/>
              <w:jc w:val="center"/>
              <w:rPr>
                <w:rFonts w:eastAsia="黑体"/>
                <w:b/>
                <w:color w:val="auto"/>
                <w:highlight w:val="none"/>
              </w:rPr>
            </w:pPr>
            <w:bookmarkStart w:id="62" w:name="_Hlk199143852"/>
            <w:r>
              <w:rPr>
                <w:rFonts w:eastAsia="黑体"/>
                <w:b/>
                <w:color w:val="auto"/>
                <w:highlight w:val="none"/>
              </w:rPr>
              <w:t>表11-</w:t>
            </w:r>
            <w:r>
              <w:rPr>
                <w:rFonts w:hint="eastAsia" w:eastAsia="黑体"/>
                <w:b/>
                <w:color w:val="auto"/>
                <w:highlight w:val="none"/>
                <w:lang w:val="en-US" w:eastAsia="zh-CN"/>
              </w:rPr>
              <w:t>16</w:t>
            </w:r>
            <w:r>
              <w:rPr>
                <w:rFonts w:eastAsia="黑体"/>
                <w:b/>
                <w:color w:val="auto"/>
                <w:highlight w:val="none"/>
              </w:rPr>
              <w:t xml:space="preserve">  </w:t>
            </w:r>
            <w:r>
              <w:rPr>
                <w:rFonts w:hint="eastAsia" w:eastAsia="黑体"/>
                <w:b/>
                <w:color w:val="auto"/>
                <w:highlight w:val="none"/>
                <w:lang w:val="en-US" w:eastAsia="zh-CN"/>
              </w:rPr>
              <w:t>射线装置</w:t>
            </w:r>
            <w:r>
              <w:rPr>
                <w:rFonts w:eastAsia="黑体"/>
                <w:b/>
                <w:color w:val="auto"/>
                <w:highlight w:val="none"/>
              </w:rPr>
              <w:t>不同科室开展介入手术量及</w:t>
            </w:r>
            <w:r>
              <w:rPr>
                <w:rFonts w:hint="eastAsia" w:eastAsia="黑体"/>
                <w:b/>
                <w:color w:val="auto"/>
                <w:highlight w:val="none"/>
              </w:rPr>
              <w:t>受照</w:t>
            </w:r>
            <w:r>
              <w:rPr>
                <w:rFonts w:eastAsia="黑体"/>
                <w:b/>
                <w:color w:val="auto"/>
                <w:highlight w:val="none"/>
              </w:rPr>
              <w:t>时间核算表</w:t>
            </w:r>
          </w:p>
          <w:bookmarkEnd w:id="62"/>
          <w:tbl>
            <w:tblPr>
              <w:tblStyle w:val="57"/>
              <w:tblW w:w="4955"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3"/>
              <w:gridCol w:w="825"/>
              <w:gridCol w:w="2445"/>
              <w:gridCol w:w="1185"/>
              <w:gridCol w:w="1215"/>
              <w:gridCol w:w="1095"/>
              <w:gridCol w:w="1228"/>
            </w:tblGrid>
            <w:tr w14:paraId="6DB017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restart"/>
                  <w:noWrap w:val="0"/>
                  <w:vAlign w:val="center"/>
                </w:tcPr>
                <w:p w14:paraId="30EFB670">
                  <w:pPr>
                    <w:pStyle w:val="292"/>
                    <w:keepNext w:val="0"/>
                    <w:keepLines w:val="0"/>
                    <w:pageBreakBefore w:val="0"/>
                    <w:kinsoku/>
                    <w:wordWrap/>
                    <w:overflowPunct/>
                    <w:topLinePunct w:val="0"/>
                    <w:autoSpaceDE/>
                    <w:autoSpaceDN/>
                    <w:bidi w:val="0"/>
                    <w:adjustRightInd/>
                    <w:snapToGrid/>
                    <w:spacing w:line="320" w:lineRule="exact"/>
                    <w:jc w:val="center"/>
                    <w:rPr>
                      <w:b/>
                      <w:bCs/>
                      <w:spacing w:val="-11"/>
                    </w:rPr>
                  </w:pPr>
                  <w:r>
                    <w:rPr>
                      <w:b/>
                      <w:bCs/>
                      <w:spacing w:val="-11"/>
                    </w:rPr>
                    <w:t>使用</w:t>
                  </w:r>
                </w:p>
                <w:p w14:paraId="300ED739">
                  <w:pPr>
                    <w:pStyle w:val="292"/>
                    <w:keepNext w:val="0"/>
                    <w:keepLines w:val="0"/>
                    <w:pageBreakBefore w:val="0"/>
                    <w:kinsoku/>
                    <w:wordWrap/>
                    <w:overflowPunct/>
                    <w:topLinePunct w:val="0"/>
                    <w:autoSpaceDE/>
                    <w:autoSpaceDN/>
                    <w:bidi w:val="0"/>
                    <w:adjustRightInd/>
                    <w:snapToGrid/>
                    <w:spacing w:line="320" w:lineRule="exact"/>
                    <w:jc w:val="center"/>
                    <w:rPr>
                      <w:b/>
                      <w:bCs/>
                    </w:rPr>
                  </w:pPr>
                  <w:r>
                    <w:rPr>
                      <w:b/>
                      <w:bCs/>
                      <w:spacing w:val="-11"/>
                    </w:rPr>
                    <w:t>场所</w:t>
                  </w:r>
                </w:p>
              </w:tc>
              <w:tc>
                <w:tcPr>
                  <w:tcW w:w="464" w:type="pct"/>
                  <w:vMerge w:val="restart"/>
                  <w:noWrap w:val="0"/>
                  <w:vAlign w:val="center"/>
                </w:tcPr>
                <w:p w14:paraId="6B312854">
                  <w:pPr>
                    <w:pStyle w:val="292"/>
                    <w:keepNext w:val="0"/>
                    <w:keepLines w:val="0"/>
                    <w:pageBreakBefore w:val="0"/>
                    <w:kinsoku/>
                    <w:wordWrap/>
                    <w:overflowPunct/>
                    <w:topLinePunct w:val="0"/>
                    <w:autoSpaceDE/>
                    <w:autoSpaceDN/>
                    <w:bidi w:val="0"/>
                    <w:adjustRightInd/>
                    <w:snapToGrid/>
                    <w:spacing w:line="320" w:lineRule="exact"/>
                    <w:jc w:val="center"/>
                    <w:rPr>
                      <w:b/>
                      <w:bCs/>
                    </w:rPr>
                  </w:pPr>
                  <w:r>
                    <w:rPr>
                      <w:b/>
                      <w:bCs/>
                    </w:rPr>
                    <w:t>设备</w:t>
                  </w:r>
                </w:p>
              </w:tc>
              <w:tc>
                <w:tcPr>
                  <w:tcW w:w="1377" w:type="pct"/>
                  <w:vMerge w:val="restart"/>
                  <w:noWrap w:val="0"/>
                  <w:vAlign w:val="center"/>
                </w:tcPr>
                <w:p w14:paraId="7DC5F4B9">
                  <w:pPr>
                    <w:pStyle w:val="292"/>
                    <w:keepNext w:val="0"/>
                    <w:keepLines w:val="0"/>
                    <w:pageBreakBefore w:val="0"/>
                    <w:kinsoku/>
                    <w:wordWrap/>
                    <w:overflowPunct/>
                    <w:topLinePunct w:val="0"/>
                    <w:autoSpaceDE/>
                    <w:autoSpaceDN/>
                    <w:bidi w:val="0"/>
                    <w:adjustRightInd/>
                    <w:snapToGrid/>
                    <w:spacing w:line="320" w:lineRule="exact"/>
                    <w:jc w:val="center"/>
                    <w:rPr>
                      <w:b/>
                      <w:bCs/>
                    </w:rPr>
                  </w:pPr>
                  <w:r>
                    <w:rPr>
                      <w:b/>
                      <w:bCs/>
                    </w:rPr>
                    <w:t>科室</w:t>
                  </w:r>
                  <w:r>
                    <w:rPr>
                      <w:rFonts w:hint="eastAsia"/>
                      <w:b/>
                      <w:bCs/>
                    </w:rPr>
                    <w:t>人员</w:t>
                  </w:r>
                </w:p>
              </w:tc>
              <w:tc>
                <w:tcPr>
                  <w:tcW w:w="667" w:type="pct"/>
                  <w:vMerge w:val="restart"/>
                  <w:noWrap w:val="0"/>
                  <w:vAlign w:val="center"/>
                </w:tcPr>
                <w:p w14:paraId="2D5E76CE">
                  <w:pPr>
                    <w:keepNext w:val="0"/>
                    <w:keepLines w:val="0"/>
                    <w:pageBreakBefore w:val="0"/>
                    <w:kinsoku/>
                    <w:wordWrap/>
                    <w:overflowPunct/>
                    <w:topLinePunct w:val="0"/>
                    <w:autoSpaceDE/>
                    <w:autoSpaceDN/>
                    <w:bidi w:val="0"/>
                    <w:adjustRightInd/>
                    <w:snapToGrid/>
                    <w:spacing w:line="320" w:lineRule="exact"/>
                    <w:jc w:val="center"/>
                    <w:rPr>
                      <w:rFonts w:hint="eastAsia" w:eastAsia="宋体"/>
                      <w:b/>
                      <w:bCs/>
                      <w:kern w:val="0"/>
                      <w:sz w:val="21"/>
                      <w:szCs w:val="21"/>
                      <w:lang w:eastAsia="zh-CN"/>
                    </w:rPr>
                  </w:pPr>
                  <w:r>
                    <w:rPr>
                      <w:b/>
                      <w:bCs/>
                      <w:kern w:val="0"/>
                      <w:sz w:val="21"/>
                      <w:szCs w:val="21"/>
                    </w:rPr>
                    <w:t>年预计最大手术量</w:t>
                  </w:r>
                  <w:r>
                    <w:rPr>
                      <w:rFonts w:hint="eastAsia"/>
                      <w:b/>
                      <w:bCs/>
                      <w:kern w:val="0"/>
                      <w:sz w:val="21"/>
                      <w:szCs w:val="21"/>
                      <w:lang w:eastAsia="zh-CN"/>
                    </w:rPr>
                    <w:t>（</w:t>
                  </w:r>
                  <w:r>
                    <w:rPr>
                      <w:rFonts w:hint="eastAsia"/>
                      <w:b/>
                      <w:bCs/>
                      <w:kern w:val="0"/>
                      <w:sz w:val="21"/>
                      <w:szCs w:val="21"/>
                      <w:lang w:val="en-US" w:eastAsia="zh-CN"/>
                    </w:rPr>
                    <w:t>台</w:t>
                  </w:r>
                  <w:r>
                    <w:rPr>
                      <w:rFonts w:hint="eastAsia"/>
                      <w:b/>
                      <w:bCs/>
                      <w:kern w:val="0"/>
                      <w:sz w:val="21"/>
                      <w:szCs w:val="21"/>
                      <w:lang w:eastAsia="zh-CN"/>
                    </w:rPr>
                    <w:t>）</w:t>
                  </w:r>
                </w:p>
              </w:tc>
              <w:tc>
                <w:tcPr>
                  <w:tcW w:w="1301" w:type="pct"/>
                  <w:gridSpan w:val="2"/>
                  <w:noWrap w:val="0"/>
                  <w:vAlign w:val="center"/>
                </w:tcPr>
                <w:p w14:paraId="2535B156">
                  <w:pPr>
                    <w:pStyle w:val="292"/>
                    <w:keepNext w:val="0"/>
                    <w:keepLines w:val="0"/>
                    <w:pageBreakBefore w:val="0"/>
                    <w:kinsoku/>
                    <w:wordWrap/>
                    <w:overflowPunct/>
                    <w:topLinePunct w:val="0"/>
                    <w:autoSpaceDE/>
                    <w:autoSpaceDN/>
                    <w:bidi w:val="0"/>
                    <w:adjustRightInd/>
                    <w:snapToGrid/>
                    <w:spacing w:line="320" w:lineRule="exact"/>
                    <w:jc w:val="center"/>
                    <w:rPr>
                      <w:rFonts w:hint="eastAsia" w:eastAsia="宋体"/>
                      <w:b/>
                      <w:bCs/>
                      <w:lang w:eastAsia="zh-CN"/>
                    </w:rPr>
                  </w:pPr>
                  <w:r>
                    <w:rPr>
                      <w:rFonts w:hint="eastAsia"/>
                      <w:b/>
                      <w:bCs/>
                    </w:rPr>
                    <w:t>DSA</w:t>
                  </w:r>
                  <w:r>
                    <w:rPr>
                      <w:b/>
                      <w:bCs/>
                    </w:rPr>
                    <w:t>年</w:t>
                  </w:r>
                  <w:r>
                    <w:rPr>
                      <w:rFonts w:hint="eastAsia"/>
                      <w:b/>
                      <w:bCs/>
                      <w:lang w:val="en-US" w:eastAsia="zh-CN"/>
                    </w:rPr>
                    <w:t>照射</w:t>
                  </w:r>
                  <w:r>
                    <w:rPr>
                      <w:b/>
                      <w:bCs/>
                    </w:rPr>
                    <w:t>时间</w:t>
                  </w:r>
                  <w:r>
                    <w:rPr>
                      <w:rFonts w:hint="eastAsia"/>
                      <w:b/>
                      <w:bCs/>
                      <w:lang w:eastAsia="zh-CN"/>
                    </w:rPr>
                    <w:t>（</w:t>
                  </w:r>
                  <w:r>
                    <w:rPr>
                      <w:rFonts w:hint="eastAsia"/>
                      <w:b/>
                      <w:bCs/>
                      <w:lang w:val="en-US" w:eastAsia="zh-CN"/>
                    </w:rPr>
                    <w:t>h</w:t>
                  </w:r>
                  <w:r>
                    <w:rPr>
                      <w:rFonts w:hint="eastAsia"/>
                      <w:b/>
                      <w:bCs/>
                      <w:lang w:eastAsia="zh-CN"/>
                    </w:rPr>
                    <w:t>）</w:t>
                  </w:r>
                </w:p>
              </w:tc>
              <w:tc>
                <w:tcPr>
                  <w:tcW w:w="691" w:type="pct"/>
                  <w:vMerge w:val="restart"/>
                  <w:noWrap w:val="0"/>
                  <w:vAlign w:val="center"/>
                </w:tcPr>
                <w:p w14:paraId="48B05E45">
                  <w:pPr>
                    <w:pStyle w:val="292"/>
                    <w:keepNext w:val="0"/>
                    <w:keepLines w:val="0"/>
                    <w:pageBreakBefore w:val="0"/>
                    <w:kinsoku/>
                    <w:wordWrap/>
                    <w:overflowPunct/>
                    <w:topLinePunct w:val="0"/>
                    <w:autoSpaceDE/>
                    <w:autoSpaceDN/>
                    <w:bidi w:val="0"/>
                    <w:adjustRightInd/>
                    <w:snapToGrid/>
                    <w:spacing w:line="320" w:lineRule="exact"/>
                    <w:jc w:val="center"/>
                    <w:rPr>
                      <w:rFonts w:hint="eastAsia" w:eastAsia="宋体"/>
                      <w:b/>
                      <w:bCs/>
                      <w:lang w:eastAsia="zh-CN"/>
                    </w:rPr>
                  </w:pPr>
                  <w:r>
                    <w:rPr>
                      <w:rFonts w:hint="eastAsia"/>
                      <w:b/>
                      <w:bCs/>
                    </w:rPr>
                    <w:t>CT</w:t>
                  </w:r>
                  <w:r>
                    <w:rPr>
                      <w:b/>
                      <w:bCs/>
                    </w:rPr>
                    <w:t>年</w:t>
                  </w:r>
                  <w:r>
                    <w:rPr>
                      <w:rFonts w:hint="eastAsia"/>
                      <w:b/>
                      <w:bCs/>
                      <w:lang w:val="en-US" w:eastAsia="zh-CN"/>
                    </w:rPr>
                    <w:t>照射</w:t>
                  </w:r>
                  <w:r>
                    <w:rPr>
                      <w:b/>
                      <w:bCs/>
                    </w:rPr>
                    <w:t>时间</w:t>
                  </w:r>
                  <w:r>
                    <w:rPr>
                      <w:rFonts w:hint="eastAsia"/>
                      <w:b/>
                      <w:bCs/>
                      <w:lang w:eastAsia="zh-CN"/>
                    </w:rPr>
                    <w:t>（</w:t>
                  </w:r>
                  <w:r>
                    <w:rPr>
                      <w:rFonts w:hint="eastAsia"/>
                      <w:b/>
                      <w:bCs/>
                      <w:lang w:val="en-US" w:eastAsia="zh-CN"/>
                    </w:rPr>
                    <w:t>h</w:t>
                  </w:r>
                  <w:r>
                    <w:rPr>
                      <w:rFonts w:hint="eastAsia"/>
                      <w:b/>
                      <w:bCs/>
                      <w:lang w:eastAsia="zh-CN"/>
                    </w:rPr>
                    <w:t>）</w:t>
                  </w:r>
                </w:p>
              </w:tc>
            </w:tr>
            <w:tr w14:paraId="74FD49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4F2AE4AF">
                  <w:pPr>
                    <w:pStyle w:val="292"/>
                    <w:keepNext w:val="0"/>
                    <w:keepLines w:val="0"/>
                    <w:pageBreakBefore w:val="0"/>
                    <w:kinsoku/>
                    <w:wordWrap/>
                    <w:overflowPunct/>
                    <w:topLinePunct w:val="0"/>
                    <w:autoSpaceDE/>
                    <w:autoSpaceDN/>
                    <w:bidi w:val="0"/>
                    <w:adjustRightInd/>
                    <w:snapToGrid/>
                    <w:spacing w:line="320" w:lineRule="exact"/>
                    <w:jc w:val="center"/>
                    <w:rPr>
                      <w:b/>
                      <w:bCs/>
                    </w:rPr>
                  </w:pPr>
                </w:p>
              </w:tc>
              <w:tc>
                <w:tcPr>
                  <w:tcW w:w="464" w:type="pct"/>
                  <w:vMerge w:val="continue"/>
                  <w:noWrap w:val="0"/>
                  <w:vAlign w:val="center"/>
                </w:tcPr>
                <w:p w14:paraId="6EA3E393">
                  <w:pPr>
                    <w:pStyle w:val="292"/>
                    <w:keepNext w:val="0"/>
                    <w:keepLines w:val="0"/>
                    <w:pageBreakBefore w:val="0"/>
                    <w:kinsoku/>
                    <w:wordWrap/>
                    <w:overflowPunct/>
                    <w:topLinePunct w:val="0"/>
                    <w:autoSpaceDE/>
                    <w:autoSpaceDN/>
                    <w:bidi w:val="0"/>
                    <w:adjustRightInd/>
                    <w:snapToGrid/>
                    <w:spacing w:line="320" w:lineRule="exact"/>
                    <w:jc w:val="center"/>
                    <w:rPr>
                      <w:b/>
                      <w:bCs/>
                    </w:rPr>
                  </w:pPr>
                </w:p>
              </w:tc>
              <w:tc>
                <w:tcPr>
                  <w:tcW w:w="1377" w:type="pct"/>
                  <w:vMerge w:val="continue"/>
                  <w:noWrap w:val="0"/>
                  <w:vAlign w:val="center"/>
                </w:tcPr>
                <w:p w14:paraId="09BBCE31">
                  <w:pPr>
                    <w:pStyle w:val="292"/>
                    <w:keepNext w:val="0"/>
                    <w:keepLines w:val="0"/>
                    <w:pageBreakBefore w:val="0"/>
                    <w:kinsoku/>
                    <w:wordWrap/>
                    <w:overflowPunct/>
                    <w:topLinePunct w:val="0"/>
                    <w:autoSpaceDE/>
                    <w:autoSpaceDN/>
                    <w:bidi w:val="0"/>
                    <w:adjustRightInd/>
                    <w:snapToGrid/>
                    <w:spacing w:line="320" w:lineRule="exact"/>
                    <w:jc w:val="center"/>
                    <w:rPr>
                      <w:b/>
                      <w:bCs/>
                    </w:rPr>
                  </w:pPr>
                </w:p>
              </w:tc>
              <w:tc>
                <w:tcPr>
                  <w:tcW w:w="667" w:type="pct"/>
                  <w:vMerge w:val="continue"/>
                  <w:noWrap w:val="0"/>
                  <w:vAlign w:val="center"/>
                </w:tcPr>
                <w:p w14:paraId="65996176">
                  <w:pPr>
                    <w:pStyle w:val="292"/>
                    <w:keepNext w:val="0"/>
                    <w:keepLines w:val="0"/>
                    <w:pageBreakBefore w:val="0"/>
                    <w:kinsoku/>
                    <w:wordWrap/>
                    <w:overflowPunct/>
                    <w:topLinePunct w:val="0"/>
                    <w:autoSpaceDE/>
                    <w:autoSpaceDN/>
                    <w:bidi w:val="0"/>
                    <w:adjustRightInd/>
                    <w:snapToGrid/>
                    <w:spacing w:line="320" w:lineRule="exact"/>
                    <w:jc w:val="center"/>
                    <w:rPr>
                      <w:b/>
                      <w:bCs/>
                    </w:rPr>
                  </w:pPr>
                </w:p>
              </w:tc>
              <w:tc>
                <w:tcPr>
                  <w:tcW w:w="684" w:type="pct"/>
                  <w:noWrap w:val="0"/>
                  <w:vAlign w:val="center"/>
                </w:tcPr>
                <w:p w14:paraId="05CC8D23">
                  <w:pPr>
                    <w:pStyle w:val="292"/>
                    <w:keepNext w:val="0"/>
                    <w:keepLines w:val="0"/>
                    <w:pageBreakBefore w:val="0"/>
                    <w:kinsoku/>
                    <w:wordWrap/>
                    <w:overflowPunct/>
                    <w:topLinePunct w:val="0"/>
                    <w:autoSpaceDE/>
                    <w:autoSpaceDN/>
                    <w:bidi w:val="0"/>
                    <w:adjustRightInd/>
                    <w:snapToGrid/>
                    <w:spacing w:line="320" w:lineRule="exact"/>
                    <w:jc w:val="center"/>
                    <w:rPr>
                      <w:rFonts w:hint="default" w:eastAsia="宋体"/>
                      <w:b/>
                      <w:bCs/>
                      <w:lang w:val="en-US" w:eastAsia="zh-CN"/>
                    </w:rPr>
                  </w:pPr>
                  <w:r>
                    <w:rPr>
                      <w:rFonts w:hint="eastAsia"/>
                      <w:b/>
                      <w:bCs/>
                      <w:lang w:val="en-US" w:eastAsia="zh-CN"/>
                    </w:rPr>
                    <w:t>影像检查</w:t>
                  </w:r>
                </w:p>
              </w:tc>
              <w:tc>
                <w:tcPr>
                  <w:tcW w:w="616" w:type="pct"/>
                  <w:noWrap w:val="0"/>
                  <w:vAlign w:val="center"/>
                </w:tcPr>
                <w:p w14:paraId="5A53DDD1">
                  <w:pPr>
                    <w:pStyle w:val="292"/>
                    <w:keepNext w:val="0"/>
                    <w:keepLines w:val="0"/>
                    <w:pageBreakBefore w:val="0"/>
                    <w:kinsoku/>
                    <w:wordWrap/>
                    <w:overflowPunct/>
                    <w:topLinePunct w:val="0"/>
                    <w:autoSpaceDE/>
                    <w:autoSpaceDN/>
                    <w:bidi w:val="0"/>
                    <w:adjustRightInd/>
                    <w:snapToGrid/>
                    <w:spacing w:line="320" w:lineRule="exact"/>
                    <w:jc w:val="center"/>
                    <w:rPr>
                      <w:rFonts w:hint="default" w:eastAsia="宋体"/>
                      <w:b/>
                      <w:bCs/>
                      <w:lang w:val="en-US" w:eastAsia="zh-CN"/>
                    </w:rPr>
                  </w:pPr>
                  <w:r>
                    <w:rPr>
                      <w:rFonts w:hint="eastAsia"/>
                      <w:b/>
                      <w:bCs/>
                      <w:lang w:val="en-US" w:eastAsia="zh-CN"/>
                    </w:rPr>
                    <w:t>介入操作</w:t>
                  </w:r>
                </w:p>
              </w:tc>
              <w:tc>
                <w:tcPr>
                  <w:tcW w:w="691" w:type="pct"/>
                  <w:vMerge w:val="continue"/>
                  <w:noWrap w:val="0"/>
                  <w:vAlign w:val="center"/>
                </w:tcPr>
                <w:p w14:paraId="50FF113A">
                  <w:pPr>
                    <w:pStyle w:val="292"/>
                    <w:keepNext w:val="0"/>
                    <w:keepLines w:val="0"/>
                    <w:pageBreakBefore w:val="0"/>
                    <w:kinsoku/>
                    <w:wordWrap/>
                    <w:overflowPunct/>
                    <w:topLinePunct w:val="0"/>
                    <w:autoSpaceDE/>
                    <w:autoSpaceDN/>
                    <w:bidi w:val="0"/>
                    <w:adjustRightInd/>
                    <w:snapToGrid/>
                    <w:spacing w:line="320" w:lineRule="exact"/>
                    <w:jc w:val="center"/>
                    <w:rPr>
                      <w:b/>
                      <w:bCs/>
                    </w:rPr>
                  </w:pPr>
                </w:p>
              </w:tc>
            </w:tr>
            <w:tr w14:paraId="06DC8C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restart"/>
                  <w:noWrap w:val="0"/>
                  <w:vAlign w:val="center"/>
                </w:tcPr>
                <w:p w14:paraId="753ED3D0">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spacing w:val="-11"/>
                    </w:rPr>
                    <w:t>DSA</w:t>
                  </w:r>
                  <w:r>
                    <w:rPr>
                      <w:rFonts w:hint="eastAsia"/>
                      <w:spacing w:val="-11"/>
                      <w:lang w:val="en-US" w:eastAsia="zh-CN"/>
                    </w:rPr>
                    <w:t>+</w:t>
                  </w:r>
                  <w:r>
                    <w:rPr>
                      <w:spacing w:val="-11"/>
                    </w:rPr>
                    <w:t>CT复合手术室</w:t>
                  </w:r>
                </w:p>
              </w:tc>
              <w:tc>
                <w:tcPr>
                  <w:tcW w:w="464" w:type="pct"/>
                  <w:vMerge w:val="restart"/>
                  <w:noWrap w:val="0"/>
                  <w:vAlign w:val="center"/>
                </w:tcPr>
                <w:p w14:paraId="787AD482">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spacing w:val="-11"/>
                    </w:rPr>
                    <w:t>DSA</w:t>
                  </w:r>
                  <w:r>
                    <w:rPr>
                      <w:rFonts w:hint="eastAsia"/>
                      <w:spacing w:val="-11"/>
                    </w:rPr>
                    <w:t>、CT</w:t>
                  </w:r>
                </w:p>
              </w:tc>
              <w:tc>
                <w:tcPr>
                  <w:tcW w:w="1377" w:type="pct"/>
                  <w:shd w:val="clear" w:color="auto" w:fill="auto"/>
                  <w:noWrap w:val="0"/>
                  <w:vAlign w:val="center"/>
                </w:tcPr>
                <w:p w14:paraId="6527EF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spacing w:val="-11"/>
                      <w:sz w:val="21"/>
                      <w:szCs w:val="21"/>
                    </w:rPr>
                    <w:t>心</w:t>
                  </w:r>
                  <w:r>
                    <w:rPr>
                      <w:rFonts w:hint="eastAsia"/>
                      <w:spacing w:val="-11"/>
                      <w:sz w:val="21"/>
                      <w:szCs w:val="21"/>
                      <w:lang w:val="en-US" w:eastAsia="zh-CN"/>
                    </w:rPr>
                    <w:t>胸外</w:t>
                  </w:r>
                  <w:r>
                    <w:rPr>
                      <w:spacing w:val="-11"/>
                      <w:sz w:val="21"/>
                      <w:szCs w:val="21"/>
                    </w:rPr>
                    <w:t>科</w:t>
                  </w:r>
                  <w:r>
                    <w:rPr>
                      <w:rFonts w:hint="eastAsia"/>
                      <w:spacing w:val="-11"/>
                      <w:sz w:val="21"/>
                      <w:szCs w:val="21"/>
                      <w:lang w:val="en-US" w:eastAsia="zh-CN"/>
                    </w:rPr>
                    <w:t>医生</w:t>
                  </w:r>
                </w:p>
              </w:tc>
              <w:tc>
                <w:tcPr>
                  <w:tcW w:w="667" w:type="pct"/>
                  <w:shd w:val="clear" w:color="auto" w:fill="auto"/>
                  <w:noWrap w:val="0"/>
                  <w:vAlign w:val="center"/>
                </w:tcPr>
                <w:p w14:paraId="6AEF3C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400</w:t>
                  </w:r>
                </w:p>
              </w:tc>
              <w:tc>
                <w:tcPr>
                  <w:tcW w:w="684" w:type="pct"/>
                  <w:shd w:val="clear" w:color="auto" w:fill="auto"/>
                  <w:noWrap w:val="0"/>
                  <w:vAlign w:val="center"/>
                </w:tcPr>
                <w:p w14:paraId="3AD257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color w:val="000000"/>
                      <w:sz w:val="21"/>
                      <w:szCs w:val="21"/>
                      <w:lang w:val="en-US" w:eastAsia="zh-CN"/>
                    </w:rPr>
                    <w:t>3.3</w:t>
                  </w:r>
                </w:p>
              </w:tc>
              <w:tc>
                <w:tcPr>
                  <w:tcW w:w="616" w:type="pct"/>
                  <w:shd w:val="clear" w:color="auto" w:fill="auto"/>
                  <w:noWrap w:val="0"/>
                  <w:vAlign w:val="center"/>
                </w:tcPr>
                <w:p w14:paraId="18E725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color w:val="000000"/>
                      <w:sz w:val="21"/>
                      <w:szCs w:val="21"/>
                      <w:lang w:val="en-US" w:eastAsia="zh-CN"/>
                    </w:rPr>
                    <w:t>100.0</w:t>
                  </w:r>
                  <w:r>
                    <w:rPr>
                      <w:rFonts w:hint="default"/>
                      <w:color w:val="000000"/>
                      <w:sz w:val="21"/>
                      <w:szCs w:val="21"/>
                      <w:lang w:val="en-US" w:eastAsia="zh-CN"/>
                    </w:rPr>
                    <w:t xml:space="preserve"> </w:t>
                  </w:r>
                </w:p>
              </w:tc>
              <w:tc>
                <w:tcPr>
                  <w:tcW w:w="691" w:type="pct"/>
                  <w:shd w:val="clear" w:color="auto" w:fill="auto"/>
                  <w:noWrap w:val="0"/>
                  <w:vAlign w:val="center"/>
                </w:tcPr>
                <w:p w14:paraId="1D5488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pacing w:val="-11"/>
                      <w:sz w:val="21"/>
                      <w:szCs w:val="21"/>
                      <w:lang w:val="en-US" w:eastAsia="zh-CN" w:bidi="ar-SA"/>
                    </w:rPr>
                  </w:pPr>
                  <w:r>
                    <w:rPr>
                      <w:rFonts w:hint="eastAsia" w:cs="Times New Roman"/>
                      <w:i w:val="0"/>
                      <w:iCs w:val="0"/>
                      <w:color w:val="000000"/>
                      <w:kern w:val="0"/>
                      <w:sz w:val="21"/>
                      <w:szCs w:val="21"/>
                      <w:u w:val="none"/>
                      <w:lang w:val="en-US" w:eastAsia="zh-CN" w:bidi="ar"/>
                    </w:rPr>
                    <w:t>3.3</w:t>
                  </w:r>
                </w:p>
              </w:tc>
            </w:tr>
            <w:tr w14:paraId="3F88B3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11463CD3">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27021B72">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7FFEF5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spacing w:val="-11"/>
                      <w:sz w:val="21"/>
                      <w:szCs w:val="21"/>
                    </w:rPr>
                    <w:t>血管</w:t>
                  </w:r>
                  <w:r>
                    <w:rPr>
                      <w:rFonts w:hint="eastAsia"/>
                      <w:spacing w:val="-11"/>
                      <w:sz w:val="21"/>
                      <w:szCs w:val="21"/>
                      <w:lang w:val="en-US" w:eastAsia="zh-CN"/>
                    </w:rPr>
                    <w:t>外</w:t>
                  </w:r>
                  <w:r>
                    <w:rPr>
                      <w:spacing w:val="-11"/>
                      <w:sz w:val="21"/>
                      <w:szCs w:val="21"/>
                    </w:rPr>
                    <w:t>科</w:t>
                  </w:r>
                  <w:r>
                    <w:rPr>
                      <w:rFonts w:hint="eastAsia"/>
                      <w:spacing w:val="-11"/>
                      <w:sz w:val="21"/>
                      <w:szCs w:val="21"/>
                      <w:lang w:val="en-US" w:eastAsia="zh-CN"/>
                    </w:rPr>
                    <w:t>医生</w:t>
                  </w:r>
                </w:p>
              </w:tc>
              <w:tc>
                <w:tcPr>
                  <w:tcW w:w="667" w:type="pct"/>
                  <w:shd w:val="clear" w:color="auto" w:fill="auto"/>
                  <w:noWrap w:val="0"/>
                  <w:vAlign w:val="center"/>
                </w:tcPr>
                <w:p w14:paraId="04838A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eastAsia"/>
                      <w:spacing w:val="-11"/>
                      <w:sz w:val="21"/>
                      <w:szCs w:val="21"/>
                      <w:lang w:val="en-US" w:eastAsia="zh-CN"/>
                    </w:rPr>
                    <w:t>200</w:t>
                  </w:r>
                </w:p>
              </w:tc>
              <w:tc>
                <w:tcPr>
                  <w:tcW w:w="684" w:type="pct"/>
                  <w:shd w:val="clear" w:color="auto" w:fill="auto"/>
                  <w:noWrap w:val="0"/>
                  <w:vAlign w:val="center"/>
                </w:tcPr>
                <w:p w14:paraId="56FDCD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c>
                <w:tcPr>
                  <w:tcW w:w="616" w:type="pct"/>
                  <w:shd w:val="clear" w:color="auto" w:fill="auto"/>
                  <w:noWrap w:val="0"/>
                  <w:vAlign w:val="center"/>
                </w:tcPr>
                <w:p w14:paraId="1FD4AF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33.3 </w:t>
                  </w:r>
                </w:p>
              </w:tc>
              <w:tc>
                <w:tcPr>
                  <w:tcW w:w="691" w:type="pct"/>
                  <w:shd w:val="clear" w:color="auto" w:fill="auto"/>
                  <w:noWrap w:val="0"/>
                  <w:vAlign w:val="center"/>
                </w:tcPr>
                <w:p w14:paraId="5EEA20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 </w:t>
                  </w:r>
                </w:p>
              </w:tc>
            </w:tr>
            <w:tr w14:paraId="1707B0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62BD36B1">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5A113143">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6E9BEC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color w:val="000000"/>
                      <w:sz w:val="21"/>
                      <w:szCs w:val="21"/>
                      <w:lang w:val="en-US" w:eastAsia="zh-CN"/>
                    </w:rPr>
                    <w:t>神经外科</w:t>
                  </w:r>
                  <w:r>
                    <w:rPr>
                      <w:rFonts w:hint="eastAsia"/>
                      <w:spacing w:val="-11"/>
                      <w:sz w:val="21"/>
                      <w:szCs w:val="21"/>
                      <w:lang w:val="en-US" w:eastAsia="zh-CN"/>
                    </w:rPr>
                    <w:t>医生</w:t>
                  </w:r>
                </w:p>
              </w:tc>
              <w:tc>
                <w:tcPr>
                  <w:tcW w:w="667" w:type="pct"/>
                  <w:shd w:val="clear" w:color="auto" w:fill="auto"/>
                  <w:noWrap w:val="0"/>
                  <w:vAlign w:val="center"/>
                </w:tcPr>
                <w:p w14:paraId="4208B9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color w:val="000000"/>
                      <w:sz w:val="21"/>
                      <w:szCs w:val="21"/>
                      <w:lang w:val="en-US" w:eastAsia="zh-CN"/>
                    </w:rPr>
                    <w:t>300</w:t>
                  </w:r>
                </w:p>
              </w:tc>
              <w:tc>
                <w:tcPr>
                  <w:tcW w:w="684" w:type="pct"/>
                  <w:shd w:val="clear" w:color="auto" w:fill="auto"/>
                  <w:noWrap w:val="0"/>
                  <w:vAlign w:val="center"/>
                </w:tcPr>
                <w:p w14:paraId="71D354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 </w:t>
                  </w:r>
                </w:p>
              </w:tc>
              <w:tc>
                <w:tcPr>
                  <w:tcW w:w="616" w:type="pct"/>
                  <w:shd w:val="clear" w:color="auto" w:fill="auto"/>
                  <w:noWrap w:val="0"/>
                  <w:vAlign w:val="center"/>
                </w:tcPr>
                <w:p w14:paraId="7323CF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50.0 </w:t>
                  </w:r>
                </w:p>
              </w:tc>
              <w:tc>
                <w:tcPr>
                  <w:tcW w:w="691" w:type="pct"/>
                  <w:shd w:val="clear" w:color="auto" w:fill="auto"/>
                  <w:noWrap w:val="0"/>
                  <w:vAlign w:val="center"/>
                </w:tcPr>
                <w:p w14:paraId="34C825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2.5 </w:t>
                  </w:r>
                </w:p>
              </w:tc>
            </w:tr>
            <w:tr w14:paraId="614F8F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4FF9B551">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5DA5D14D">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38C56D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color w:val="000000"/>
                      <w:sz w:val="21"/>
                      <w:szCs w:val="21"/>
                      <w:lang w:val="en-US" w:eastAsia="zh-CN" w:bidi="ar-SA"/>
                    </w:rPr>
                  </w:pPr>
                  <w:r>
                    <w:rPr>
                      <w:rFonts w:hint="eastAsia"/>
                      <w:spacing w:val="-11"/>
                      <w:sz w:val="21"/>
                      <w:szCs w:val="21"/>
                      <w:lang w:val="en-US" w:eastAsia="zh-CN"/>
                    </w:rPr>
                    <w:t>肝胆外科医生</w:t>
                  </w:r>
                </w:p>
              </w:tc>
              <w:tc>
                <w:tcPr>
                  <w:tcW w:w="667" w:type="pct"/>
                  <w:shd w:val="clear" w:color="auto" w:fill="auto"/>
                  <w:noWrap w:val="0"/>
                  <w:vAlign w:val="center"/>
                </w:tcPr>
                <w:p w14:paraId="665520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100</w:t>
                  </w:r>
                </w:p>
              </w:tc>
              <w:tc>
                <w:tcPr>
                  <w:tcW w:w="684" w:type="pct"/>
                  <w:shd w:val="clear" w:color="auto" w:fill="auto"/>
                  <w:noWrap w:val="0"/>
                  <w:vAlign w:val="center"/>
                </w:tcPr>
                <w:p w14:paraId="72EACA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0.6 </w:t>
                  </w:r>
                </w:p>
              </w:tc>
              <w:tc>
                <w:tcPr>
                  <w:tcW w:w="616" w:type="pct"/>
                  <w:shd w:val="clear" w:color="auto" w:fill="auto"/>
                  <w:noWrap w:val="0"/>
                  <w:vAlign w:val="center"/>
                </w:tcPr>
                <w:p w14:paraId="15996C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16.7 </w:t>
                  </w:r>
                </w:p>
              </w:tc>
              <w:tc>
                <w:tcPr>
                  <w:tcW w:w="691" w:type="pct"/>
                  <w:shd w:val="clear" w:color="auto" w:fill="auto"/>
                  <w:noWrap w:val="0"/>
                  <w:vAlign w:val="center"/>
                </w:tcPr>
                <w:p w14:paraId="494C2F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0.8 </w:t>
                  </w:r>
                </w:p>
              </w:tc>
            </w:tr>
            <w:tr w14:paraId="6A7F9C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251E468D">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4A88D197">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6E04D2AA">
                  <w:pPr>
                    <w:pStyle w:val="292"/>
                    <w:keepNext w:val="0"/>
                    <w:keepLines w:val="0"/>
                    <w:pageBreakBefore w:val="0"/>
                    <w:kinsoku/>
                    <w:wordWrap/>
                    <w:overflowPunct/>
                    <w:topLinePunct w:val="0"/>
                    <w:autoSpaceDE/>
                    <w:autoSpaceDN/>
                    <w:bidi w:val="0"/>
                    <w:adjustRightInd/>
                    <w:snapToGrid/>
                    <w:spacing w:line="320" w:lineRule="exact"/>
                    <w:jc w:val="center"/>
                    <w:rPr>
                      <w:rFonts w:hint="default" w:eastAsia="宋体"/>
                      <w:spacing w:val="-11"/>
                      <w:lang w:val="en-US" w:eastAsia="zh-CN"/>
                    </w:rPr>
                  </w:pPr>
                  <w:r>
                    <w:rPr>
                      <w:rFonts w:hint="eastAsia"/>
                      <w:spacing w:val="-11"/>
                      <w:lang w:val="en-US" w:eastAsia="zh-CN"/>
                    </w:rPr>
                    <w:t>手术部DSA操作技师</w:t>
                  </w:r>
                </w:p>
              </w:tc>
              <w:tc>
                <w:tcPr>
                  <w:tcW w:w="667" w:type="pct"/>
                  <w:shd w:val="clear" w:color="auto" w:fill="auto"/>
                  <w:noWrap w:val="0"/>
                  <w:vAlign w:val="center"/>
                </w:tcPr>
                <w:p w14:paraId="5D877A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1000</w:t>
                  </w:r>
                </w:p>
              </w:tc>
              <w:tc>
                <w:tcPr>
                  <w:tcW w:w="684" w:type="pct"/>
                  <w:shd w:val="clear" w:color="auto" w:fill="auto"/>
                  <w:noWrap w:val="0"/>
                  <w:vAlign w:val="center"/>
                </w:tcPr>
                <w:p w14:paraId="25D055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6.7 </w:t>
                  </w:r>
                </w:p>
              </w:tc>
              <w:tc>
                <w:tcPr>
                  <w:tcW w:w="616" w:type="pct"/>
                  <w:shd w:val="clear" w:color="auto" w:fill="auto"/>
                  <w:noWrap w:val="0"/>
                  <w:vAlign w:val="center"/>
                </w:tcPr>
                <w:p w14:paraId="2E6D6F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200.0 </w:t>
                  </w:r>
                </w:p>
              </w:tc>
              <w:tc>
                <w:tcPr>
                  <w:tcW w:w="691" w:type="pct"/>
                  <w:shd w:val="clear" w:color="auto" w:fill="auto"/>
                  <w:noWrap w:val="0"/>
                  <w:vAlign w:val="center"/>
                </w:tcPr>
                <w:p w14:paraId="70734E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pacing w:val="-11"/>
                      <w:sz w:val="21"/>
                      <w:szCs w:val="21"/>
                      <w:lang w:val="en-US" w:eastAsia="zh-CN"/>
                    </w:rPr>
                  </w:pPr>
                  <w:r>
                    <w:rPr>
                      <w:rFonts w:hint="eastAsia"/>
                      <w:spacing w:val="-11"/>
                      <w:sz w:val="21"/>
                      <w:szCs w:val="21"/>
                      <w:lang w:val="en-US" w:eastAsia="zh-CN"/>
                    </w:rPr>
                    <w:t>8.3</w:t>
                  </w:r>
                </w:p>
              </w:tc>
            </w:tr>
            <w:tr w14:paraId="2D2524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125605AD">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48E65EB4">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38E552D3">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手术部DSA跟台</w:t>
                  </w:r>
                  <w:r>
                    <w:rPr>
                      <w:rFonts w:hint="eastAsia"/>
                      <w:spacing w:val="-11"/>
                    </w:rPr>
                    <w:t>护士</w:t>
                  </w:r>
                </w:p>
              </w:tc>
              <w:tc>
                <w:tcPr>
                  <w:tcW w:w="667" w:type="pct"/>
                  <w:noWrap w:val="0"/>
                  <w:vAlign w:val="center"/>
                </w:tcPr>
                <w:p w14:paraId="03E74C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1000</w:t>
                  </w:r>
                </w:p>
              </w:tc>
              <w:tc>
                <w:tcPr>
                  <w:tcW w:w="684" w:type="pct"/>
                  <w:noWrap w:val="0"/>
                  <w:vAlign w:val="center"/>
                </w:tcPr>
                <w:p w14:paraId="449E14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6.7 </w:t>
                  </w:r>
                </w:p>
              </w:tc>
              <w:tc>
                <w:tcPr>
                  <w:tcW w:w="616" w:type="pct"/>
                  <w:noWrap w:val="0"/>
                  <w:vAlign w:val="center"/>
                </w:tcPr>
                <w:p w14:paraId="20F784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200.0 </w:t>
                  </w:r>
                </w:p>
              </w:tc>
              <w:tc>
                <w:tcPr>
                  <w:tcW w:w="691" w:type="pct"/>
                  <w:noWrap w:val="0"/>
                  <w:vAlign w:val="center"/>
                </w:tcPr>
                <w:p w14:paraId="2B68B8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eastAsia"/>
                      <w:spacing w:val="-11"/>
                      <w:sz w:val="21"/>
                      <w:szCs w:val="21"/>
                      <w:lang w:val="en-US" w:eastAsia="zh-CN"/>
                    </w:rPr>
                    <w:t>8.3</w:t>
                  </w:r>
                </w:p>
              </w:tc>
            </w:tr>
            <w:tr w14:paraId="4FD8E1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7B6E06B0">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12DCA28E">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3890865A">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放射科</w:t>
                  </w:r>
                  <w:r>
                    <w:rPr>
                      <w:rFonts w:hint="eastAsia"/>
                      <w:spacing w:val="-11"/>
                    </w:rPr>
                    <w:t>CT操作技师</w:t>
                  </w:r>
                </w:p>
              </w:tc>
              <w:tc>
                <w:tcPr>
                  <w:tcW w:w="667" w:type="pct"/>
                  <w:noWrap w:val="0"/>
                  <w:vAlign w:val="center"/>
                </w:tcPr>
                <w:p w14:paraId="08805D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1000</w:t>
                  </w:r>
                </w:p>
              </w:tc>
              <w:tc>
                <w:tcPr>
                  <w:tcW w:w="684" w:type="pct"/>
                  <w:noWrap w:val="0"/>
                  <w:vAlign w:val="center"/>
                </w:tcPr>
                <w:p w14:paraId="1C7742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6.7 </w:t>
                  </w:r>
                </w:p>
              </w:tc>
              <w:tc>
                <w:tcPr>
                  <w:tcW w:w="616" w:type="pct"/>
                  <w:noWrap w:val="0"/>
                  <w:vAlign w:val="center"/>
                </w:tcPr>
                <w:p w14:paraId="3343DB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200.0 </w:t>
                  </w:r>
                </w:p>
              </w:tc>
              <w:tc>
                <w:tcPr>
                  <w:tcW w:w="691" w:type="pct"/>
                  <w:noWrap w:val="0"/>
                  <w:vAlign w:val="center"/>
                </w:tcPr>
                <w:p w14:paraId="7F2DEE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eastAsia"/>
                      <w:spacing w:val="-11"/>
                      <w:sz w:val="21"/>
                      <w:szCs w:val="21"/>
                      <w:lang w:val="en-US" w:eastAsia="zh-CN"/>
                    </w:rPr>
                    <w:t>8.3</w:t>
                  </w:r>
                </w:p>
              </w:tc>
            </w:tr>
            <w:tr w14:paraId="1330C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restart"/>
                  <w:noWrap w:val="0"/>
                  <w:vAlign w:val="center"/>
                </w:tcPr>
                <w:p w14:paraId="28B36CD7">
                  <w:pPr>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sz w:val="21"/>
                      <w:szCs w:val="21"/>
                    </w:rPr>
                    <w:t>DSA手术室（</w:t>
                  </w:r>
                  <w:r>
                    <w:rPr>
                      <w:rFonts w:hint="eastAsia"/>
                      <w:spacing w:val="-11"/>
                      <w:sz w:val="21"/>
                      <w:szCs w:val="21"/>
                      <w:lang w:val="en-US" w:eastAsia="zh-CN"/>
                    </w:rPr>
                    <w:t>OR09</w:t>
                  </w:r>
                  <w:r>
                    <w:rPr>
                      <w:spacing w:val="-11"/>
                      <w:sz w:val="21"/>
                      <w:szCs w:val="21"/>
                    </w:rPr>
                    <w:t>）</w:t>
                  </w:r>
                </w:p>
              </w:tc>
              <w:tc>
                <w:tcPr>
                  <w:tcW w:w="464" w:type="pct"/>
                  <w:vMerge w:val="restart"/>
                  <w:noWrap w:val="0"/>
                  <w:vAlign w:val="center"/>
                </w:tcPr>
                <w:p w14:paraId="646AAC3C">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rPr>
                    <w:t>DSA</w:t>
                  </w:r>
                </w:p>
              </w:tc>
              <w:tc>
                <w:tcPr>
                  <w:tcW w:w="1377" w:type="pct"/>
                  <w:noWrap w:val="0"/>
                  <w:vAlign w:val="center"/>
                </w:tcPr>
                <w:p w14:paraId="0963CFBB">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spacing w:val="-11"/>
                    </w:rPr>
                    <w:t>心内科</w:t>
                  </w:r>
                  <w:r>
                    <w:rPr>
                      <w:rFonts w:hint="eastAsia"/>
                      <w:spacing w:val="-11"/>
                      <w:sz w:val="21"/>
                      <w:szCs w:val="21"/>
                      <w:lang w:val="en-US" w:eastAsia="zh-CN"/>
                    </w:rPr>
                    <w:t>医生</w:t>
                  </w:r>
                </w:p>
              </w:tc>
              <w:tc>
                <w:tcPr>
                  <w:tcW w:w="667" w:type="pct"/>
                  <w:noWrap w:val="0"/>
                  <w:vAlign w:val="center"/>
                </w:tcPr>
                <w:p w14:paraId="2EE65C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spacing w:val="-11"/>
                      <w:lang w:val="en-US"/>
                    </w:rPr>
                  </w:pPr>
                  <w:r>
                    <w:rPr>
                      <w:rFonts w:hint="eastAsia"/>
                      <w:spacing w:val="-11"/>
                      <w:sz w:val="21"/>
                      <w:szCs w:val="21"/>
                      <w:lang w:val="en-US" w:eastAsia="zh-CN"/>
                    </w:rPr>
                    <w:t>400</w:t>
                  </w:r>
                </w:p>
              </w:tc>
              <w:tc>
                <w:tcPr>
                  <w:tcW w:w="684" w:type="pct"/>
                  <w:shd w:val="clear" w:color="auto" w:fill="auto"/>
                  <w:noWrap w:val="0"/>
                  <w:vAlign w:val="center"/>
                </w:tcPr>
                <w:p w14:paraId="35A06B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eastAsia"/>
                      <w:color w:val="000000"/>
                      <w:sz w:val="21"/>
                      <w:szCs w:val="21"/>
                      <w:lang w:val="en-US" w:eastAsia="zh-CN"/>
                    </w:rPr>
                    <w:t>3.3</w:t>
                  </w:r>
                </w:p>
              </w:tc>
              <w:tc>
                <w:tcPr>
                  <w:tcW w:w="616" w:type="pct"/>
                  <w:shd w:val="clear" w:color="auto" w:fill="auto"/>
                  <w:noWrap w:val="0"/>
                  <w:vAlign w:val="center"/>
                </w:tcPr>
                <w:p w14:paraId="088403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eastAsia"/>
                      <w:color w:val="000000"/>
                      <w:sz w:val="21"/>
                      <w:szCs w:val="21"/>
                      <w:lang w:val="en-US" w:eastAsia="zh-CN"/>
                    </w:rPr>
                    <w:t>100.0</w:t>
                  </w:r>
                  <w:r>
                    <w:rPr>
                      <w:rFonts w:hint="default"/>
                      <w:color w:val="000000"/>
                      <w:sz w:val="21"/>
                      <w:szCs w:val="21"/>
                      <w:lang w:val="en-US" w:eastAsia="zh-CN"/>
                    </w:rPr>
                    <w:t xml:space="preserve"> </w:t>
                  </w:r>
                </w:p>
              </w:tc>
              <w:tc>
                <w:tcPr>
                  <w:tcW w:w="691" w:type="pct"/>
                  <w:noWrap w:val="0"/>
                  <w:vAlign w:val="center"/>
                </w:tcPr>
                <w:p w14:paraId="41015763">
                  <w:pPr>
                    <w:pStyle w:val="292"/>
                    <w:keepNext w:val="0"/>
                    <w:keepLines w:val="0"/>
                    <w:pageBreakBefore w:val="0"/>
                    <w:kinsoku/>
                    <w:wordWrap/>
                    <w:overflowPunct/>
                    <w:topLinePunct w:val="0"/>
                    <w:autoSpaceDE/>
                    <w:autoSpaceDN/>
                    <w:bidi w:val="0"/>
                    <w:adjustRightInd/>
                    <w:snapToGrid/>
                    <w:spacing w:line="320" w:lineRule="exact"/>
                    <w:jc w:val="center"/>
                    <w:rPr>
                      <w:rFonts w:hint="eastAsia" w:eastAsia="宋体"/>
                      <w:spacing w:val="-11"/>
                      <w:lang w:val="en-US" w:eastAsia="zh-CN"/>
                    </w:rPr>
                  </w:pPr>
                  <w:r>
                    <w:rPr>
                      <w:rFonts w:hint="eastAsia"/>
                      <w:spacing w:val="-11"/>
                      <w:lang w:val="en-US" w:eastAsia="zh-CN"/>
                    </w:rPr>
                    <w:t>/</w:t>
                  </w:r>
                </w:p>
              </w:tc>
            </w:tr>
            <w:tr w14:paraId="1F7ED8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50983D9B">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141D5F18">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52041D36">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rPr>
                    <w:t>血管外科</w:t>
                  </w:r>
                  <w:r>
                    <w:rPr>
                      <w:rFonts w:hint="eastAsia"/>
                      <w:spacing w:val="-11"/>
                      <w:sz w:val="21"/>
                      <w:szCs w:val="21"/>
                      <w:lang w:val="en-US" w:eastAsia="zh-CN"/>
                    </w:rPr>
                    <w:t>医生</w:t>
                  </w:r>
                </w:p>
              </w:tc>
              <w:tc>
                <w:tcPr>
                  <w:tcW w:w="667" w:type="pct"/>
                  <w:noWrap w:val="0"/>
                  <w:vAlign w:val="center"/>
                </w:tcPr>
                <w:p w14:paraId="7DFA93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rPr>
                  </w:pPr>
                  <w:r>
                    <w:rPr>
                      <w:rFonts w:hint="eastAsia"/>
                      <w:spacing w:val="-11"/>
                      <w:sz w:val="21"/>
                      <w:szCs w:val="21"/>
                      <w:lang w:val="en-US" w:eastAsia="zh-CN"/>
                    </w:rPr>
                    <w:t>300</w:t>
                  </w:r>
                </w:p>
              </w:tc>
              <w:tc>
                <w:tcPr>
                  <w:tcW w:w="684" w:type="pct"/>
                  <w:shd w:val="clear" w:color="auto" w:fill="auto"/>
                  <w:noWrap w:val="0"/>
                  <w:vAlign w:val="center"/>
                </w:tcPr>
                <w:p w14:paraId="121A71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 </w:t>
                  </w:r>
                </w:p>
              </w:tc>
              <w:tc>
                <w:tcPr>
                  <w:tcW w:w="616" w:type="pct"/>
                  <w:shd w:val="clear" w:color="auto" w:fill="auto"/>
                  <w:noWrap w:val="0"/>
                  <w:vAlign w:val="center"/>
                </w:tcPr>
                <w:p w14:paraId="368055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50.0 </w:t>
                  </w:r>
                </w:p>
              </w:tc>
              <w:tc>
                <w:tcPr>
                  <w:tcW w:w="691" w:type="pct"/>
                  <w:noWrap w:val="0"/>
                  <w:vAlign w:val="center"/>
                </w:tcPr>
                <w:p w14:paraId="36BE2106">
                  <w:pPr>
                    <w:pStyle w:val="292"/>
                    <w:keepNext w:val="0"/>
                    <w:keepLines w:val="0"/>
                    <w:pageBreakBefore w:val="0"/>
                    <w:kinsoku/>
                    <w:wordWrap/>
                    <w:overflowPunct/>
                    <w:topLinePunct w:val="0"/>
                    <w:autoSpaceDE/>
                    <w:autoSpaceDN/>
                    <w:bidi w:val="0"/>
                    <w:adjustRightInd/>
                    <w:snapToGrid/>
                    <w:spacing w:line="320" w:lineRule="exact"/>
                    <w:jc w:val="center"/>
                    <w:rPr>
                      <w:rFonts w:hint="eastAsia" w:eastAsia="宋体"/>
                      <w:spacing w:val="-11"/>
                      <w:lang w:val="en-US" w:eastAsia="zh-CN"/>
                    </w:rPr>
                  </w:pPr>
                  <w:r>
                    <w:rPr>
                      <w:rFonts w:hint="eastAsia"/>
                      <w:spacing w:val="-11"/>
                      <w:lang w:val="en-US" w:eastAsia="zh-CN"/>
                    </w:rPr>
                    <w:t>/</w:t>
                  </w:r>
                </w:p>
              </w:tc>
            </w:tr>
            <w:tr w14:paraId="0E70DB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6B4193EA">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097EFA86">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2CFE5501">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rPr>
                    <w:t>神经内科</w:t>
                  </w:r>
                  <w:r>
                    <w:rPr>
                      <w:rFonts w:hint="eastAsia"/>
                      <w:spacing w:val="-11"/>
                      <w:sz w:val="21"/>
                      <w:szCs w:val="21"/>
                      <w:lang w:val="en-US" w:eastAsia="zh-CN"/>
                    </w:rPr>
                    <w:t>医生</w:t>
                  </w:r>
                </w:p>
              </w:tc>
              <w:tc>
                <w:tcPr>
                  <w:tcW w:w="667" w:type="pct"/>
                  <w:noWrap w:val="0"/>
                  <w:vAlign w:val="center"/>
                </w:tcPr>
                <w:p w14:paraId="515148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rPr>
                  </w:pPr>
                  <w:r>
                    <w:rPr>
                      <w:rFonts w:hint="eastAsia"/>
                      <w:color w:val="000000"/>
                      <w:sz w:val="21"/>
                      <w:szCs w:val="21"/>
                      <w:lang w:val="en-US" w:eastAsia="zh-CN"/>
                    </w:rPr>
                    <w:t>500</w:t>
                  </w:r>
                </w:p>
              </w:tc>
              <w:tc>
                <w:tcPr>
                  <w:tcW w:w="684" w:type="pct"/>
                  <w:shd w:val="clear" w:color="auto" w:fill="auto"/>
                  <w:noWrap w:val="0"/>
                  <w:vAlign w:val="center"/>
                </w:tcPr>
                <w:p w14:paraId="31A206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2.8 </w:t>
                  </w:r>
                </w:p>
              </w:tc>
              <w:tc>
                <w:tcPr>
                  <w:tcW w:w="616" w:type="pct"/>
                  <w:shd w:val="clear" w:color="auto" w:fill="auto"/>
                  <w:noWrap w:val="0"/>
                  <w:vAlign w:val="center"/>
                </w:tcPr>
                <w:p w14:paraId="26CE4D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83.3 </w:t>
                  </w:r>
                </w:p>
              </w:tc>
              <w:tc>
                <w:tcPr>
                  <w:tcW w:w="691" w:type="pct"/>
                  <w:noWrap w:val="0"/>
                  <w:vAlign w:val="center"/>
                </w:tcPr>
                <w:p w14:paraId="00F3C994">
                  <w:pPr>
                    <w:pStyle w:val="292"/>
                    <w:keepNext w:val="0"/>
                    <w:keepLines w:val="0"/>
                    <w:pageBreakBefore w:val="0"/>
                    <w:kinsoku/>
                    <w:wordWrap/>
                    <w:overflowPunct/>
                    <w:topLinePunct w:val="0"/>
                    <w:autoSpaceDE/>
                    <w:autoSpaceDN/>
                    <w:bidi w:val="0"/>
                    <w:adjustRightInd/>
                    <w:snapToGrid/>
                    <w:spacing w:line="320" w:lineRule="exact"/>
                    <w:jc w:val="center"/>
                    <w:rPr>
                      <w:rFonts w:hint="eastAsia" w:eastAsia="宋体"/>
                      <w:spacing w:val="-11"/>
                      <w:lang w:val="en-US" w:eastAsia="zh-CN"/>
                    </w:rPr>
                  </w:pPr>
                  <w:r>
                    <w:rPr>
                      <w:rFonts w:hint="eastAsia"/>
                      <w:spacing w:val="-11"/>
                      <w:lang w:val="en-US" w:eastAsia="zh-CN"/>
                    </w:rPr>
                    <w:t>/</w:t>
                  </w:r>
                </w:p>
              </w:tc>
            </w:tr>
            <w:tr w14:paraId="16FBA3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32D1045D">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257B47B8">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491109AF">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lang w:val="en-US" w:eastAsia="zh-CN"/>
                    </w:rPr>
                    <w:t>手术部DSA操作技师</w:t>
                  </w:r>
                </w:p>
              </w:tc>
              <w:tc>
                <w:tcPr>
                  <w:tcW w:w="667" w:type="pct"/>
                  <w:noWrap w:val="0"/>
                  <w:vAlign w:val="center"/>
                </w:tcPr>
                <w:p w14:paraId="0D0E7D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1200</w:t>
                  </w:r>
                </w:p>
              </w:tc>
              <w:tc>
                <w:tcPr>
                  <w:tcW w:w="684" w:type="pct"/>
                  <w:shd w:val="clear" w:color="auto" w:fill="auto"/>
                  <w:noWrap w:val="0"/>
                  <w:vAlign w:val="center"/>
                </w:tcPr>
                <w:p w14:paraId="27AAC1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7.8 </w:t>
                  </w:r>
                </w:p>
              </w:tc>
              <w:tc>
                <w:tcPr>
                  <w:tcW w:w="616" w:type="pct"/>
                  <w:shd w:val="clear" w:color="auto" w:fill="auto"/>
                  <w:noWrap w:val="0"/>
                  <w:vAlign w:val="center"/>
                </w:tcPr>
                <w:p w14:paraId="55E504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233.3 </w:t>
                  </w:r>
                </w:p>
              </w:tc>
              <w:tc>
                <w:tcPr>
                  <w:tcW w:w="691" w:type="pct"/>
                  <w:noWrap w:val="0"/>
                  <w:vAlign w:val="center"/>
                </w:tcPr>
                <w:p w14:paraId="184A2A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eastAsia"/>
                      <w:spacing w:val="-11"/>
                      <w:sz w:val="21"/>
                      <w:szCs w:val="21"/>
                      <w:lang w:val="en-US" w:eastAsia="zh-CN"/>
                    </w:rPr>
                    <w:t>/</w:t>
                  </w:r>
                </w:p>
              </w:tc>
            </w:tr>
            <w:tr w14:paraId="6E683F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2836CFDF">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4F735D48">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6ACA9616">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手术部DSA跟台</w:t>
                  </w:r>
                  <w:r>
                    <w:rPr>
                      <w:rFonts w:hint="eastAsia"/>
                      <w:spacing w:val="-11"/>
                    </w:rPr>
                    <w:t>护士</w:t>
                  </w:r>
                </w:p>
              </w:tc>
              <w:tc>
                <w:tcPr>
                  <w:tcW w:w="667" w:type="pct"/>
                  <w:noWrap w:val="0"/>
                  <w:vAlign w:val="center"/>
                </w:tcPr>
                <w:p w14:paraId="174AD1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1200</w:t>
                  </w:r>
                </w:p>
              </w:tc>
              <w:tc>
                <w:tcPr>
                  <w:tcW w:w="684" w:type="pct"/>
                  <w:shd w:val="clear" w:color="auto" w:fill="auto"/>
                  <w:noWrap w:val="0"/>
                  <w:vAlign w:val="center"/>
                </w:tcPr>
                <w:p w14:paraId="5EBD22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7.8 </w:t>
                  </w:r>
                </w:p>
              </w:tc>
              <w:tc>
                <w:tcPr>
                  <w:tcW w:w="616" w:type="pct"/>
                  <w:shd w:val="clear" w:color="auto" w:fill="auto"/>
                  <w:noWrap w:val="0"/>
                  <w:vAlign w:val="center"/>
                </w:tcPr>
                <w:p w14:paraId="378E62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default"/>
                      <w:spacing w:val="-11"/>
                      <w:sz w:val="21"/>
                      <w:szCs w:val="21"/>
                      <w:lang w:val="en-US" w:eastAsia="zh-CN"/>
                    </w:rPr>
                    <w:t xml:space="preserve">233.3 </w:t>
                  </w:r>
                </w:p>
              </w:tc>
              <w:tc>
                <w:tcPr>
                  <w:tcW w:w="691" w:type="pct"/>
                  <w:noWrap w:val="0"/>
                  <w:vAlign w:val="center"/>
                </w:tcPr>
                <w:p w14:paraId="6AE0DC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sz w:val="21"/>
                      <w:szCs w:val="21"/>
                      <w:lang w:val="en-US" w:eastAsia="zh-CN"/>
                    </w:rPr>
                  </w:pPr>
                  <w:r>
                    <w:rPr>
                      <w:rFonts w:hint="eastAsia"/>
                      <w:spacing w:val="-11"/>
                      <w:sz w:val="21"/>
                      <w:szCs w:val="21"/>
                      <w:lang w:val="en-US" w:eastAsia="zh-CN"/>
                    </w:rPr>
                    <w:t>/</w:t>
                  </w:r>
                </w:p>
              </w:tc>
            </w:tr>
            <w:tr w14:paraId="78A6AA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restart"/>
                  <w:noWrap w:val="0"/>
                  <w:vAlign w:val="center"/>
                </w:tcPr>
                <w:p w14:paraId="0AB3B641">
                  <w:pPr>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sz w:val="21"/>
                      <w:szCs w:val="21"/>
                    </w:rPr>
                    <w:t>DSA手术室（</w:t>
                  </w:r>
                  <w:r>
                    <w:rPr>
                      <w:rFonts w:hint="eastAsia"/>
                      <w:spacing w:val="-11"/>
                      <w:sz w:val="21"/>
                      <w:szCs w:val="21"/>
                      <w:lang w:val="en-US" w:eastAsia="zh-CN"/>
                    </w:rPr>
                    <w:t>OR10</w:t>
                  </w:r>
                  <w:r>
                    <w:rPr>
                      <w:spacing w:val="-11"/>
                      <w:sz w:val="21"/>
                      <w:szCs w:val="21"/>
                    </w:rPr>
                    <w:t>）</w:t>
                  </w:r>
                </w:p>
              </w:tc>
              <w:tc>
                <w:tcPr>
                  <w:tcW w:w="464" w:type="pct"/>
                  <w:vMerge w:val="restart"/>
                  <w:noWrap w:val="0"/>
                  <w:vAlign w:val="center"/>
                </w:tcPr>
                <w:p w14:paraId="776C61AD">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rPr>
                    <w:t>DSA</w:t>
                  </w:r>
                </w:p>
              </w:tc>
              <w:tc>
                <w:tcPr>
                  <w:tcW w:w="1377" w:type="pct"/>
                  <w:noWrap w:val="0"/>
                  <w:vAlign w:val="center"/>
                </w:tcPr>
                <w:p w14:paraId="742C3D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11"/>
                    </w:rPr>
                  </w:pPr>
                  <w:r>
                    <w:rPr>
                      <w:rFonts w:hint="eastAsia"/>
                      <w:spacing w:val="-11"/>
                      <w:sz w:val="21"/>
                      <w:szCs w:val="21"/>
                      <w:lang w:val="en-US" w:eastAsia="zh-CN"/>
                    </w:rPr>
                    <w:t>肝胆外科医生</w:t>
                  </w:r>
                </w:p>
              </w:tc>
              <w:tc>
                <w:tcPr>
                  <w:tcW w:w="667" w:type="pct"/>
                  <w:shd w:val="clear" w:color="auto" w:fill="auto"/>
                  <w:noWrap w:val="0"/>
                  <w:vAlign w:val="center"/>
                </w:tcPr>
                <w:p w14:paraId="424A60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100</w:t>
                  </w:r>
                </w:p>
              </w:tc>
              <w:tc>
                <w:tcPr>
                  <w:tcW w:w="684" w:type="pct"/>
                  <w:shd w:val="clear" w:color="auto" w:fill="auto"/>
                  <w:noWrap w:val="0"/>
                  <w:vAlign w:val="center"/>
                </w:tcPr>
                <w:p w14:paraId="79B5AB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0.8 </w:t>
                  </w:r>
                </w:p>
              </w:tc>
              <w:tc>
                <w:tcPr>
                  <w:tcW w:w="616" w:type="pct"/>
                  <w:shd w:val="clear" w:color="auto" w:fill="auto"/>
                  <w:noWrap w:val="0"/>
                  <w:vAlign w:val="center"/>
                </w:tcPr>
                <w:p w14:paraId="7C43DD7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25.0 </w:t>
                  </w:r>
                </w:p>
              </w:tc>
              <w:tc>
                <w:tcPr>
                  <w:tcW w:w="691" w:type="pct"/>
                  <w:noWrap w:val="0"/>
                  <w:vAlign w:val="center"/>
                </w:tcPr>
                <w:p w14:paraId="3DD63CF5">
                  <w:pPr>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lang w:val="en-US" w:eastAsia="zh-CN"/>
                    </w:rPr>
                    <w:t>/</w:t>
                  </w:r>
                </w:p>
              </w:tc>
            </w:tr>
            <w:tr w14:paraId="7E4D74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44457AF4">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58DED16A">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5E86A1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pacing w:val="-11"/>
                    </w:rPr>
                  </w:pPr>
                  <w:r>
                    <w:rPr>
                      <w:rFonts w:hint="eastAsia"/>
                      <w:spacing w:val="-11"/>
                      <w:sz w:val="21"/>
                      <w:szCs w:val="21"/>
                      <w:lang w:val="en-US" w:eastAsia="zh-CN"/>
                    </w:rPr>
                    <w:t>呼吸内科医生</w:t>
                  </w:r>
                </w:p>
              </w:tc>
              <w:tc>
                <w:tcPr>
                  <w:tcW w:w="667" w:type="pct"/>
                  <w:shd w:val="clear" w:color="auto" w:fill="auto"/>
                  <w:noWrap w:val="0"/>
                  <w:vAlign w:val="center"/>
                </w:tcPr>
                <w:p w14:paraId="00B661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150</w:t>
                  </w:r>
                </w:p>
              </w:tc>
              <w:tc>
                <w:tcPr>
                  <w:tcW w:w="684" w:type="pct"/>
                  <w:shd w:val="clear" w:color="auto" w:fill="auto"/>
                  <w:noWrap w:val="0"/>
                  <w:vAlign w:val="center"/>
                </w:tcPr>
                <w:p w14:paraId="15E0F8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0.8 </w:t>
                  </w:r>
                </w:p>
              </w:tc>
              <w:tc>
                <w:tcPr>
                  <w:tcW w:w="616" w:type="pct"/>
                  <w:shd w:val="clear" w:color="auto" w:fill="auto"/>
                  <w:noWrap w:val="0"/>
                  <w:vAlign w:val="center"/>
                </w:tcPr>
                <w:p w14:paraId="27B744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25.0 </w:t>
                  </w:r>
                </w:p>
              </w:tc>
              <w:tc>
                <w:tcPr>
                  <w:tcW w:w="691" w:type="pct"/>
                  <w:noWrap w:val="0"/>
                  <w:vAlign w:val="center"/>
                </w:tcPr>
                <w:p w14:paraId="578DB57B">
                  <w:pPr>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lang w:val="en-US" w:eastAsia="zh-CN"/>
                    </w:rPr>
                    <w:t>/</w:t>
                  </w:r>
                </w:p>
              </w:tc>
            </w:tr>
            <w:tr w14:paraId="0E1DAC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706DAD6E">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50324CDF">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47D6BC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pacing w:val="-11"/>
                    </w:rPr>
                  </w:pPr>
                  <w:r>
                    <w:rPr>
                      <w:rFonts w:hint="eastAsia"/>
                      <w:spacing w:val="-11"/>
                      <w:sz w:val="21"/>
                      <w:szCs w:val="21"/>
                      <w:lang w:val="en-US" w:eastAsia="zh-CN"/>
                    </w:rPr>
                    <w:t>血管外科医生</w:t>
                  </w:r>
                </w:p>
              </w:tc>
              <w:tc>
                <w:tcPr>
                  <w:tcW w:w="667" w:type="pct"/>
                  <w:shd w:val="clear" w:color="auto" w:fill="auto"/>
                  <w:noWrap w:val="0"/>
                  <w:vAlign w:val="center"/>
                </w:tcPr>
                <w:p w14:paraId="45ED47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500</w:t>
                  </w:r>
                </w:p>
              </w:tc>
              <w:tc>
                <w:tcPr>
                  <w:tcW w:w="684" w:type="pct"/>
                  <w:shd w:val="clear" w:color="auto" w:fill="auto"/>
                  <w:noWrap w:val="0"/>
                  <w:vAlign w:val="center"/>
                </w:tcPr>
                <w:p w14:paraId="0BF0A4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2.8 </w:t>
                  </w:r>
                </w:p>
              </w:tc>
              <w:tc>
                <w:tcPr>
                  <w:tcW w:w="616" w:type="pct"/>
                  <w:shd w:val="clear" w:color="auto" w:fill="auto"/>
                  <w:noWrap w:val="0"/>
                  <w:vAlign w:val="center"/>
                </w:tcPr>
                <w:p w14:paraId="0C5E8E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83.3 </w:t>
                  </w:r>
                </w:p>
              </w:tc>
              <w:tc>
                <w:tcPr>
                  <w:tcW w:w="691" w:type="pct"/>
                  <w:noWrap w:val="0"/>
                  <w:vAlign w:val="center"/>
                </w:tcPr>
                <w:p w14:paraId="4B4CAEDF">
                  <w:pPr>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lang w:val="en-US" w:eastAsia="zh-CN"/>
                    </w:rPr>
                    <w:t>/</w:t>
                  </w:r>
                </w:p>
              </w:tc>
            </w:tr>
            <w:tr w14:paraId="736BF8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0F83F36A">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69DD82F0">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1180D768">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lang w:val="en-US" w:eastAsia="zh-CN"/>
                    </w:rPr>
                    <w:t>手术部DSA操作技师</w:t>
                  </w:r>
                </w:p>
              </w:tc>
              <w:tc>
                <w:tcPr>
                  <w:tcW w:w="667" w:type="pct"/>
                  <w:shd w:val="clear" w:color="auto" w:fill="auto"/>
                  <w:noWrap w:val="0"/>
                  <w:vAlign w:val="center"/>
                </w:tcPr>
                <w:p w14:paraId="7A6E83FE">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750</w:t>
                  </w:r>
                </w:p>
              </w:tc>
              <w:tc>
                <w:tcPr>
                  <w:tcW w:w="684" w:type="pct"/>
                  <w:shd w:val="clear" w:color="auto" w:fill="auto"/>
                  <w:noWrap w:val="0"/>
                  <w:vAlign w:val="center"/>
                </w:tcPr>
                <w:p w14:paraId="526543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4.4 </w:t>
                  </w:r>
                </w:p>
              </w:tc>
              <w:tc>
                <w:tcPr>
                  <w:tcW w:w="616" w:type="pct"/>
                  <w:shd w:val="clear" w:color="auto" w:fill="auto"/>
                  <w:noWrap w:val="0"/>
                  <w:vAlign w:val="center"/>
                </w:tcPr>
                <w:p w14:paraId="15E29D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133.3 </w:t>
                  </w:r>
                </w:p>
              </w:tc>
              <w:tc>
                <w:tcPr>
                  <w:tcW w:w="691" w:type="pct"/>
                  <w:noWrap w:val="0"/>
                  <w:vAlign w:val="center"/>
                </w:tcPr>
                <w:p w14:paraId="5B96FDE9">
                  <w:pPr>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lang w:val="en-US" w:eastAsia="zh-CN"/>
                    </w:rPr>
                    <w:t>/</w:t>
                  </w:r>
                </w:p>
              </w:tc>
            </w:tr>
            <w:tr w14:paraId="6A068C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322F8D76">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4E7DEBC4">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34C97D94">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手术部DSA跟台</w:t>
                  </w:r>
                  <w:r>
                    <w:rPr>
                      <w:rFonts w:hint="eastAsia"/>
                      <w:spacing w:val="-11"/>
                    </w:rPr>
                    <w:t>护士</w:t>
                  </w:r>
                </w:p>
              </w:tc>
              <w:tc>
                <w:tcPr>
                  <w:tcW w:w="667" w:type="pct"/>
                  <w:noWrap w:val="0"/>
                  <w:vAlign w:val="center"/>
                </w:tcPr>
                <w:p w14:paraId="3D7AA6A6">
                  <w:pPr>
                    <w:pStyle w:val="292"/>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sz w:val="21"/>
                      <w:szCs w:val="21"/>
                      <w:lang w:val="en-US" w:eastAsia="zh-CN"/>
                    </w:rPr>
                    <w:t>750</w:t>
                  </w:r>
                </w:p>
              </w:tc>
              <w:tc>
                <w:tcPr>
                  <w:tcW w:w="684" w:type="pct"/>
                  <w:shd w:val="clear" w:color="auto" w:fill="auto"/>
                  <w:noWrap w:val="0"/>
                  <w:vAlign w:val="center"/>
                </w:tcPr>
                <w:p w14:paraId="6F45DF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4.4 </w:t>
                  </w:r>
                </w:p>
              </w:tc>
              <w:tc>
                <w:tcPr>
                  <w:tcW w:w="616" w:type="pct"/>
                  <w:shd w:val="clear" w:color="auto" w:fill="auto"/>
                  <w:noWrap w:val="0"/>
                  <w:vAlign w:val="center"/>
                </w:tcPr>
                <w:p w14:paraId="658C1A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133.3 </w:t>
                  </w:r>
                </w:p>
              </w:tc>
              <w:tc>
                <w:tcPr>
                  <w:tcW w:w="691" w:type="pct"/>
                  <w:noWrap w:val="0"/>
                  <w:vAlign w:val="center"/>
                </w:tcPr>
                <w:p w14:paraId="0086AD62">
                  <w:pPr>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lang w:val="en-US" w:eastAsia="zh-CN"/>
                    </w:rPr>
                    <w:t>/</w:t>
                  </w:r>
                </w:p>
              </w:tc>
            </w:tr>
            <w:tr w14:paraId="7F92B8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restart"/>
                  <w:noWrap w:val="0"/>
                  <w:vAlign w:val="center"/>
                </w:tcPr>
                <w:p w14:paraId="380A2A17">
                  <w:pPr>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sz w:val="21"/>
                      <w:szCs w:val="21"/>
                    </w:rPr>
                    <w:t>DSA手术室（</w:t>
                  </w:r>
                  <w:r>
                    <w:rPr>
                      <w:rFonts w:hint="eastAsia"/>
                      <w:spacing w:val="-11"/>
                      <w:sz w:val="21"/>
                      <w:szCs w:val="21"/>
                      <w:lang w:val="en-US" w:eastAsia="zh-CN"/>
                    </w:rPr>
                    <w:t>OR11</w:t>
                  </w:r>
                  <w:r>
                    <w:rPr>
                      <w:spacing w:val="-11"/>
                      <w:sz w:val="21"/>
                      <w:szCs w:val="21"/>
                    </w:rPr>
                    <w:t>）</w:t>
                  </w:r>
                </w:p>
              </w:tc>
              <w:tc>
                <w:tcPr>
                  <w:tcW w:w="464" w:type="pct"/>
                  <w:vMerge w:val="restart"/>
                  <w:noWrap w:val="0"/>
                  <w:vAlign w:val="center"/>
                </w:tcPr>
                <w:p w14:paraId="44295B47">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spacing w:val="-11"/>
                    </w:rPr>
                    <w:t>DSA</w:t>
                  </w:r>
                </w:p>
              </w:tc>
              <w:tc>
                <w:tcPr>
                  <w:tcW w:w="1377" w:type="pct"/>
                  <w:shd w:val="clear" w:color="auto" w:fill="auto"/>
                  <w:noWrap w:val="0"/>
                  <w:vAlign w:val="center"/>
                </w:tcPr>
                <w:p w14:paraId="0AADF4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泌尿外科医生</w:t>
                  </w:r>
                </w:p>
              </w:tc>
              <w:tc>
                <w:tcPr>
                  <w:tcW w:w="667" w:type="pct"/>
                  <w:shd w:val="clear" w:color="auto" w:fill="auto"/>
                  <w:noWrap w:val="0"/>
                  <w:vAlign w:val="center"/>
                </w:tcPr>
                <w:p w14:paraId="368899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200</w:t>
                  </w:r>
                </w:p>
              </w:tc>
              <w:tc>
                <w:tcPr>
                  <w:tcW w:w="684" w:type="pct"/>
                  <w:shd w:val="clear" w:color="auto" w:fill="auto"/>
                  <w:noWrap w:val="0"/>
                  <w:vAlign w:val="center"/>
                </w:tcPr>
                <w:p w14:paraId="13875F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 </w:t>
                  </w:r>
                </w:p>
              </w:tc>
              <w:tc>
                <w:tcPr>
                  <w:tcW w:w="616" w:type="pct"/>
                  <w:shd w:val="clear" w:color="auto" w:fill="auto"/>
                  <w:noWrap w:val="0"/>
                  <w:vAlign w:val="center"/>
                </w:tcPr>
                <w:p w14:paraId="16BEEF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50.0 </w:t>
                  </w:r>
                </w:p>
              </w:tc>
              <w:tc>
                <w:tcPr>
                  <w:tcW w:w="691" w:type="pct"/>
                  <w:noWrap w:val="0"/>
                  <w:vAlign w:val="center"/>
                </w:tcPr>
                <w:p w14:paraId="44C70659">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449F10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5CD46B1E">
                  <w:pPr>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63114282">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0B4E6D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lang w:val="en-US" w:eastAsia="zh-CN"/>
                    </w:rPr>
                    <w:t>神经外科医生</w:t>
                  </w:r>
                </w:p>
              </w:tc>
              <w:tc>
                <w:tcPr>
                  <w:tcW w:w="667" w:type="pct"/>
                  <w:shd w:val="clear" w:color="auto" w:fill="auto"/>
                  <w:noWrap w:val="0"/>
                  <w:vAlign w:val="center"/>
                </w:tcPr>
                <w:p w14:paraId="0F0286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200</w:t>
                  </w:r>
                </w:p>
              </w:tc>
              <w:tc>
                <w:tcPr>
                  <w:tcW w:w="684" w:type="pct"/>
                  <w:shd w:val="clear" w:color="auto" w:fill="auto"/>
                  <w:noWrap w:val="0"/>
                  <w:vAlign w:val="center"/>
                </w:tcPr>
                <w:p w14:paraId="463F40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1.1 </w:t>
                  </w:r>
                </w:p>
              </w:tc>
              <w:tc>
                <w:tcPr>
                  <w:tcW w:w="616" w:type="pct"/>
                  <w:shd w:val="clear" w:color="auto" w:fill="auto"/>
                  <w:noWrap w:val="0"/>
                  <w:vAlign w:val="center"/>
                </w:tcPr>
                <w:p w14:paraId="7CA326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33.3 </w:t>
                  </w:r>
                </w:p>
              </w:tc>
              <w:tc>
                <w:tcPr>
                  <w:tcW w:w="691" w:type="pct"/>
                  <w:noWrap w:val="0"/>
                  <w:vAlign w:val="center"/>
                </w:tcPr>
                <w:p w14:paraId="12F649F3">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7B610A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292896EB">
                  <w:pPr>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05B9CE9C">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6691B5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cs="Times New Roman"/>
                      <w:spacing w:val="-11"/>
                      <w:sz w:val="21"/>
                      <w:szCs w:val="21"/>
                      <w:lang w:val="en-US" w:eastAsia="zh-CN" w:bidi="ar-SA"/>
                    </w:rPr>
                    <w:t>肿瘤科</w:t>
                  </w:r>
                  <w:r>
                    <w:rPr>
                      <w:rFonts w:hint="eastAsia"/>
                      <w:spacing w:val="-11"/>
                      <w:sz w:val="21"/>
                      <w:szCs w:val="21"/>
                      <w:lang w:val="en-US" w:eastAsia="zh-CN"/>
                    </w:rPr>
                    <w:t>医生</w:t>
                  </w:r>
                </w:p>
              </w:tc>
              <w:tc>
                <w:tcPr>
                  <w:tcW w:w="667" w:type="pct"/>
                  <w:shd w:val="clear" w:color="auto" w:fill="auto"/>
                  <w:noWrap w:val="0"/>
                  <w:vAlign w:val="center"/>
                </w:tcPr>
                <w:p w14:paraId="73437E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default"/>
                      <w:spacing w:val="-11"/>
                      <w:sz w:val="21"/>
                      <w:szCs w:val="21"/>
                      <w:lang w:val="en-US" w:eastAsia="zh-CN"/>
                    </w:rPr>
                    <w:t>600</w:t>
                  </w:r>
                </w:p>
              </w:tc>
              <w:tc>
                <w:tcPr>
                  <w:tcW w:w="684" w:type="pct"/>
                  <w:shd w:val="clear" w:color="auto" w:fill="auto"/>
                  <w:noWrap w:val="0"/>
                  <w:vAlign w:val="center"/>
                </w:tcPr>
                <w:p w14:paraId="4787D7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default"/>
                      <w:spacing w:val="-11"/>
                      <w:sz w:val="21"/>
                      <w:szCs w:val="21"/>
                      <w:lang w:val="en-US" w:eastAsia="zh-CN"/>
                    </w:rPr>
                    <w:t xml:space="preserve">3.3 </w:t>
                  </w:r>
                </w:p>
              </w:tc>
              <w:tc>
                <w:tcPr>
                  <w:tcW w:w="616" w:type="pct"/>
                  <w:shd w:val="clear" w:color="auto" w:fill="auto"/>
                  <w:noWrap w:val="0"/>
                  <w:vAlign w:val="center"/>
                </w:tcPr>
                <w:p w14:paraId="440485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default"/>
                      <w:spacing w:val="-11"/>
                      <w:sz w:val="21"/>
                      <w:szCs w:val="21"/>
                      <w:lang w:val="en-US" w:eastAsia="zh-CN"/>
                    </w:rPr>
                    <w:t xml:space="preserve">100.0 </w:t>
                  </w:r>
                </w:p>
              </w:tc>
              <w:tc>
                <w:tcPr>
                  <w:tcW w:w="691" w:type="pct"/>
                  <w:noWrap w:val="0"/>
                  <w:vAlign w:val="center"/>
                </w:tcPr>
                <w:p w14:paraId="4C229AA1">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4C2813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63FB0E60">
                  <w:pPr>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3B16C1DC">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5C54D43C">
                  <w:pPr>
                    <w:pStyle w:val="292"/>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spacing w:val="-11"/>
                      <w:sz w:val="21"/>
                      <w:szCs w:val="21"/>
                      <w:lang w:val="en-US" w:eastAsia="zh-CN" w:bidi="ar-SA"/>
                    </w:rPr>
                  </w:pPr>
                  <w:r>
                    <w:rPr>
                      <w:rFonts w:hint="eastAsia"/>
                      <w:spacing w:val="-11"/>
                      <w:lang w:val="en-US" w:eastAsia="zh-CN"/>
                    </w:rPr>
                    <w:t>手术部DSA操作技师</w:t>
                  </w:r>
                </w:p>
              </w:tc>
              <w:tc>
                <w:tcPr>
                  <w:tcW w:w="667" w:type="pct"/>
                  <w:shd w:val="clear" w:color="auto" w:fill="auto"/>
                  <w:noWrap w:val="0"/>
                  <w:vAlign w:val="center"/>
                </w:tcPr>
                <w:p w14:paraId="038222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lang w:val="en-US" w:eastAsia="zh-CN" w:bidi="ar-SA"/>
                    </w:rPr>
                  </w:pPr>
                  <w:r>
                    <w:rPr>
                      <w:rFonts w:hint="default"/>
                      <w:spacing w:val="-11"/>
                      <w:sz w:val="21"/>
                      <w:szCs w:val="21"/>
                      <w:lang w:val="en-US" w:eastAsia="zh-CN"/>
                    </w:rPr>
                    <w:t>1000</w:t>
                  </w:r>
                </w:p>
              </w:tc>
              <w:tc>
                <w:tcPr>
                  <w:tcW w:w="684" w:type="pct"/>
                  <w:shd w:val="clear" w:color="auto" w:fill="auto"/>
                  <w:noWrap w:val="0"/>
                  <w:vAlign w:val="center"/>
                </w:tcPr>
                <w:p w14:paraId="533500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default"/>
                      <w:spacing w:val="-11"/>
                      <w:sz w:val="21"/>
                      <w:szCs w:val="21"/>
                      <w:lang w:val="en-US" w:eastAsia="zh-CN"/>
                    </w:rPr>
                    <w:t xml:space="preserve">6.1 </w:t>
                  </w:r>
                </w:p>
              </w:tc>
              <w:tc>
                <w:tcPr>
                  <w:tcW w:w="616" w:type="pct"/>
                  <w:shd w:val="clear" w:color="auto" w:fill="auto"/>
                  <w:noWrap w:val="0"/>
                  <w:vAlign w:val="center"/>
                </w:tcPr>
                <w:p w14:paraId="3D5648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default"/>
                      <w:spacing w:val="-11"/>
                      <w:sz w:val="21"/>
                      <w:szCs w:val="21"/>
                      <w:lang w:val="en-US" w:eastAsia="zh-CN"/>
                    </w:rPr>
                    <w:t xml:space="preserve">183.3 </w:t>
                  </w:r>
                </w:p>
              </w:tc>
              <w:tc>
                <w:tcPr>
                  <w:tcW w:w="691" w:type="pct"/>
                  <w:noWrap w:val="0"/>
                  <w:vAlign w:val="center"/>
                </w:tcPr>
                <w:p w14:paraId="7D46C854">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6AD8A4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5D0ADEDC">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23235EE1">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5A171F9F">
                  <w:pPr>
                    <w:pStyle w:val="292"/>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spacing w:val="-11"/>
                      <w:sz w:val="21"/>
                      <w:szCs w:val="21"/>
                      <w:lang w:val="en-US" w:eastAsia="zh-CN" w:bidi="ar-SA"/>
                    </w:rPr>
                  </w:pPr>
                  <w:r>
                    <w:rPr>
                      <w:rFonts w:hint="eastAsia"/>
                      <w:spacing w:val="-11"/>
                      <w:lang w:val="en-US" w:eastAsia="zh-CN"/>
                    </w:rPr>
                    <w:t>手术部DSA跟台</w:t>
                  </w:r>
                  <w:r>
                    <w:rPr>
                      <w:rFonts w:hint="eastAsia"/>
                      <w:spacing w:val="-11"/>
                    </w:rPr>
                    <w:t>护士</w:t>
                  </w:r>
                </w:p>
              </w:tc>
              <w:tc>
                <w:tcPr>
                  <w:tcW w:w="667" w:type="pct"/>
                  <w:noWrap w:val="0"/>
                  <w:vAlign w:val="center"/>
                </w:tcPr>
                <w:p w14:paraId="46BEE4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spacing w:val="-11"/>
                    </w:rPr>
                  </w:pPr>
                  <w:r>
                    <w:rPr>
                      <w:rFonts w:hint="default"/>
                      <w:spacing w:val="-11"/>
                      <w:sz w:val="21"/>
                      <w:szCs w:val="21"/>
                      <w:lang w:val="en-US" w:eastAsia="zh-CN"/>
                    </w:rPr>
                    <w:t>1000</w:t>
                  </w:r>
                </w:p>
              </w:tc>
              <w:tc>
                <w:tcPr>
                  <w:tcW w:w="684" w:type="pct"/>
                  <w:shd w:val="clear" w:color="auto" w:fill="auto"/>
                  <w:noWrap w:val="0"/>
                  <w:vAlign w:val="center"/>
                </w:tcPr>
                <w:p w14:paraId="720C27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default"/>
                      <w:spacing w:val="-11"/>
                      <w:sz w:val="21"/>
                      <w:szCs w:val="21"/>
                      <w:lang w:val="en-US" w:eastAsia="zh-CN"/>
                    </w:rPr>
                    <w:t xml:space="preserve">6.1 </w:t>
                  </w:r>
                </w:p>
              </w:tc>
              <w:tc>
                <w:tcPr>
                  <w:tcW w:w="616" w:type="pct"/>
                  <w:shd w:val="clear" w:color="auto" w:fill="auto"/>
                  <w:noWrap w:val="0"/>
                  <w:vAlign w:val="center"/>
                </w:tcPr>
                <w:p w14:paraId="7938A4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spacing w:val="-11"/>
                      <w:sz w:val="21"/>
                      <w:szCs w:val="21"/>
                      <w:lang w:val="en-US" w:eastAsia="zh-CN" w:bidi="ar-SA"/>
                    </w:rPr>
                  </w:pPr>
                  <w:r>
                    <w:rPr>
                      <w:rFonts w:hint="default"/>
                      <w:spacing w:val="-11"/>
                      <w:sz w:val="21"/>
                      <w:szCs w:val="21"/>
                      <w:lang w:val="en-US" w:eastAsia="zh-CN"/>
                    </w:rPr>
                    <w:t xml:space="preserve">183.3 </w:t>
                  </w:r>
                </w:p>
              </w:tc>
              <w:tc>
                <w:tcPr>
                  <w:tcW w:w="691" w:type="pct"/>
                  <w:noWrap w:val="0"/>
                  <w:vAlign w:val="center"/>
                </w:tcPr>
                <w:p w14:paraId="6F4249F7">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6D0C23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restart"/>
                  <w:noWrap w:val="0"/>
                  <w:vAlign w:val="center"/>
                </w:tcPr>
                <w:p w14:paraId="41A7EBA6">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sz w:val="21"/>
                      <w:szCs w:val="21"/>
                      <w:lang w:val="en-US" w:eastAsia="zh-CN"/>
                    </w:rPr>
                    <w:t>ERCP</w:t>
                  </w:r>
                  <w:r>
                    <w:rPr>
                      <w:spacing w:val="-11"/>
                      <w:sz w:val="21"/>
                      <w:szCs w:val="21"/>
                    </w:rPr>
                    <w:t>室</w:t>
                  </w:r>
                </w:p>
              </w:tc>
              <w:tc>
                <w:tcPr>
                  <w:tcW w:w="464" w:type="pct"/>
                  <w:vMerge w:val="restart"/>
                  <w:noWrap w:val="0"/>
                  <w:vAlign w:val="center"/>
                </w:tcPr>
                <w:p w14:paraId="4C037E94">
                  <w:pPr>
                    <w:pStyle w:val="292"/>
                    <w:keepNext w:val="0"/>
                    <w:keepLines w:val="0"/>
                    <w:pageBreakBefore w:val="0"/>
                    <w:kinsoku/>
                    <w:wordWrap/>
                    <w:overflowPunct/>
                    <w:topLinePunct w:val="0"/>
                    <w:autoSpaceDE/>
                    <w:autoSpaceDN/>
                    <w:bidi w:val="0"/>
                    <w:adjustRightInd/>
                    <w:snapToGrid/>
                    <w:spacing w:line="320" w:lineRule="exact"/>
                    <w:jc w:val="center"/>
                    <w:rPr>
                      <w:rFonts w:hint="eastAsia" w:eastAsia="宋体"/>
                      <w:spacing w:val="-11"/>
                      <w:lang w:val="en-US" w:eastAsia="zh-CN"/>
                    </w:rPr>
                  </w:pPr>
                  <w:r>
                    <w:rPr>
                      <w:rFonts w:hint="eastAsia"/>
                      <w:spacing w:val="-11"/>
                      <w:lang w:val="en-US" w:eastAsia="zh-CN"/>
                    </w:rPr>
                    <w:t>ERCP</w:t>
                  </w:r>
                </w:p>
              </w:tc>
              <w:tc>
                <w:tcPr>
                  <w:tcW w:w="1377" w:type="pct"/>
                  <w:shd w:val="clear" w:color="auto" w:fill="auto"/>
                  <w:noWrap w:val="0"/>
                  <w:vAlign w:val="center"/>
                </w:tcPr>
                <w:p w14:paraId="13EE7A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highlight w:val="none"/>
                      <w:lang w:val="en-US" w:eastAsia="zh-CN"/>
                    </w:rPr>
                    <w:t>脾胃病</w:t>
                  </w:r>
                  <w:r>
                    <w:rPr>
                      <w:spacing w:val="-11"/>
                      <w:sz w:val="21"/>
                      <w:szCs w:val="21"/>
                      <w:highlight w:val="none"/>
                    </w:rPr>
                    <w:t>科</w:t>
                  </w:r>
                  <w:r>
                    <w:rPr>
                      <w:rFonts w:hint="eastAsia"/>
                      <w:spacing w:val="-11"/>
                      <w:sz w:val="21"/>
                      <w:szCs w:val="21"/>
                      <w:lang w:val="en-US" w:eastAsia="zh-CN"/>
                    </w:rPr>
                    <w:t>医生</w:t>
                  </w:r>
                </w:p>
              </w:tc>
              <w:tc>
                <w:tcPr>
                  <w:tcW w:w="667" w:type="pct"/>
                  <w:shd w:val="clear" w:color="auto" w:fill="auto"/>
                  <w:noWrap w:val="0"/>
                  <w:vAlign w:val="center"/>
                </w:tcPr>
                <w:p w14:paraId="09FDD4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150</w:t>
                  </w:r>
                </w:p>
              </w:tc>
              <w:tc>
                <w:tcPr>
                  <w:tcW w:w="684" w:type="pct"/>
                  <w:shd w:val="clear" w:color="auto" w:fill="auto"/>
                  <w:noWrap w:val="0"/>
                  <w:vAlign w:val="center"/>
                </w:tcPr>
                <w:p w14:paraId="3D0FF8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1.3 </w:t>
                  </w:r>
                </w:p>
              </w:tc>
              <w:tc>
                <w:tcPr>
                  <w:tcW w:w="616" w:type="pct"/>
                  <w:shd w:val="clear" w:color="auto" w:fill="auto"/>
                  <w:noWrap w:val="0"/>
                  <w:vAlign w:val="center"/>
                </w:tcPr>
                <w:p w14:paraId="4AA8B1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37.5 </w:t>
                  </w:r>
                </w:p>
              </w:tc>
              <w:tc>
                <w:tcPr>
                  <w:tcW w:w="691" w:type="pct"/>
                  <w:noWrap w:val="0"/>
                  <w:vAlign w:val="center"/>
                </w:tcPr>
                <w:p w14:paraId="3318605D">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286F3D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49A29837">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792728BB">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shd w:val="clear" w:color="auto" w:fill="auto"/>
                  <w:noWrap w:val="0"/>
                  <w:vAlign w:val="center"/>
                </w:tcPr>
                <w:p w14:paraId="4B5BA1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Times New Roman" w:hAnsi="Times New Roman" w:eastAsia="宋体" w:cs="Times New Roman"/>
                      <w:spacing w:val="-11"/>
                      <w:sz w:val="21"/>
                      <w:szCs w:val="21"/>
                      <w:lang w:val="en-US" w:eastAsia="zh-CN" w:bidi="ar-SA"/>
                    </w:rPr>
                  </w:pPr>
                  <w:r>
                    <w:rPr>
                      <w:rFonts w:hint="eastAsia"/>
                      <w:spacing w:val="-11"/>
                      <w:sz w:val="21"/>
                      <w:szCs w:val="21"/>
                      <w:highlight w:val="none"/>
                      <w:lang w:val="en-US" w:eastAsia="zh-CN"/>
                    </w:rPr>
                    <w:t>普</w:t>
                  </w:r>
                  <w:r>
                    <w:rPr>
                      <w:spacing w:val="-11"/>
                      <w:sz w:val="21"/>
                      <w:szCs w:val="21"/>
                      <w:highlight w:val="none"/>
                    </w:rPr>
                    <w:t>外科</w:t>
                  </w:r>
                  <w:r>
                    <w:rPr>
                      <w:rFonts w:hint="eastAsia"/>
                      <w:spacing w:val="-11"/>
                      <w:sz w:val="21"/>
                      <w:szCs w:val="21"/>
                      <w:lang w:val="en-US" w:eastAsia="zh-CN"/>
                    </w:rPr>
                    <w:t>医生</w:t>
                  </w:r>
                </w:p>
              </w:tc>
              <w:tc>
                <w:tcPr>
                  <w:tcW w:w="667" w:type="pct"/>
                  <w:shd w:val="clear" w:color="auto" w:fill="auto"/>
                  <w:noWrap w:val="0"/>
                  <w:vAlign w:val="center"/>
                </w:tcPr>
                <w:p w14:paraId="3CEBD0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spacing w:val="-11"/>
                      <w:sz w:val="21"/>
                      <w:szCs w:val="21"/>
                      <w:highlight w:val="none"/>
                      <w:lang w:val="en-US" w:eastAsia="zh-CN" w:bidi="ar-SA"/>
                    </w:rPr>
                  </w:pPr>
                  <w:r>
                    <w:rPr>
                      <w:rFonts w:hint="eastAsia"/>
                      <w:spacing w:val="-11"/>
                      <w:sz w:val="21"/>
                      <w:szCs w:val="21"/>
                      <w:highlight w:val="none"/>
                      <w:lang w:val="en-US" w:eastAsia="zh-CN"/>
                    </w:rPr>
                    <w:t>150</w:t>
                  </w:r>
                </w:p>
              </w:tc>
              <w:tc>
                <w:tcPr>
                  <w:tcW w:w="684" w:type="pct"/>
                  <w:shd w:val="clear" w:color="auto" w:fill="auto"/>
                  <w:noWrap w:val="0"/>
                  <w:vAlign w:val="center"/>
                </w:tcPr>
                <w:p w14:paraId="0996CB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0.8 </w:t>
                  </w:r>
                </w:p>
              </w:tc>
              <w:tc>
                <w:tcPr>
                  <w:tcW w:w="616" w:type="pct"/>
                  <w:shd w:val="clear" w:color="auto" w:fill="auto"/>
                  <w:noWrap w:val="0"/>
                  <w:vAlign w:val="center"/>
                </w:tcPr>
                <w:p w14:paraId="4688E2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25.0 </w:t>
                  </w:r>
                </w:p>
              </w:tc>
              <w:tc>
                <w:tcPr>
                  <w:tcW w:w="691" w:type="pct"/>
                  <w:noWrap w:val="0"/>
                  <w:vAlign w:val="center"/>
                </w:tcPr>
                <w:p w14:paraId="740B7F7E">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4A6AF4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07AF2167">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5DDEB395">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41B165E6">
                  <w:pPr>
                    <w:pStyle w:val="292"/>
                    <w:keepNext w:val="0"/>
                    <w:keepLines w:val="0"/>
                    <w:pageBreakBefore w:val="0"/>
                    <w:kinsoku/>
                    <w:wordWrap/>
                    <w:overflowPunct/>
                    <w:topLinePunct w:val="0"/>
                    <w:autoSpaceDE/>
                    <w:autoSpaceDN/>
                    <w:bidi w:val="0"/>
                    <w:adjustRightInd/>
                    <w:snapToGrid/>
                    <w:spacing w:line="320" w:lineRule="exact"/>
                    <w:jc w:val="center"/>
                    <w:rPr>
                      <w:rFonts w:hint="default" w:eastAsia="宋体"/>
                      <w:spacing w:val="-11"/>
                      <w:lang w:val="en-US" w:eastAsia="zh-CN"/>
                    </w:rPr>
                  </w:pPr>
                  <w:r>
                    <w:rPr>
                      <w:rFonts w:hint="eastAsia"/>
                      <w:spacing w:val="-11"/>
                      <w:lang w:val="en-US" w:eastAsia="zh-CN"/>
                    </w:rPr>
                    <w:t>内镜中心ERCP操作技师</w:t>
                  </w:r>
                </w:p>
              </w:tc>
              <w:tc>
                <w:tcPr>
                  <w:tcW w:w="667" w:type="pct"/>
                  <w:shd w:val="clear" w:color="auto" w:fill="auto"/>
                  <w:noWrap w:val="0"/>
                  <w:vAlign w:val="center"/>
                </w:tcPr>
                <w:p w14:paraId="2E8BA18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spacing w:val="-11"/>
                      <w:sz w:val="21"/>
                      <w:szCs w:val="21"/>
                      <w:lang w:val="en-US" w:eastAsia="zh-CN" w:bidi="ar-SA"/>
                    </w:rPr>
                  </w:pPr>
                  <w:r>
                    <w:rPr>
                      <w:rFonts w:hint="eastAsia"/>
                      <w:spacing w:val="-11"/>
                      <w:sz w:val="21"/>
                      <w:szCs w:val="21"/>
                      <w:lang w:val="en-US" w:eastAsia="zh-CN"/>
                    </w:rPr>
                    <w:t>300</w:t>
                  </w:r>
                </w:p>
              </w:tc>
              <w:tc>
                <w:tcPr>
                  <w:tcW w:w="684" w:type="pct"/>
                  <w:shd w:val="clear" w:color="auto" w:fill="auto"/>
                  <w:noWrap w:val="0"/>
                  <w:vAlign w:val="center"/>
                </w:tcPr>
                <w:p w14:paraId="6CFEA1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2.1 </w:t>
                  </w:r>
                </w:p>
              </w:tc>
              <w:tc>
                <w:tcPr>
                  <w:tcW w:w="616" w:type="pct"/>
                  <w:shd w:val="clear" w:color="auto" w:fill="auto"/>
                  <w:noWrap w:val="0"/>
                  <w:vAlign w:val="center"/>
                </w:tcPr>
                <w:p w14:paraId="73E7C9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62.5 </w:t>
                  </w:r>
                </w:p>
              </w:tc>
              <w:tc>
                <w:tcPr>
                  <w:tcW w:w="691" w:type="pct"/>
                  <w:noWrap w:val="0"/>
                  <w:vAlign w:val="center"/>
                </w:tcPr>
                <w:p w14:paraId="4D749B9B">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r w14:paraId="28BCF1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7" w:type="pct"/>
                  <w:vMerge w:val="continue"/>
                  <w:noWrap w:val="0"/>
                  <w:vAlign w:val="center"/>
                </w:tcPr>
                <w:p w14:paraId="303BB21E">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464" w:type="pct"/>
                  <w:vMerge w:val="continue"/>
                  <w:noWrap w:val="0"/>
                  <w:vAlign w:val="center"/>
                </w:tcPr>
                <w:p w14:paraId="663B98A0">
                  <w:pPr>
                    <w:pStyle w:val="292"/>
                    <w:keepNext w:val="0"/>
                    <w:keepLines w:val="0"/>
                    <w:pageBreakBefore w:val="0"/>
                    <w:kinsoku/>
                    <w:wordWrap/>
                    <w:overflowPunct/>
                    <w:topLinePunct w:val="0"/>
                    <w:autoSpaceDE/>
                    <w:autoSpaceDN/>
                    <w:bidi w:val="0"/>
                    <w:adjustRightInd/>
                    <w:snapToGrid/>
                    <w:spacing w:line="320" w:lineRule="exact"/>
                    <w:jc w:val="center"/>
                    <w:rPr>
                      <w:spacing w:val="-11"/>
                    </w:rPr>
                  </w:pPr>
                </w:p>
              </w:tc>
              <w:tc>
                <w:tcPr>
                  <w:tcW w:w="1377" w:type="pct"/>
                  <w:noWrap w:val="0"/>
                  <w:vAlign w:val="center"/>
                </w:tcPr>
                <w:p w14:paraId="0A5A8FCF">
                  <w:pPr>
                    <w:pStyle w:val="292"/>
                    <w:keepNext w:val="0"/>
                    <w:keepLines w:val="0"/>
                    <w:pageBreakBefore w:val="0"/>
                    <w:kinsoku/>
                    <w:wordWrap/>
                    <w:overflowPunct/>
                    <w:topLinePunct w:val="0"/>
                    <w:autoSpaceDE/>
                    <w:autoSpaceDN/>
                    <w:bidi w:val="0"/>
                    <w:adjustRightInd/>
                    <w:snapToGrid/>
                    <w:spacing w:line="320" w:lineRule="exact"/>
                    <w:jc w:val="center"/>
                    <w:rPr>
                      <w:rFonts w:hint="default"/>
                      <w:spacing w:val="-11"/>
                      <w:lang w:val="en-US"/>
                    </w:rPr>
                  </w:pPr>
                  <w:r>
                    <w:rPr>
                      <w:rFonts w:hint="eastAsia"/>
                      <w:spacing w:val="-11"/>
                      <w:lang w:val="en-US" w:eastAsia="zh-CN"/>
                    </w:rPr>
                    <w:t>内镜中心ERCP跟台护士</w:t>
                  </w:r>
                </w:p>
              </w:tc>
              <w:tc>
                <w:tcPr>
                  <w:tcW w:w="667" w:type="pct"/>
                  <w:noWrap w:val="0"/>
                  <w:vAlign w:val="center"/>
                </w:tcPr>
                <w:p w14:paraId="615A10BE">
                  <w:pPr>
                    <w:pStyle w:val="292"/>
                    <w:keepNext w:val="0"/>
                    <w:keepLines w:val="0"/>
                    <w:pageBreakBefore w:val="0"/>
                    <w:kinsoku/>
                    <w:wordWrap/>
                    <w:overflowPunct/>
                    <w:topLinePunct w:val="0"/>
                    <w:autoSpaceDE/>
                    <w:autoSpaceDN/>
                    <w:bidi w:val="0"/>
                    <w:adjustRightInd/>
                    <w:snapToGrid/>
                    <w:spacing w:line="320" w:lineRule="exact"/>
                    <w:jc w:val="center"/>
                    <w:rPr>
                      <w:spacing w:val="-11"/>
                    </w:rPr>
                  </w:pPr>
                  <w:r>
                    <w:rPr>
                      <w:rFonts w:hint="eastAsia"/>
                      <w:spacing w:val="-11"/>
                      <w:sz w:val="21"/>
                      <w:szCs w:val="21"/>
                      <w:lang w:val="en-US" w:eastAsia="zh-CN"/>
                    </w:rPr>
                    <w:t>300</w:t>
                  </w:r>
                </w:p>
              </w:tc>
              <w:tc>
                <w:tcPr>
                  <w:tcW w:w="684" w:type="pct"/>
                  <w:shd w:val="clear" w:color="auto" w:fill="auto"/>
                  <w:noWrap w:val="0"/>
                  <w:vAlign w:val="center"/>
                </w:tcPr>
                <w:p w14:paraId="0A404A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2.1 </w:t>
                  </w:r>
                </w:p>
              </w:tc>
              <w:tc>
                <w:tcPr>
                  <w:tcW w:w="616" w:type="pct"/>
                  <w:shd w:val="clear" w:color="auto" w:fill="auto"/>
                  <w:noWrap w:val="0"/>
                  <w:vAlign w:val="center"/>
                </w:tcPr>
                <w:p w14:paraId="0AEA00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Times New Roman" w:hAnsi="Times New Roman" w:eastAsia="宋体" w:cs="Times New Roman"/>
                      <w:spacing w:val="-11"/>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62.5 </w:t>
                  </w:r>
                </w:p>
              </w:tc>
              <w:tc>
                <w:tcPr>
                  <w:tcW w:w="691" w:type="pct"/>
                  <w:noWrap w:val="0"/>
                  <w:vAlign w:val="center"/>
                </w:tcPr>
                <w:p w14:paraId="63D02935">
                  <w:pPr>
                    <w:keepNext w:val="0"/>
                    <w:keepLines w:val="0"/>
                    <w:pageBreakBefore w:val="0"/>
                    <w:kinsoku/>
                    <w:wordWrap/>
                    <w:overflowPunct/>
                    <w:topLinePunct w:val="0"/>
                    <w:autoSpaceDE/>
                    <w:autoSpaceDN/>
                    <w:bidi w:val="0"/>
                    <w:adjustRightInd/>
                    <w:snapToGrid/>
                    <w:spacing w:line="320" w:lineRule="exact"/>
                    <w:jc w:val="center"/>
                    <w:rPr>
                      <w:rFonts w:hint="eastAsia"/>
                      <w:spacing w:val="-11"/>
                    </w:rPr>
                  </w:pPr>
                  <w:r>
                    <w:rPr>
                      <w:rFonts w:hint="eastAsia"/>
                      <w:spacing w:val="-11"/>
                      <w:lang w:val="en-US" w:eastAsia="zh-CN"/>
                    </w:rPr>
                    <w:t>/</w:t>
                  </w:r>
                </w:p>
              </w:tc>
            </w:tr>
          </w:tbl>
          <w:p w14:paraId="43A18A16">
            <w:pPr>
              <w:pStyle w:val="20"/>
              <w:ind w:firstLine="480" w:firstLineChars="200"/>
              <w:rPr>
                <w:color w:val="auto"/>
                <w:kern w:val="28"/>
                <w:highlight w:val="none"/>
              </w:rPr>
            </w:pPr>
            <w:r>
              <w:rPr>
                <w:color w:val="auto"/>
                <w:kern w:val="28"/>
                <w:highlight w:val="none"/>
              </w:rPr>
              <w:t>本项目职业人员所受年附加</w:t>
            </w:r>
            <w:r>
              <w:rPr>
                <w:rFonts w:hint="eastAsia"/>
                <w:color w:val="auto"/>
                <w:kern w:val="28"/>
                <w:highlight w:val="none"/>
              </w:rPr>
              <w:t>有效</w:t>
            </w:r>
            <w:r>
              <w:rPr>
                <w:color w:val="auto"/>
                <w:kern w:val="28"/>
                <w:highlight w:val="none"/>
              </w:rPr>
              <w:t>剂量见下表。</w:t>
            </w:r>
          </w:p>
          <w:p w14:paraId="48241686">
            <w:pPr>
              <w:spacing w:before="163" w:beforeLines="50"/>
              <w:jc w:val="center"/>
              <w:rPr>
                <w:rFonts w:eastAsia="黑体"/>
                <w:b/>
                <w:color w:val="auto"/>
                <w:highlight w:val="none"/>
              </w:rPr>
            </w:pPr>
            <w:r>
              <w:rPr>
                <w:rFonts w:eastAsia="黑体"/>
                <w:b/>
                <w:color w:val="auto"/>
                <w:highlight w:val="none"/>
              </w:rPr>
              <w:t>表11-</w:t>
            </w:r>
            <w:r>
              <w:rPr>
                <w:rFonts w:hint="eastAsia" w:eastAsia="黑体"/>
                <w:b/>
                <w:color w:val="auto"/>
                <w:highlight w:val="none"/>
                <w:lang w:val="en-US" w:eastAsia="zh-CN"/>
              </w:rPr>
              <w:t>17</w:t>
            </w:r>
            <w:r>
              <w:rPr>
                <w:rFonts w:eastAsia="黑体"/>
                <w:b/>
                <w:color w:val="auto"/>
                <w:highlight w:val="none"/>
              </w:rPr>
              <w:t xml:space="preserve">  职业人员年</w:t>
            </w:r>
            <w:r>
              <w:rPr>
                <w:rFonts w:hint="eastAsia" w:eastAsia="黑体"/>
                <w:b/>
                <w:color w:val="auto"/>
                <w:highlight w:val="none"/>
              </w:rPr>
              <w:t>附加</w:t>
            </w:r>
            <w:r>
              <w:rPr>
                <w:rFonts w:eastAsia="黑体"/>
                <w:b/>
                <w:color w:val="auto"/>
                <w:highlight w:val="none"/>
              </w:rPr>
              <w:t>有效剂量预测表</w:t>
            </w:r>
          </w:p>
          <w:tbl>
            <w:tblPr>
              <w:tblStyle w:val="57"/>
              <w:tblW w:w="8935"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7"/>
              <w:gridCol w:w="720"/>
              <w:gridCol w:w="900"/>
              <w:gridCol w:w="1200"/>
              <w:gridCol w:w="1350"/>
              <w:gridCol w:w="1050"/>
              <w:gridCol w:w="772"/>
              <w:gridCol w:w="1223"/>
              <w:gridCol w:w="1073"/>
            </w:tblGrid>
            <w:tr w14:paraId="0BA46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tcBorders>
                    <w:top w:val="single" w:color="000000" w:sz="8" w:space="0"/>
                    <w:left w:val="nil"/>
                    <w:bottom w:val="single" w:color="000000" w:sz="8" w:space="0"/>
                    <w:right w:val="single" w:color="000000" w:sz="8" w:space="0"/>
                  </w:tcBorders>
                  <w:shd w:val="clear" w:color="auto" w:fill="auto"/>
                  <w:vAlign w:val="center"/>
                </w:tcPr>
                <w:p w14:paraId="6C0E32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场所</w:t>
                  </w:r>
                </w:p>
              </w:tc>
              <w:tc>
                <w:tcPr>
                  <w:tcW w:w="1620"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1D93CF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辐射工作人员</w:t>
                  </w:r>
                </w:p>
              </w:tc>
              <w:tc>
                <w:tcPr>
                  <w:tcW w:w="12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B789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工作模式</w:t>
                  </w:r>
                </w:p>
              </w:tc>
              <w:tc>
                <w:tcPr>
                  <w:tcW w:w="13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0DFC0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关注点位置</w:t>
                  </w:r>
                </w:p>
              </w:tc>
              <w:tc>
                <w:tcPr>
                  <w:tcW w:w="10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3D84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总附加剂量率</w:t>
                  </w:r>
                  <w:r>
                    <w:rPr>
                      <w:rFonts w:hint="default" w:ascii="Times New Roman" w:hAnsi="Times New Roman" w:eastAsia="宋体" w:cs="Times New Roman"/>
                      <w:b/>
                      <w:bCs/>
                      <w:i w:val="0"/>
                      <w:iCs w:val="0"/>
                      <w:color w:val="000000"/>
                      <w:kern w:val="0"/>
                      <w:sz w:val="21"/>
                      <w:szCs w:val="21"/>
                      <w:u w:val="none"/>
                      <w:lang w:val="en-US" w:eastAsia="zh-CN" w:bidi="ar"/>
                    </w:rPr>
                    <w:t>(µSv/h)</w:t>
                  </w:r>
                </w:p>
              </w:tc>
              <w:tc>
                <w:tcPr>
                  <w:tcW w:w="77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DB1F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年受照时间</w:t>
                  </w:r>
                  <w:r>
                    <w:rPr>
                      <w:rFonts w:hint="default" w:ascii="Times New Roman" w:hAnsi="Times New Roman" w:eastAsia="宋体" w:cs="Times New Roman"/>
                      <w:b/>
                      <w:bCs/>
                      <w:i w:val="0"/>
                      <w:iCs w:val="0"/>
                      <w:color w:val="000000"/>
                      <w:kern w:val="0"/>
                      <w:sz w:val="21"/>
                      <w:szCs w:val="21"/>
                      <w:u w:val="none"/>
                      <w:lang w:val="en-US" w:eastAsia="zh-CN" w:bidi="ar"/>
                    </w:rPr>
                    <w:t>(h)</w:t>
                  </w:r>
                </w:p>
              </w:tc>
              <w:tc>
                <w:tcPr>
                  <w:tcW w:w="2296" w:type="dxa"/>
                  <w:gridSpan w:val="2"/>
                  <w:tcBorders>
                    <w:top w:val="single" w:color="000000" w:sz="8" w:space="0"/>
                    <w:left w:val="single" w:color="000000" w:sz="8" w:space="0"/>
                    <w:bottom w:val="single" w:color="000000" w:sz="8" w:space="0"/>
                    <w:right w:val="nil"/>
                  </w:tcBorders>
                  <w:shd w:val="clear" w:color="auto" w:fill="auto"/>
                  <w:vAlign w:val="center"/>
                </w:tcPr>
                <w:p w14:paraId="0B606C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年附加有效剂量（</w:t>
                  </w:r>
                  <w:r>
                    <w:rPr>
                      <w:rFonts w:hint="default" w:ascii="Times New Roman" w:hAnsi="Times New Roman" w:eastAsia="宋体" w:cs="Times New Roman"/>
                      <w:b/>
                      <w:bCs/>
                      <w:i w:val="0"/>
                      <w:iCs w:val="0"/>
                      <w:color w:val="000000"/>
                      <w:kern w:val="0"/>
                      <w:sz w:val="21"/>
                      <w:szCs w:val="21"/>
                      <w:u w:val="none"/>
                      <w:lang w:val="en-US" w:eastAsia="zh-CN" w:bidi="ar"/>
                    </w:rPr>
                    <w:t>mSv/a</w:t>
                  </w:r>
                  <w:r>
                    <w:rPr>
                      <w:rFonts w:hint="eastAsia" w:ascii="宋体" w:hAnsi="宋体" w:eastAsia="宋体" w:cs="宋体"/>
                      <w:b/>
                      <w:bCs/>
                      <w:i w:val="0"/>
                      <w:iCs w:val="0"/>
                      <w:color w:val="000000"/>
                      <w:kern w:val="0"/>
                      <w:sz w:val="21"/>
                      <w:szCs w:val="21"/>
                      <w:u w:val="none"/>
                      <w:lang w:val="en-US" w:eastAsia="zh-CN" w:bidi="ar"/>
                    </w:rPr>
                    <w:t>）</w:t>
                  </w:r>
                </w:p>
              </w:tc>
            </w:tr>
            <w:tr w14:paraId="08FA5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restart"/>
                  <w:tcBorders>
                    <w:top w:val="nil"/>
                    <w:left w:val="nil"/>
                    <w:bottom w:val="single" w:color="000000" w:sz="8" w:space="0"/>
                    <w:right w:val="single" w:color="000000" w:sz="8" w:space="0"/>
                  </w:tcBorders>
                  <w:shd w:val="clear" w:color="auto" w:fill="auto"/>
                  <w:vAlign w:val="center"/>
                </w:tcPr>
                <w:p w14:paraId="3A111A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DSA-CT</w:t>
                  </w:r>
                  <w:r>
                    <w:rPr>
                      <w:rFonts w:hint="eastAsia" w:ascii="宋体" w:hAnsi="宋体" w:eastAsia="宋体" w:cs="宋体"/>
                      <w:i w:val="0"/>
                      <w:iCs w:val="0"/>
                      <w:color w:val="000000"/>
                      <w:kern w:val="0"/>
                      <w:sz w:val="21"/>
                      <w:szCs w:val="21"/>
                      <w:u w:val="none"/>
                      <w:lang w:val="en-US" w:eastAsia="zh-CN" w:bidi="ar"/>
                    </w:rPr>
                    <w:t>复合手术室（</w:t>
                  </w:r>
                  <w:r>
                    <w:rPr>
                      <w:rFonts w:hint="default" w:ascii="Times New Roman" w:hAnsi="Times New Roman" w:eastAsia="宋体" w:cs="Times New Roman"/>
                      <w:i w:val="0"/>
                      <w:iCs w:val="0"/>
                      <w:color w:val="000000"/>
                      <w:kern w:val="0"/>
                      <w:sz w:val="21"/>
                      <w:szCs w:val="21"/>
                      <w:u w:val="none"/>
                      <w:lang w:val="en-US" w:eastAsia="zh-CN" w:bidi="ar"/>
                    </w:rPr>
                    <w:t>1F</w:t>
                  </w:r>
                  <w:r>
                    <w:rPr>
                      <w:rFonts w:hint="eastAsia" w:ascii="宋体" w:hAnsi="宋体" w:eastAsia="宋体" w:cs="宋体"/>
                      <w:i w:val="0"/>
                      <w:iCs w:val="0"/>
                      <w:color w:val="000000"/>
                      <w:kern w:val="0"/>
                      <w:sz w:val="21"/>
                      <w:szCs w:val="21"/>
                      <w:u w:val="none"/>
                      <w:lang w:val="en-US" w:eastAsia="zh-CN" w:bidi="ar"/>
                    </w:rPr>
                    <w:t>）</w:t>
                  </w: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5641AD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心胸外科医生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4883A2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54243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1BEC2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E17AC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A5039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387F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771D56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3.83E+00</w:t>
                  </w:r>
                </w:p>
              </w:tc>
            </w:tr>
            <w:tr w14:paraId="0EAD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F72D8E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D7B1C5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7A8D453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63979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EA9CA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20192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20C53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4973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2.96E-05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3DEE7D9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6507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266623B">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64FD9FC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31A8A2D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7D737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3D9B4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0BBB5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BF4CA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050E7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1.82E-04</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194F46B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4AB9D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AD7F0F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2DF02C3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55EF70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0BC46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0B29F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A92AE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25628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925C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61EE11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4.51E+00</w:t>
                  </w:r>
                </w:p>
              </w:tc>
            </w:tr>
            <w:tr w14:paraId="42374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9E0C17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6860588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605FFC7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DDE8B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F8AD7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D1028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DF689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1CBB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2.96E-05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60DF91E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5DF7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1FC771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713EC65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2071C36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8D4D3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F532E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F49E4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1C985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F1A6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1.82E-04</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39BD501B">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454B8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5DB45C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776F03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血管外科医生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11356B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F2441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0FB09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B7BD7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C4727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6C72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50F092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1.28E+00</w:t>
                  </w:r>
                </w:p>
              </w:tc>
            </w:tr>
            <w:tr w14:paraId="7E19F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D94C8A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7B2F1AB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38ABD3D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FF666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6FACF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70DF2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2581A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F393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9.88E-06</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013AF71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6E2FC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A6F47C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32A4EBA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52BD9E6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64A2B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6D4AC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74FF6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89275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C9A2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9.35E-05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5E221FB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470C5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6F9FF2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4F50815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2AF1B7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996AB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F3C84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08EDD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A6A9A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AABB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156F86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1.50E+00</w:t>
                  </w:r>
                </w:p>
              </w:tc>
            </w:tr>
            <w:tr w14:paraId="5104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9A5092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7E9E1C0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7624EF5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291E4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5BA19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DCFE8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EF3EA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0D56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9.88E-06</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768385A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CEA2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99E979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5F2FB02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57E5A24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3D8502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95A01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0F3EF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B6BEA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AF5F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9.35E-05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21AFFE7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9C6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394249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2A56E2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50BC87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FDB11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647DD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E830F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ABCD1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9B58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2C2813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1.92E+00</w:t>
                  </w:r>
                </w:p>
              </w:tc>
            </w:tr>
            <w:tr w14:paraId="2F276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DD3963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6CB77C69">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3CE0943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C891A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17263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3C832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655E1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1195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416D036B">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7425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861564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2E5D4E0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04B435CE">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199D6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03226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A96FF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B859C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50EA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1.38E-04</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63E2E75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42D6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7F3743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0A65DF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EAAEA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BD5F1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48480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F4DB3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AD0C1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BFCD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7888A6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2.26E+00</w:t>
                  </w:r>
                </w:p>
              </w:tc>
            </w:tr>
            <w:tr w14:paraId="2432E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B4C24C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7A6D941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7F89724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B1C98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4230E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61B0F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E6926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61D2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39F3481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EE8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D62DF3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8E1966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10F66EB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8FCC4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A5DCA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62BD4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3D2A1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E81A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1.38E-04</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675E336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5B7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192A42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01966A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肝胆外科医生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6A75A9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44885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49CDD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97FAC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B0F93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C51D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6.40E-01</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35EE90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6.40E-01</w:t>
                  </w:r>
                </w:p>
              </w:tc>
            </w:tr>
            <w:tr w14:paraId="1455B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7B9B60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F7B7CB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29FC001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1AB89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8DC0F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BFDD9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9ABEA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6BB8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5.39E-06</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066DDCC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2F23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ACC0A3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733AF7B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63DEDBE6">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79222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020AF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DFDA31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0D68C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4CD7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4.40E-05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6E1C7F8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5D83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063245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32FC3B3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B3055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02C74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E0DCD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10FA4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F83B3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C3E7D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7.53E-01</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6DEB72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7.53E-01</w:t>
                  </w:r>
                </w:p>
              </w:tc>
            </w:tr>
            <w:tr w14:paraId="17B0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AE4BA6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26903C5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1A45E9D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D887B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A933F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867B4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814DA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0CC0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5.39E-06</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355050E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5AC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160E46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26866C10">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7ACB765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B97A3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BF158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2DDAA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BB984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3B6C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4.40E-05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76F26B3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19A0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E2887E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34A661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手术部</w:t>
                  </w:r>
                  <w:r>
                    <w:rPr>
                      <w:rFonts w:hint="default" w:ascii="Times New Roman" w:hAnsi="Times New Roman" w:eastAsia="宋体" w:cs="Times New Roman"/>
                      <w:i w:val="0"/>
                      <w:iCs w:val="0"/>
                      <w:color w:val="000000"/>
                      <w:kern w:val="0"/>
                      <w:sz w:val="24"/>
                      <w:szCs w:val="24"/>
                      <w:u w:val="none"/>
                      <w:lang w:val="en-US" w:eastAsia="zh-CN" w:bidi="ar"/>
                    </w:rPr>
                    <w:t>DSA</w:t>
                  </w:r>
                  <w:r>
                    <w:rPr>
                      <w:rFonts w:hint="eastAsia" w:ascii="宋体" w:hAnsi="宋体" w:eastAsia="宋体" w:cs="宋体"/>
                      <w:i w:val="0"/>
                      <w:iCs w:val="0"/>
                      <w:color w:val="000000"/>
                      <w:kern w:val="0"/>
                      <w:sz w:val="24"/>
                      <w:szCs w:val="24"/>
                      <w:u w:val="none"/>
                      <w:lang w:val="en-US" w:eastAsia="zh-CN" w:bidi="ar"/>
                    </w:rPr>
                    <w:t>跟台护士</w:t>
                  </w:r>
                </w:p>
              </w:tc>
              <w:tc>
                <w:tcPr>
                  <w:tcW w:w="1200" w:type="dxa"/>
                  <w:vMerge w:val="restart"/>
                  <w:tcBorders>
                    <w:top w:val="nil"/>
                    <w:left w:val="single" w:color="000000" w:sz="8" w:space="0"/>
                    <w:bottom w:val="single" w:color="000000" w:sz="8" w:space="0"/>
                    <w:right w:val="single" w:color="000000" w:sz="8" w:space="0"/>
                  </w:tcBorders>
                  <w:shd w:val="clear" w:color="auto" w:fill="auto"/>
                  <w:vAlign w:val="center"/>
                </w:tcPr>
                <w:p w14:paraId="617063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介入①</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6BF850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E5100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5AE0C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7A25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2.01E+00</w:t>
                  </w:r>
                </w:p>
              </w:tc>
              <w:tc>
                <w:tcPr>
                  <w:tcW w:w="1073" w:type="dxa"/>
                  <w:vMerge w:val="restart"/>
                  <w:tcBorders>
                    <w:top w:val="nil"/>
                    <w:left w:val="single" w:color="000000" w:sz="8" w:space="0"/>
                    <w:bottom w:val="single" w:color="000000" w:sz="8" w:space="0"/>
                    <w:right w:val="nil"/>
                  </w:tcBorders>
                  <w:shd w:val="clear" w:color="auto" w:fill="auto"/>
                  <w:vAlign w:val="center"/>
                </w:tcPr>
                <w:p w14:paraId="1DBDDD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2.01E+00</w:t>
                  </w:r>
                </w:p>
              </w:tc>
            </w:tr>
            <w:tr w14:paraId="42B07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AD002DB">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6171E73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4"/>
                      <w:szCs w:val="24"/>
                      <w:u w:val="none"/>
                    </w:rPr>
                  </w:pPr>
                </w:p>
              </w:tc>
              <w:tc>
                <w:tcPr>
                  <w:tcW w:w="1200" w:type="dxa"/>
                  <w:vMerge w:val="continue"/>
                  <w:tcBorders>
                    <w:top w:val="nil"/>
                    <w:left w:val="single" w:color="000000" w:sz="8" w:space="0"/>
                    <w:bottom w:val="single" w:color="000000" w:sz="8" w:space="0"/>
                    <w:right w:val="single" w:color="000000" w:sz="8" w:space="0"/>
                  </w:tcBorders>
                  <w:shd w:val="clear" w:color="auto" w:fill="auto"/>
                  <w:vAlign w:val="center"/>
                </w:tcPr>
                <w:p w14:paraId="2613F32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07C61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9FB1B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4.74E-06</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56A04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E330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4.74E-07</w:t>
                  </w:r>
                </w:p>
              </w:tc>
              <w:tc>
                <w:tcPr>
                  <w:tcW w:w="1073" w:type="dxa"/>
                  <w:vMerge w:val="continue"/>
                  <w:tcBorders>
                    <w:top w:val="nil"/>
                    <w:left w:val="single" w:color="000000" w:sz="8" w:space="0"/>
                    <w:bottom w:val="single" w:color="000000" w:sz="8" w:space="0"/>
                    <w:right w:val="nil"/>
                  </w:tcBorders>
                  <w:shd w:val="clear" w:color="auto" w:fill="auto"/>
                  <w:vAlign w:val="center"/>
                </w:tcPr>
                <w:p w14:paraId="6F4F44A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0CD95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A795BB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3907E06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4"/>
                      <w:szCs w:val="24"/>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AB2FE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1BCF5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EB855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A0140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3D1D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6.02E-05</w:t>
                  </w:r>
                </w:p>
              </w:tc>
              <w:tc>
                <w:tcPr>
                  <w:tcW w:w="1073" w:type="dxa"/>
                  <w:vMerge w:val="continue"/>
                  <w:tcBorders>
                    <w:top w:val="nil"/>
                    <w:left w:val="single" w:color="000000" w:sz="8" w:space="0"/>
                    <w:bottom w:val="single" w:color="000000" w:sz="8" w:space="0"/>
                    <w:right w:val="nil"/>
                  </w:tcBorders>
                  <w:shd w:val="clear" w:color="auto" w:fill="auto"/>
                  <w:vAlign w:val="center"/>
                </w:tcPr>
                <w:p w14:paraId="6B376B7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2B61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E1412E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2AD4CC2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4"/>
                      <w:szCs w:val="24"/>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EE421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CEEC4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E8B73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FF24F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3DEC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4.57E-04</w:t>
                  </w:r>
                </w:p>
              </w:tc>
              <w:tc>
                <w:tcPr>
                  <w:tcW w:w="1073" w:type="dxa"/>
                  <w:vMerge w:val="continue"/>
                  <w:tcBorders>
                    <w:top w:val="nil"/>
                    <w:left w:val="single" w:color="000000" w:sz="8" w:space="0"/>
                    <w:bottom w:val="single" w:color="000000" w:sz="8" w:space="0"/>
                    <w:right w:val="nil"/>
                  </w:tcBorders>
                  <w:shd w:val="clear" w:color="auto" w:fill="auto"/>
                  <w:vAlign w:val="center"/>
                </w:tcPr>
                <w:p w14:paraId="39792AE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0EBCE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4EB837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70DBEE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手术部</w:t>
                  </w: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操作技师</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27178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B9F1E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B0949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4.74E-06</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97133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9BD9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9.48E-07</w:t>
                  </w:r>
                </w:p>
              </w:tc>
              <w:tc>
                <w:tcPr>
                  <w:tcW w:w="1073" w:type="dxa"/>
                  <w:vMerge w:val="restart"/>
                  <w:tcBorders>
                    <w:top w:val="nil"/>
                    <w:left w:val="single" w:color="000000" w:sz="8" w:space="0"/>
                    <w:bottom w:val="single" w:color="000000" w:sz="8" w:space="0"/>
                    <w:right w:val="nil"/>
                  </w:tcBorders>
                  <w:shd w:val="clear" w:color="auto" w:fill="auto"/>
                  <w:vAlign w:val="center"/>
                </w:tcPr>
                <w:p w14:paraId="66D851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5.18E-04</w:t>
                  </w:r>
                </w:p>
              </w:tc>
            </w:tr>
            <w:tr w14:paraId="71444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854366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45C77DF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A0C3B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7E215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F387E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869FD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6769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6.02E-05</w:t>
                  </w:r>
                </w:p>
              </w:tc>
              <w:tc>
                <w:tcPr>
                  <w:tcW w:w="1073" w:type="dxa"/>
                  <w:vMerge w:val="continue"/>
                  <w:tcBorders>
                    <w:top w:val="nil"/>
                    <w:left w:val="single" w:color="000000" w:sz="8" w:space="0"/>
                    <w:bottom w:val="single" w:color="000000" w:sz="8" w:space="0"/>
                    <w:right w:val="nil"/>
                  </w:tcBorders>
                  <w:shd w:val="clear" w:color="auto" w:fill="auto"/>
                  <w:vAlign w:val="center"/>
                </w:tcPr>
                <w:p w14:paraId="3279747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47FA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0A600F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5480111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CEA28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984BE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9B701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86C03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F558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4.57E-04</w:t>
                  </w:r>
                </w:p>
              </w:tc>
              <w:tc>
                <w:tcPr>
                  <w:tcW w:w="1073" w:type="dxa"/>
                  <w:vMerge w:val="continue"/>
                  <w:tcBorders>
                    <w:top w:val="nil"/>
                    <w:left w:val="single" w:color="000000" w:sz="8" w:space="0"/>
                    <w:bottom w:val="single" w:color="000000" w:sz="8" w:space="0"/>
                    <w:right w:val="nil"/>
                  </w:tcBorders>
                  <w:shd w:val="clear" w:color="auto" w:fill="auto"/>
                  <w:vAlign w:val="center"/>
                </w:tcPr>
                <w:p w14:paraId="7163ACF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353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B76DA2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15950E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放射科</w:t>
                  </w: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操作技师</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E6D2F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72B8F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168106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4.74E-06</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95CF8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8C36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9.48E-07</w:t>
                  </w:r>
                </w:p>
              </w:tc>
              <w:tc>
                <w:tcPr>
                  <w:tcW w:w="1073" w:type="dxa"/>
                  <w:vMerge w:val="restart"/>
                  <w:tcBorders>
                    <w:top w:val="nil"/>
                    <w:left w:val="single" w:color="000000" w:sz="8" w:space="0"/>
                    <w:bottom w:val="single" w:color="000000" w:sz="8" w:space="0"/>
                    <w:right w:val="nil"/>
                  </w:tcBorders>
                  <w:shd w:val="clear" w:color="auto" w:fill="auto"/>
                  <w:vAlign w:val="center"/>
                </w:tcPr>
                <w:p w14:paraId="289CAB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5.18E-04</w:t>
                  </w:r>
                </w:p>
              </w:tc>
            </w:tr>
            <w:tr w14:paraId="1DE51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9E6F41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7221057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3DC5C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AE561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4B5CF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8.98E-03</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0C52F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8998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6.02E-05</w:t>
                  </w:r>
                </w:p>
              </w:tc>
              <w:tc>
                <w:tcPr>
                  <w:tcW w:w="1073" w:type="dxa"/>
                  <w:vMerge w:val="continue"/>
                  <w:tcBorders>
                    <w:top w:val="nil"/>
                    <w:left w:val="single" w:color="000000" w:sz="8" w:space="0"/>
                    <w:bottom w:val="single" w:color="000000" w:sz="8" w:space="0"/>
                    <w:right w:val="nil"/>
                  </w:tcBorders>
                  <w:shd w:val="clear" w:color="auto" w:fill="auto"/>
                  <w:vAlign w:val="center"/>
                </w:tcPr>
                <w:p w14:paraId="01CA9F9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00563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95D11E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7541860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DA3AF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CT</w:t>
                  </w:r>
                  <w:r>
                    <w:rPr>
                      <w:rFonts w:hint="eastAsia" w:ascii="宋体" w:hAnsi="宋体" w:eastAsia="宋体" w:cs="宋体"/>
                      <w:i w:val="0"/>
                      <w:iCs w:val="0"/>
                      <w:color w:val="000000"/>
                      <w:kern w:val="0"/>
                      <w:sz w:val="21"/>
                      <w:szCs w:val="21"/>
                      <w:u w:val="none"/>
                      <w:lang w:val="en-US" w:eastAsia="zh-CN" w:bidi="ar"/>
                    </w:rPr>
                    <w:t>扫描②</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343D5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F1812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7403A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9EB3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4.57E-04</w:t>
                  </w:r>
                </w:p>
              </w:tc>
              <w:tc>
                <w:tcPr>
                  <w:tcW w:w="1073" w:type="dxa"/>
                  <w:vMerge w:val="continue"/>
                  <w:tcBorders>
                    <w:top w:val="nil"/>
                    <w:left w:val="single" w:color="000000" w:sz="8" w:space="0"/>
                    <w:bottom w:val="single" w:color="000000" w:sz="8" w:space="0"/>
                    <w:right w:val="nil"/>
                  </w:tcBorders>
                  <w:shd w:val="clear" w:color="auto" w:fill="auto"/>
                  <w:vAlign w:val="center"/>
                </w:tcPr>
                <w:p w14:paraId="5E2960B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16FD1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647" w:type="dxa"/>
                  <w:vMerge w:val="restart"/>
                  <w:tcBorders>
                    <w:top w:val="nil"/>
                    <w:left w:val="nil"/>
                    <w:bottom w:val="single" w:color="000000" w:sz="8" w:space="0"/>
                    <w:right w:val="single" w:color="000000" w:sz="8" w:space="0"/>
                  </w:tcBorders>
                  <w:shd w:val="clear" w:color="auto" w:fill="auto"/>
                  <w:vAlign w:val="center"/>
                </w:tcPr>
                <w:p w14:paraId="4D0057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手术室（</w:t>
                  </w:r>
                  <w:r>
                    <w:rPr>
                      <w:rFonts w:hint="default" w:ascii="Times New Roman" w:hAnsi="Times New Roman" w:eastAsia="宋体" w:cs="Times New Roman"/>
                      <w:i w:val="0"/>
                      <w:iCs w:val="0"/>
                      <w:color w:val="000000"/>
                      <w:kern w:val="0"/>
                      <w:sz w:val="21"/>
                      <w:szCs w:val="21"/>
                      <w:u w:val="none"/>
                      <w:lang w:val="en-US" w:eastAsia="zh-CN" w:bidi="ar"/>
                    </w:rPr>
                    <w:t>OR09</w:t>
                  </w:r>
                  <w:r>
                    <w:rPr>
                      <w:rFonts w:hint="eastAsia" w:ascii="宋体" w:hAnsi="宋体" w:eastAsia="宋体" w:cs="宋体"/>
                      <w:i w:val="0"/>
                      <w:iCs w:val="0"/>
                      <w:color w:val="000000"/>
                      <w:kern w:val="0"/>
                      <w:sz w:val="21"/>
                      <w:szCs w:val="21"/>
                      <w:u w:val="none"/>
                      <w:lang w:val="en-US" w:eastAsia="zh-CN" w:bidi="ar"/>
                    </w:rPr>
                    <w:t>）</w:t>
                  </w: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521054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心内科医生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1CB94C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265B9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38209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D0431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3643B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31AC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66D8DB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3.83E+00</w:t>
                  </w:r>
                </w:p>
              </w:tc>
            </w:tr>
            <w:tr w14:paraId="5CFE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632279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56DBEA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4540F43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94DD9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D67D3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0647A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28CDB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8192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1.14E-04</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7A94547E">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47EA4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7C1709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3A1EA14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88834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51CB1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15BEA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62AE9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F57E7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90A7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51AE41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4.51E+00</w:t>
                  </w:r>
                </w:p>
              </w:tc>
            </w:tr>
            <w:tr w14:paraId="0114F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94750F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3B35D83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47110F4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5FBEC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4D26B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788AC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ED3236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6993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1.14E-04</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72B29CF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1256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6F451B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38534D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血管外科医生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6AC23C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30251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CBDDA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2D151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E36CF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5CE0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28A651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1.92E+00</w:t>
                  </w:r>
                </w:p>
              </w:tc>
            </w:tr>
            <w:tr w14:paraId="7C95A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50C853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4BB9EB2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3E3DCBE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3EC457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D331C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C359A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59005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E22F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5.88E-05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626C0193">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F7C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4048513">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B11260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F1486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B35E1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43B55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57785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CE3D2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86BC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361D8E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2.26E+00</w:t>
                  </w:r>
                </w:p>
              </w:tc>
            </w:tr>
            <w:tr w14:paraId="270A6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555F65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2FE2B3E">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11D711C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57619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1A2C7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A62C3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7967D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7F65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5.88E-05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4C2CDAB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EAAD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B8FFF0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6AC61C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神经内科医生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13FBE0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7C750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7C88C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3FE39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53A73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24E2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3.19E+00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4BE122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3.19E+00</w:t>
                  </w:r>
                </w:p>
              </w:tc>
            </w:tr>
            <w:tr w14:paraId="72609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9F9858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5196DE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2D78EBB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C1550D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ACF69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CDC08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307A7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246F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9.69E-05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05205EA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E89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45025F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622942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52AD0E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10DFC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67B86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92078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0580B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9E02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3.76E+00</w:t>
                  </w:r>
                </w:p>
              </w:tc>
              <w:tc>
                <w:tcPr>
                  <w:tcW w:w="1073" w:type="dxa"/>
                  <w:vMerge w:val="restart"/>
                  <w:tcBorders>
                    <w:top w:val="single" w:color="000000" w:sz="8" w:space="0"/>
                    <w:left w:val="single" w:color="000000" w:sz="8" w:space="0"/>
                    <w:bottom w:val="single" w:color="000000" w:sz="8" w:space="0"/>
                    <w:right w:val="nil"/>
                  </w:tcBorders>
                  <w:shd w:val="clear" w:color="auto" w:fill="auto"/>
                  <w:vAlign w:val="center"/>
                </w:tcPr>
                <w:p w14:paraId="2D47D4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3.76E+00</w:t>
                  </w:r>
                </w:p>
              </w:tc>
            </w:tr>
            <w:tr w14:paraId="133C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11CF8D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BA981A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6BB1A64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70F96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E80CE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9E1DE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C9D4D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784D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9.69E-05</w:t>
                  </w:r>
                </w:p>
              </w:tc>
              <w:tc>
                <w:tcPr>
                  <w:tcW w:w="1073" w:type="dxa"/>
                  <w:vMerge w:val="continue"/>
                  <w:tcBorders>
                    <w:top w:val="single" w:color="000000" w:sz="8" w:space="0"/>
                    <w:left w:val="single" w:color="000000" w:sz="8" w:space="0"/>
                    <w:bottom w:val="single" w:color="000000" w:sz="8" w:space="0"/>
                    <w:right w:val="nil"/>
                  </w:tcBorders>
                  <w:shd w:val="clear" w:color="auto" w:fill="auto"/>
                  <w:vAlign w:val="center"/>
                </w:tcPr>
                <w:p w14:paraId="4975E64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8738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0B2CCF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141EAF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手术部</w:t>
                  </w: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跟台护士</w:t>
                  </w:r>
                </w:p>
              </w:tc>
              <w:tc>
                <w:tcPr>
                  <w:tcW w:w="1200" w:type="dxa"/>
                  <w:vMerge w:val="restart"/>
                  <w:tcBorders>
                    <w:top w:val="nil"/>
                    <w:left w:val="single" w:color="000000" w:sz="8" w:space="0"/>
                    <w:bottom w:val="single" w:color="000000" w:sz="8" w:space="0"/>
                    <w:right w:val="single" w:color="000000" w:sz="8" w:space="0"/>
                  </w:tcBorders>
                  <w:shd w:val="clear" w:color="auto" w:fill="auto"/>
                  <w:vAlign w:val="center"/>
                </w:tcPr>
                <w:p w14:paraId="162C1D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介入①</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E2F76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232AF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67BD6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116.65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CD99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2.34E+00</w:t>
                  </w:r>
                </w:p>
              </w:tc>
              <w:tc>
                <w:tcPr>
                  <w:tcW w:w="1073" w:type="dxa"/>
                  <w:vMerge w:val="restart"/>
                  <w:tcBorders>
                    <w:top w:val="nil"/>
                    <w:left w:val="single" w:color="000000" w:sz="8" w:space="0"/>
                    <w:bottom w:val="single" w:color="000000" w:sz="8" w:space="0"/>
                    <w:right w:val="nil"/>
                  </w:tcBorders>
                  <w:shd w:val="clear" w:color="auto" w:fill="auto"/>
                  <w:vAlign w:val="center"/>
                </w:tcPr>
                <w:p w14:paraId="65E470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2.34E+00</w:t>
                  </w:r>
                </w:p>
              </w:tc>
            </w:tr>
            <w:tr w14:paraId="4F9FB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9C99DC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33BBD37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vMerge w:val="continue"/>
                  <w:tcBorders>
                    <w:top w:val="nil"/>
                    <w:left w:val="single" w:color="000000" w:sz="8" w:space="0"/>
                    <w:bottom w:val="single" w:color="000000" w:sz="8" w:space="0"/>
                    <w:right w:val="single" w:color="000000" w:sz="8" w:space="0"/>
                  </w:tcBorders>
                  <w:shd w:val="clear" w:color="auto" w:fill="auto"/>
                  <w:vAlign w:val="center"/>
                </w:tcPr>
                <w:p w14:paraId="46B00D80">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CB1A7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00A35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1.83E-05</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C445A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116.65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1BB3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2.13E-06</w:t>
                  </w:r>
                </w:p>
              </w:tc>
              <w:tc>
                <w:tcPr>
                  <w:tcW w:w="1073" w:type="dxa"/>
                  <w:vMerge w:val="continue"/>
                  <w:tcBorders>
                    <w:top w:val="nil"/>
                    <w:left w:val="single" w:color="000000" w:sz="8" w:space="0"/>
                    <w:bottom w:val="single" w:color="000000" w:sz="8" w:space="0"/>
                    <w:right w:val="nil"/>
                  </w:tcBorders>
                  <w:shd w:val="clear" w:color="auto" w:fill="auto"/>
                  <w:vAlign w:val="center"/>
                </w:tcPr>
                <w:p w14:paraId="55443AB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588E0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01155C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78F0FFE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40C5F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3FCBB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5ABD1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266F8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96A0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2.70E-04</w:t>
                  </w:r>
                </w:p>
              </w:tc>
              <w:tc>
                <w:tcPr>
                  <w:tcW w:w="1073" w:type="dxa"/>
                  <w:vMerge w:val="continue"/>
                  <w:tcBorders>
                    <w:top w:val="nil"/>
                    <w:left w:val="single" w:color="000000" w:sz="8" w:space="0"/>
                    <w:bottom w:val="single" w:color="000000" w:sz="8" w:space="0"/>
                    <w:right w:val="nil"/>
                  </w:tcBorders>
                  <w:shd w:val="clear" w:color="auto" w:fill="auto"/>
                  <w:vAlign w:val="center"/>
                </w:tcPr>
                <w:p w14:paraId="0ECDEB9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DF3E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D487CA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406A15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手术部</w:t>
                  </w: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操作技师</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384ADF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3A294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DE4F4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1.83E-05</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74B67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4470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4.27E-06</w:t>
                  </w:r>
                </w:p>
              </w:tc>
              <w:tc>
                <w:tcPr>
                  <w:tcW w:w="1073" w:type="dxa"/>
                  <w:vMerge w:val="restart"/>
                  <w:tcBorders>
                    <w:top w:val="nil"/>
                    <w:left w:val="single" w:color="000000" w:sz="8" w:space="0"/>
                    <w:bottom w:val="single" w:color="000000" w:sz="8" w:space="0"/>
                    <w:right w:val="nil"/>
                  </w:tcBorders>
                  <w:shd w:val="clear" w:color="auto" w:fill="auto"/>
                  <w:vAlign w:val="center"/>
                </w:tcPr>
                <w:p w14:paraId="06B9B8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2.74E-04</w:t>
                  </w:r>
                </w:p>
              </w:tc>
            </w:tr>
            <w:tr w14:paraId="3F63D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D3994C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3C61993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53549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28FF4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7D1FE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E97B3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499A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2.70E-04</w:t>
                  </w:r>
                </w:p>
              </w:tc>
              <w:tc>
                <w:tcPr>
                  <w:tcW w:w="1073" w:type="dxa"/>
                  <w:vMerge w:val="continue"/>
                  <w:tcBorders>
                    <w:top w:val="nil"/>
                    <w:left w:val="single" w:color="000000" w:sz="8" w:space="0"/>
                    <w:bottom w:val="single" w:color="000000" w:sz="8" w:space="0"/>
                    <w:right w:val="nil"/>
                  </w:tcBorders>
                  <w:shd w:val="clear" w:color="auto" w:fill="auto"/>
                  <w:vAlign w:val="center"/>
                </w:tcPr>
                <w:p w14:paraId="75BA706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4055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restart"/>
                  <w:tcBorders>
                    <w:top w:val="nil"/>
                    <w:left w:val="nil"/>
                    <w:bottom w:val="single" w:color="000000" w:sz="8" w:space="0"/>
                    <w:right w:val="single" w:color="000000" w:sz="8" w:space="0"/>
                  </w:tcBorders>
                  <w:shd w:val="clear" w:color="auto" w:fill="auto"/>
                  <w:vAlign w:val="center"/>
                </w:tcPr>
                <w:p w14:paraId="13BFDA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手术室（</w:t>
                  </w:r>
                  <w:r>
                    <w:rPr>
                      <w:rFonts w:hint="default" w:ascii="Times New Roman" w:hAnsi="Times New Roman" w:eastAsia="宋体" w:cs="Times New Roman"/>
                      <w:i w:val="0"/>
                      <w:iCs w:val="0"/>
                      <w:color w:val="000000"/>
                      <w:kern w:val="0"/>
                      <w:sz w:val="21"/>
                      <w:szCs w:val="21"/>
                      <w:u w:val="none"/>
                      <w:lang w:val="en-US" w:eastAsia="zh-CN" w:bidi="ar"/>
                    </w:rPr>
                    <w:t>OR10</w:t>
                  </w:r>
                  <w:r>
                    <w:rPr>
                      <w:rFonts w:hint="eastAsia" w:ascii="宋体" w:hAnsi="宋体" w:eastAsia="宋体" w:cs="宋体"/>
                      <w:i w:val="0"/>
                      <w:iCs w:val="0"/>
                      <w:color w:val="000000"/>
                      <w:kern w:val="0"/>
                      <w:sz w:val="21"/>
                      <w:szCs w:val="21"/>
                      <w:u w:val="none"/>
                      <w:lang w:val="en-US" w:eastAsia="zh-CN" w:bidi="ar"/>
                    </w:rPr>
                    <w:t>）</w:t>
                  </w: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53728C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肝胆外科医生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2D1EC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C7507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D6F8F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BE32D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6635D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2FDC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9.58E-01</w:t>
                  </w:r>
                </w:p>
              </w:tc>
              <w:tc>
                <w:tcPr>
                  <w:tcW w:w="1073" w:type="dxa"/>
                  <w:vMerge w:val="restart"/>
                  <w:tcBorders>
                    <w:top w:val="nil"/>
                    <w:left w:val="single" w:color="000000" w:sz="8" w:space="0"/>
                    <w:bottom w:val="single" w:color="000000" w:sz="8" w:space="0"/>
                    <w:right w:val="nil"/>
                  </w:tcBorders>
                  <w:shd w:val="clear" w:color="auto" w:fill="auto"/>
                  <w:vAlign w:val="center"/>
                </w:tcPr>
                <w:p w14:paraId="11D41F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9.58E-01</w:t>
                  </w:r>
                </w:p>
              </w:tc>
            </w:tr>
            <w:tr w14:paraId="6CC0C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9C62CD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26D2F8E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61C058F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68B79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1DF97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C82BA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E6E59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900C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2.77E-05</w:t>
                  </w:r>
                </w:p>
              </w:tc>
              <w:tc>
                <w:tcPr>
                  <w:tcW w:w="1073" w:type="dxa"/>
                  <w:vMerge w:val="continue"/>
                  <w:tcBorders>
                    <w:top w:val="nil"/>
                    <w:left w:val="single" w:color="000000" w:sz="8" w:space="0"/>
                    <w:bottom w:val="single" w:color="000000" w:sz="8" w:space="0"/>
                    <w:right w:val="nil"/>
                  </w:tcBorders>
                  <w:shd w:val="clear" w:color="auto" w:fill="auto"/>
                  <w:vAlign w:val="center"/>
                </w:tcPr>
                <w:p w14:paraId="4D587FC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695D7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B7F58C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2718ED76">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E33D1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69304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DEED1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1946C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2E91C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1082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1.13E+00</w:t>
                  </w:r>
                </w:p>
              </w:tc>
              <w:tc>
                <w:tcPr>
                  <w:tcW w:w="1073" w:type="dxa"/>
                  <w:vMerge w:val="restart"/>
                  <w:tcBorders>
                    <w:top w:val="nil"/>
                    <w:left w:val="single" w:color="000000" w:sz="8" w:space="0"/>
                    <w:bottom w:val="single" w:color="000000" w:sz="8" w:space="0"/>
                    <w:right w:val="nil"/>
                  </w:tcBorders>
                  <w:shd w:val="clear" w:color="auto" w:fill="auto"/>
                  <w:vAlign w:val="center"/>
                </w:tcPr>
                <w:p w14:paraId="31DDCF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1.13E+00</w:t>
                  </w:r>
                </w:p>
              </w:tc>
            </w:tr>
            <w:tr w14:paraId="6862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5F8AD0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689E976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3F4F177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334EC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6DE3D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5A06B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AF287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8D0D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2.77E-05</w:t>
                  </w:r>
                </w:p>
              </w:tc>
              <w:tc>
                <w:tcPr>
                  <w:tcW w:w="1073" w:type="dxa"/>
                  <w:vMerge w:val="continue"/>
                  <w:tcBorders>
                    <w:top w:val="nil"/>
                    <w:left w:val="single" w:color="000000" w:sz="8" w:space="0"/>
                    <w:bottom w:val="single" w:color="000000" w:sz="8" w:space="0"/>
                    <w:right w:val="nil"/>
                  </w:tcBorders>
                  <w:shd w:val="clear" w:color="auto" w:fill="auto"/>
                  <w:vAlign w:val="center"/>
                </w:tcPr>
                <w:p w14:paraId="4CC49E6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167DF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34A551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1CEC7D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呼吸内科医生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43AB56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9313F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0430E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71EB6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96B21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2419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9.58E-01</w:t>
                  </w:r>
                </w:p>
              </w:tc>
              <w:tc>
                <w:tcPr>
                  <w:tcW w:w="1073" w:type="dxa"/>
                  <w:vMerge w:val="restart"/>
                  <w:tcBorders>
                    <w:top w:val="nil"/>
                    <w:left w:val="single" w:color="000000" w:sz="8" w:space="0"/>
                    <w:bottom w:val="single" w:color="000000" w:sz="8" w:space="0"/>
                    <w:right w:val="nil"/>
                  </w:tcBorders>
                  <w:shd w:val="clear" w:color="auto" w:fill="auto"/>
                  <w:vAlign w:val="center"/>
                </w:tcPr>
                <w:p w14:paraId="3C0812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9.58E-01</w:t>
                  </w:r>
                </w:p>
              </w:tc>
            </w:tr>
            <w:tr w14:paraId="4EEAF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E22169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248FAC7E">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588F399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7E05C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3B391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CEA3A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9A1CC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BACD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2.77E-05</w:t>
                  </w:r>
                </w:p>
              </w:tc>
              <w:tc>
                <w:tcPr>
                  <w:tcW w:w="1073" w:type="dxa"/>
                  <w:vMerge w:val="continue"/>
                  <w:tcBorders>
                    <w:top w:val="nil"/>
                    <w:left w:val="single" w:color="000000" w:sz="8" w:space="0"/>
                    <w:bottom w:val="single" w:color="000000" w:sz="8" w:space="0"/>
                    <w:right w:val="nil"/>
                  </w:tcBorders>
                  <w:shd w:val="clear" w:color="auto" w:fill="auto"/>
                  <w:vAlign w:val="center"/>
                </w:tcPr>
                <w:p w14:paraId="58CEDFB8">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B30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7BFFA7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669BA30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2A469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297A1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AD8A8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7332B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56F20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CF7F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1.13E+00</w:t>
                  </w:r>
                </w:p>
              </w:tc>
              <w:tc>
                <w:tcPr>
                  <w:tcW w:w="1073" w:type="dxa"/>
                  <w:vMerge w:val="restart"/>
                  <w:tcBorders>
                    <w:top w:val="nil"/>
                    <w:left w:val="single" w:color="000000" w:sz="8" w:space="0"/>
                    <w:bottom w:val="single" w:color="000000" w:sz="8" w:space="0"/>
                    <w:right w:val="nil"/>
                  </w:tcBorders>
                  <w:shd w:val="clear" w:color="auto" w:fill="auto"/>
                  <w:vAlign w:val="center"/>
                </w:tcPr>
                <w:p w14:paraId="20A6B7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1.13E+00</w:t>
                  </w:r>
                </w:p>
              </w:tc>
            </w:tr>
            <w:tr w14:paraId="2FA6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A2A42A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5E7C2F7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2D68F3F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28C94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5D621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3E9E2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D733B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9C49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2.77E-05</w:t>
                  </w:r>
                </w:p>
              </w:tc>
              <w:tc>
                <w:tcPr>
                  <w:tcW w:w="1073" w:type="dxa"/>
                  <w:vMerge w:val="continue"/>
                  <w:tcBorders>
                    <w:top w:val="nil"/>
                    <w:left w:val="single" w:color="000000" w:sz="8" w:space="0"/>
                    <w:bottom w:val="single" w:color="000000" w:sz="8" w:space="0"/>
                    <w:right w:val="nil"/>
                  </w:tcBorders>
                  <w:shd w:val="clear" w:color="auto" w:fill="auto"/>
                  <w:vAlign w:val="center"/>
                </w:tcPr>
                <w:p w14:paraId="79979D3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8130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0F0AF7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449A08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血管外科医生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5D06E1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E099A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15760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2734A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352F9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2643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3.19E+00</w:t>
                  </w:r>
                </w:p>
              </w:tc>
              <w:tc>
                <w:tcPr>
                  <w:tcW w:w="1073" w:type="dxa"/>
                  <w:vMerge w:val="restart"/>
                  <w:tcBorders>
                    <w:top w:val="nil"/>
                    <w:left w:val="single" w:color="000000" w:sz="8" w:space="0"/>
                    <w:bottom w:val="single" w:color="000000" w:sz="8" w:space="0"/>
                    <w:right w:val="nil"/>
                  </w:tcBorders>
                  <w:shd w:val="clear" w:color="auto" w:fill="auto"/>
                  <w:vAlign w:val="center"/>
                </w:tcPr>
                <w:p w14:paraId="7EB77B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3.19E+00</w:t>
                  </w:r>
                </w:p>
              </w:tc>
            </w:tr>
            <w:tr w14:paraId="0C6D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43B83C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7FC931D9">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4C8D153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71393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9538A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B0A23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5EFAF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0A7A5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9.69E-05</w:t>
                  </w:r>
                </w:p>
              </w:tc>
              <w:tc>
                <w:tcPr>
                  <w:tcW w:w="1073" w:type="dxa"/>
                  <w:vMerge w:val="continue"/>
                  <w:tcBorders>
                    <w:top w:val="nil"/>
                    <w:left w:val="single" w:color="000000" w:sz="8" w:space="0"/>
                    <w:bottom w:val="single" w:color="000000" w:sz="8" w:space="0"/>
                    <w:right w:val="nil"/>
                  </w:tcBorders>
                  <w:shd w:val="clear" w:color="auto" w:fill="auto"/>
                  <w:vAlign w:val="center"/>
                </w:tcPr>
                <w:p w14:paraId="5012EB0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437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6ECB45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D2A482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5B3AD0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1A64F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DAE8A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BB446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BC732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B992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3.76E+00</w:t>
                  </w:r>
                </w:p>
              </w:tc>
              <w:tc>
                <w:tcPr>
                  <w:tcW w:w="1073" w:type="dxa"/>
                  <w:vMerge w:val="restart"/>
                  <w:tcBorders>
                    <w:top w:val="nil"/>
                    <w:left w:val="single" w:color="000000" w:sz="8" w:space="0"/>
                    <w:bottom w:val="single" w:color="000000" w:sz="8" w:space="0"/>
                    <w:right w:val="nil"/>
                  </w:tcBorders>
                  <w:shd w:val="clear" w:color="auto" w:fill="auto"/>
                  <w:vAlign w:val="center"/>
                </w:tcPr>
                <w:p w14:paraId="568D0B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3.76E+00</w:t>
                  </w:r>
                </w:p>
              </w:tc>
            </w:tr>
            <w:tr w14:paraId="1C3C5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559284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3FD3FE5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228D304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E7A05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2FBB0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168E9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20D29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50A2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9.69E-05</w:t>
                  </w:r>
                </w:p>
              </w:tc>
              <w:tc>
                <w:tcPr>
                  <w:tcW w:w="1073" w:type="dxa"/>
                  <w:vMerge w:val="continue"/>
                  <w:tcBorders>
                    <w:top w:val="nil"/>
                    <w:left w:val="single" w:color="000000" w:sz="8" w:space="0"/>
                    <w:bottom w:val="single" w:color="000000" w:sz="8" w:space="0"/>
                    <w:right w:val="nil"/>
                  </w:tcBorders>
                  <w:shd w:val="clear" w:color="auto" w:fill="auto"/>
                  <w:vAlign w:val="center"/>
                </w:tcPr>
                <w:p w14:paraId="013F661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E8D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E01D93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44D64E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手术部</w:t>
                  </w: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跟台护士</w:t>
                  </w:r>
                </w:p>
              </w:tc>
              <w:tc>
                <w:tcPr>
                  <w:tcW w:w="1200" w:type="dxa"/>
                  <w:vMerge w:val="restart"/>
                  <w:tcBorders>
                    <w:top w:val="nil"/>
                    <w:left w:val="single" w:color="000000" w:sz="8" w:space="0"/>
                    <w:bottom w:val="single" w:color="000000" w:sz="8" w:space="0"/>
                    <w:right w:val="single" w:color="000000" w:sz="8" w:space="0"/>
                  </w:tcBorders>
                  <w:shd w:val="clear" w:color="auto" w:fill="auto"/>
                  <w:vAlign w:val="center"/>
                </w:tcPr>
                <w:p w14:paraId="576512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介入①</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25E6D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BFF07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F26FF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66.65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EC32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1.34E+00</w:t>
                  </w:r>
                </w:p>
              </w:tc>
              <w:tc>
                <w:tcPr>
                  <w:tcW w:w="1073" w:type="dxa"/>
                  <w:vMerge w:val="restart"/>
                  <w:tcBorders>
                    <w:top w:val="nil"/>
                    <w:left w:val="single" w:color="000000" w:sz="8" w:space="0"/>
                    <w:bottom w:val="single" w:color="000000" w:sz="8" w:space="0"/>
                    <w:right w:val="nil"/>
                  </w:tcBorders>
                  <w:shd w:val="clear" w:color="auto" w:fill="auto"/>
                  <w:vAlign w:val="center"/>
                </w:tcPr>
                <w:p w14:paraId="6C4F02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1.34E+00</w:t>
                  </w:r>
                </w:p>
              </w:tc>
            </w:tr>
            <w:tr w14:paraId="4676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ED6C7D3">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032CF83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vMerge w:val="continue"/>
                  <w:tcBorders>
                    <w:top w:val="nil"/>
                    <w:left w:val="single" w:color="000000" w:sz="8" w:space="0"/>
                    <w:bottom w:val="single" w:color="000000" w:sz="8" w:space="0"/>
                    <w:right w:val="single" w:color="000000" w:sz="8" w:space="0"/>
                  </w:tcBorders>
                  <w:shd w:val="clear" w:color="auto" w:fill="auto"/>
                  <w:vAlign w:val="center"/>
                </w:tcPr>
                <w:p w14:paraId="52E4CD4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B9302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FA6BA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1.83E-05</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321C5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66.65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BCC2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1.22E-06</w:t>
                  </w:r>
                </w:p>
              </w:tc>
              <w:tc>
                <w:tcPr>
                  <w:tcW w:w="1073" w:type="dxa"/>
                  <w:vMerge w:val="continue"/>
                  <w:tcBorders>
                    <w:top w:val="nil"/>
                    <w:left w:val="single" w:color="000000" w:sz="8" w:space="0"/>
                    <w:bottom w:val="single" w:color="000000" w:sz="8" w:space="0"/>
                    <w:right w:val="nil"/>
                  </w:tcBorders>
                  <w:shd w:val="clear" w:color="auto" w:fill="auto"/>
                  <w:vAlign w:val="center"/>
                </w:tcPr>
                <w:p w14:paraId="7E6669C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FBFE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C5FC36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44A9C761">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1B825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74FD5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522A0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94469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252F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1.52E-04</w:t>
                  </w:r>
                </w:p>
              </w:tc>
              <w:tc>
                <w:tcPr>
                  <w:tcW w:w="1073" w:type="dxa"/>
                  <w:vMerge w:val="continue"/>
                  <w:tcBorders>
                    <w:top w:val="nil"/>
                    <w:left w:val="single" w:color="000000" w:sz="8" w:space="0"/>
                    <w:bottom w:val="single" w:color="000000" w:sz="8" w:space="0"/>
                    <w:right w:val="nil"/>
                  </w:tcBorders>
                  <w:shd w:val="clear" w:color="auto" w:fill="auto"/>
                  <w:vAlign w:val="center"/>
                </w:tcPr>
                <w:p w14:paraId="03A4BE37">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3D1F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CDF671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47D3EE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手术部</w:t>
                  </w: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操作技师</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76A12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8A85A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FF156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1.83E-05</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C753B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B8A3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2.44E-06</w:t>
                  </w:r>
                </w:p>
              </w:tc>
              <w:tc>
                <w:tcPr>
                  <w:tcW w:w="1073" w:type="dxa"/>
                  <w:vMerge w:val="restart"/>
                  <w:tcBorders>
                    <w:top w:val="nil"/>
                    <w:left w:val="single" w:color="000000" w:sz="8" w:space="0"/>
                    <w:bottom w:val="single" w:color="000000" w:sz="8" w:space="0"/>
                    <w:right w:val="nil"/>
                  </w:tcBorders>
                  <w:shd w:val="clear" w:color="auto" w:fill="auto"/>
                  <w:vAlign w:val="center"/>
                </w:tcPr>
                <w:p w14:paraId="5C6525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1.55E-04</w:t>
                  </w:r>
                </w:p>
              </w:tc>
            </w:tr>
            <w:tr w14:paraId="25AD4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1FA65B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13E4BE4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3EE52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A34BD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控制室③</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15773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34B88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CC57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1.52E-04</w:t>
                  </w:r>
                </w:p>
              </w:tc>
              <w:tc>
                <w:tcPr>
                  <w:tcW w:w="1073" w:type="dxa"/>
                  <w:vMerge w:val="continue"/>
                  <w:tcBorders>
                    <w:top w:val="nil"/>
                    <w:left w:val="single" w:color="000000" w:sz="8" w:space="0"/>
                    <w:bottom w:val="single" w:color="000000" w:sz="8" w:space="0"/>
                    <w:right w:val="nil"/>
                  </w:tcBorders>
                  <w:shd w:val="clear" w:color="auto" w:fill="auto"/>
                  <w:vAlign w:val="center"/>
                </w:tcPr>
                <w:p w14:paraId="44DB1B4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2C3D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647" w:type="dxa"/>
                  <w:vMerge w:val="restart"/>
                  <w:tcBorders>
                    <w:top w:val="nil"/>
                    <w:left w:val="nil"/>
                    <w:bottom w:val="single" w:color="000000" w:sz="8" w:space="0"/>
                    <w:right w:val="single" w:color="000000" w:sz="8" w:space="0"/>
                  </w:tcBorders>
                  <w:shd w:val="clear" w:color="auto" w:fill="auto"/>
                  <w:vAlign w:val="center"/>
                </w:tcPr>
                <w:p w14:paraId="6B69D0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手术室（</w:t>
                  </w:r>
                  <w:r>
                    <w:rPr>
                      <w:rFonts w:hint="default" w:ascii="Times New Roman" w:hAnsi="Times New Roman" w:eastAsia="宋体" w:cs="Times New Roman"/>
                      <w:i w:val="0"/>
                      <w:iCs w:val="0"/>
                      <w:color w:val="000000"/>
                      <w:kern w:val="0"/>
                      <w:sz w:val="21"/>
                      <w:szCs w:val="21"/>
                      <w:u w:val="none"/>
                      <w:lang w:val="en-US" w:eastAsia="zh-CN" w:bidi="ar"/>
                    </w:rPr>
                    <w:t>OR11</w:t>
                  </w:r>
                  <w:r>
                    <w:rPr>
                      <w:rFonts w:hint="eastAsia" w:ascii="宋体" w:hAnsi="宋体" w:eastAsia="宋体" w:cs="宋体"/>
                      <w:i w:val="0"/>
                      <w:iCs w:val="0"/>
                      <w:color w:val="000000"/>
                      <w:kern w:val="0"/>
                      <w:sz w:val="21"/>
                      <w:szCs w:val="21"/>
                      <w:u w:val="none"/>
                      <w:lang w:val="en-US" w:eastAsia="zh-CN" w:bidi="ar"/>
                    </w:rPr>
                    <w:t>）</w:t>
                  </w: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7CC8B4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泌尿外科医生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434A47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4F95D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AAB90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3D38F2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2D50C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39F7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1.92E+00</w:t>
                  </w:r>
                </w:p>
              </w:tc>
              <w:tc>
                <w:tcPr>
                  <w:tcW w:w="1073" w:type="dxa"/>
                  <w:vMerge w:val="restart"/>
                  <w:tcBorders>
                    <w:top w:val="nil"/>
                    <w:left w:val="single" w:color="000000" w:sz="8" w:space="0"/>
                    <w:bottom w:val="single" w:color="000000" w:sz="8" w:space="0"/>
                    <w:right w:val="nil"/>
                  </w:tcBorders>
                  <w:shd w:val="clear" w:color="auto" w:fill="auto"/>
                  <w:vAlign w:val="center"/>
                </w:tcPr>
                <w:p w14:paraId="072FEB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1.92E+00</w:t>
                  </w:r>
                </w:p>
              </w:tc>
            </w:tr>
            <w:tr w14:paraId="5D1C1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97183A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5A71CAA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10D4667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0F515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E179A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B3C99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9379C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C9B0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3.18E-05</w:t>
                  </w:r>
                </w:p>
              </w:tc>
              <w:tc>
                <w:tcPr>
                  <w:tcW w:w="1073" w:type="dxa"/>
                  <w:vMerge w:val="continue"/>
                  <w:tcBorders>
                    <w:top w:val="nil"/>
                    <w:left w:val="single" w:color="000000" w:sz="8" w:space="0"/>
                    <w:bottom w:val="single" w:color="000000" w:sz="8" w:space="0"/>
                    <w:right w:val="nil"/>
                  </w:tcBorders>
                  <w:shd w:val="clear" w:color="auto" w:fill="auto"/>
                  <w:vAlign w:val="center"/>
                </w:tcPr>
                <w:p w14:paraId="4F0D492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2E93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B6F7E23">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4B539C7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20121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48B22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5A05A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5E98E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1C9B2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2E8D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2.26E+00</w:t>
                  </w:r>
                </w:p>
              </w:tc>
              <w:tc>
                <w:tcPr>
                  <w:tcW w:w="1073" w:type="dxa"/>
                  <w:vMerge w:val="restart"/>
                  <w:tcBorders>
                    <w:top w:val="nil"/>
                    <w:left w:val="single" w:color="000000" w:sz="8" w:space="0"/>
                    <w:bottom w:val="single" w:color="000000" w:sz="8" w:space="0"/>
                    <w:right w:val="nil"/>
                  </w:tcBorders>
                  <w:shd w:val="clear" w:color="auto" w:fill="auto"/>
                  <w:vAlign w:val="center"/>
                </w:tcPr>
                <w:p w14:paraId="113177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2.26E+00</w:t>
                  </w:r>
                </w:p>
              </w:tc>
            </w:tr>
            <w:tr w14:paraId="7C2A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2BF91A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59D058B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512D9BDF">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29423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45D01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0722E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1CB2F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A8E44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3.18E-05</w:t>
                  </w:r>
                </w:p>
              </w:tc>
              <w:tc>
                <w:tcPr>
                  <w:tcW w:w="1073" w:type="dxa"/>
                  <w:vMerge w:val="continue"/>
                  <w:tcBorders>
                    <w:top w:val="nil"/>
                    <w:left w:val="single" w:color="000000" w:sz="8" w:space="0"/>
                    <w:bottom w:val="single" w:color="000000" w:sz="8" w:space="0"/>
                    <w:right w:val="nil"/>
                  </w:tcBorders>
                  <w:shd w:val="clear" w:color="auto" w:fill="auto"/>
                  <w:vAlign w:val="center"/>
                </w:tcPr>
                <w:p w14:paraId="1BB885AB">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89F2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745E28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4501B9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神经外科医生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4D1A19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6D8CB6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FEEDF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7512D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B9574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C1D8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1.28E+00</w:t>
                  </w:r>
                </w:p>
              </w:tc>
              <w:tc>
                <w:tcPr>
                  <w:tcW w:w="1073" w:type="dxa"/>
                  <w:vMerge w:val="restart"/>
                  <w:tcBorders>
                    <w:top w:val="nil"/>
                    <w:left w:val="single" w:color="000000" w:sz="8" w:space="0"/>
                    <w:bottom w:val="single" w:color="000000" w:sz="8" w:space="0"/>
                    <w:right w:val="nil"/>
                  </w:tcBorders>
                  <w:shd w:val="clear" w:color="auto" w:fill="auto"/>
                  <w:vAlign w:val="center"/>
                </w:tcPr>
                <w:p w14:paraId="28F67A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1.28E+00</w:t>
                  </w:r>
                </w:p>
              </w:tc>
            </w:tr>
            <w:tr w14:paraId="711E7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420F30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384C6C4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02D8E5D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3BF254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E5275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A85EA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F4FCD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625B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2.06E-05</w:t>
                  </w:r>
                </w:p>
              </w:tc>
              <w:tc>
                <w:tcPr>
                  <w:tcW w:w="1073" w:type="dxa"/>
                  <w:vMerge w:val="continue"/>
                  <w:tcBorders>
                    <w:top w:val="nil"/>
                    <w:left w:val="single" w:color="000000" w:sz="8" w:space="0"/>
                    <w:bottom w:val="single" w:color="000000" w:sz="8" w:space="0"/>
                    <w:right w:val="nil"/>
                  </w:tcBorders>
                  <w:shd w:val="clear" w:color="auto" w:fill="auto"/>
                  <w:vAlign w:val="center"/>
                </w:tcPr>
                <w:p w14:paraId="5F73A6E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B00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640B64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437ED99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2F887F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20D62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2CFFC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FEFB3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3CF86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3D5A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1.50E+00</w:t>
                  </w:r>
                </w:p>
              </w:tc>
              <w:tc>
                <w:tcPr>
                  <w:tcW w:w="1073" w:type="dxa"/>
                  <w:vMerge w:val="restart"/>
                  <w:tcBorders>
                    <w:top w:val="nil"/>
                    <w:left w:val="single" w:color="000000" w:sz="8" w:space="0"/>
                    <w:bottom w:val="single" w:color="000000" w:sz="8" w:space="0"/>
                    <w:right w:val="nil"/>
                  </w:tcBorders>
                  <w:shd w:val="clear" w:color="auto" w:fill="auto"/>
                  <w:vAlign w:val="center"/>
                </w:tcPr>
                <w:p w14:paraId="09C2FC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1.50E+00</w:t>
                  </w:r>
                </w:p>
              </w:tc>
            </w:tr>
            <w:tr w14:paraId="1D64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F7D6C8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D7EA2F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0296610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E126F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184F43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7000A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83E72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E427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2.06E-05</w:t>
                  </w:r>
                </w:p>
              </w:tc>
              <w:tc>
                <w:tcPr>
                  <w:tcW w:w="1073" w:type="dxa"/>
                  <w:vMerge w:val="continue"/>
                  <w:tcBorders>
                    <w:top w:val="nil"/>
                    <w:left w:val="single" w:color="000000" w:sz="8" w:space="0"/>
                    <w:bottom w:val="single" w:color="000000" w:sz="8" w:space="0"/>
                    <w:right w:val="nil"/>
                  </w:tcBorders>
                  <w:shd w:val="clear" w:color="auto" w:fill="auto"/>
                  <w:vAlign w:val="center"/>
                </w:tcPr>
                <w:p w14:paraId="14C76C1B">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D1E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1BAE47E">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6E0632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肿瘤科医生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1EADDD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77DD6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F82CC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10B7D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0EA7B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09886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3.83E+00</w:t>
                  </w:r>
                </w:p>
              </w:tc>
              <w:tc>
                <w:tcPr>
                  <w:tcW w:w="1073" w:type="dxa"/>
                  <w:vMerge w:val="restart"/>
                  <w:tcBorders>
                    <w:top w:val="nil"/>
                    <w:left w:val="single" w:color="000000" w:sz="8" w:space="0"/>
                    <w:bottom w:val="single" w:color="000000" w:sz="8" w:space="0"/>
                    <w:right w:val="nil"/>
                  </w:tcBorders>
                  <w:shd w:val="clear" w:color="auto" w:fill="auto"/>
                  <w:vAlign w:val="center"/>
                </w:tcPr>
                <w:p w14:paraId="1F9A1B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3.83E+00</w:t>
                  </w:r>
                </w:p>
              </w:tc>
            </w:tr>
            <w:tr w14:paraId="609D9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DB2BB9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B030B0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6015DA5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23245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2364C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9B058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12F20E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265D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6.17E-05</w:t>
                  </w:r>
                </w:p>
              </w:tc>
              <w:tc>
                <w:tcPr>
                  <w:tcW w:w="1073" w:type="dxa"/>
                  <w:vMerge w:val="continue"/>
                  <w:tcBorders>
                    <w:top w:val="nil"/>
                    <w:left w:val="single" w:color="000000" w:sz="8" w:space="0"/>
                    <w:bottom w:val="single" w:color="000000" w:sz="8" w:space="0"/>
                    <w:right w:val="nil"/>
                  </w:tcBorders>
                  <w:shd w:val="clear" w:color="auto" w:fill="auto"/>
                  <w:vAlign w:val="center"/>
                </w:tcPr>
                <w:p w14:paraId="06FBA86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40753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B395A6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118CC61E">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594660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60329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02946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5A29E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12847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2A6C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4.51E+00</w:t>
                  </w:r>
                </w:p>
              </w:tc>
              <w:tc>
                <w:tcPr>
                  <w:tcW w:w="1073" w:type="dxa"/>
                  <w:vMerge w:val="restart"/>
                  <w:tcBorders>
                    <w:top w:val="nil"/>
                    <w:left w:val="single" w:color="000000" w:sz="8" w:space="0"/>
                    <w:bottom w:val="single" w:color="000000" w:sz="8" w:space="0"/>
                    <w:right w:val="nil"/>
                  </w:tcBorders>
                  <w:shd w:val="clear" w:color="auto" w:fill="auto"/>
                  <w:vAlign w:val="center"/>
                </w:tcPr>
                <w:p w14:paraId="59F008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4.51E+00</w:t>
                  </w:r>
                </w:p>
              </w:tc>
            </w:tr>
            <w:tr w14:paraId="43FE1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4F3E439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79C8D0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1C1BE8B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FEDC3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480AE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EB465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678C3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6E0B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6.17E-05</w:t>
                  </w:r>
                </w:p>
              </w:tc>
              <w:tc>
                <w:tcPr>
                  <w:tcW w:w="1073" w:type="dxa"/>
                  <w:vMerge w:val="continue"/>
                  <w:tcBorders>
                    <w:top w:val="nil"/>
                    <w:left w:val="single" w:color="000000" w:sz="8" w:space="0"/>
                    <w:bottom w:val="single" w:color="000000" w:sz="8" w:space="0"/>
                    <w:right w:val="nil"/>
                  </w:tcBorders>
                  <w:shd w:val="clear" w:color="auto" w:fill="auto"/>
                  <w:vAlign w:val="center"/>
                </w:tcPr>
                <w:p w14:paraId="02CAC2E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53FD2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BEA59C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2EC33D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手术部</w:t>
                  </w: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跟台护士</w:t>
                  </w:r>
                </w:p>
              </w:tc>
              <w:tc>
                <w:tcPr>
                  <w:tcW w:w="1200" w:type="dxa"/>
                  <w:vMerge w:val="restart"/>
                  <w:tcBorders>
                    <w:top w:val="nil"/>
                    <w:left w:val="single" w:color="000000" w:sz="8" w:space="0"/>
                    <w:bottom w:val="single" w:color="000000" w:sz="8" w:space="0"/>
                    <w:right w:val="single" w:color="000000" w:sz="8" w:space="0"/>
                  </w:tcBorders>
                  <w:shd w:val="clear" w:color="auto" w:fill="auto"/>
                  <w:vAlign w:val="center"/>
                </w:tcPr>
                <w:p w14:paraId="79B782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介入①</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AEBD26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89EB9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354319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91.65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69AD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1.84E+00</w:t>
                  </w:r>
                </w:p>
              </w:tc>
              <w:tc>
                <w:tcPr>
                  <w:tcW w:w="1073" w:type="dxa"/>
                  <w:vMerge w:val="restart"/>
                  <w:tcBorders>
                    <w:top w:val="nil"/>
                    <w:left w:val="single" w:color="000000" w:sz="8" w:space="0"/>
                    <w:bottom w:val="single" w:color="000000" w:sz="8" w:space="0"/>
                    <w:right w:val="nil"/>
                  </w:tcBorders>
                  <w:shd w:val="clear" w:color="auto" w:fill="auto"/>
                  <w:vAlign w:val="center"/>
                </w:tcPr>
                <w:p w14:paraId="28A7A0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1.84E+00</w:t>
                  </w:r>
                </w:p>
              </w:tc>
            </w:tr>
            <w:tr w14:paraId="63A4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EB3EE2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30306EB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vMerge w:val="continue"/>
                  <w:tcBorders>
                    <w:top w:val="nil"/>
                    <w:left w:val="single" w:color="000000" w:sz="8" w:space="0"/>
                    <w:bottom w:val="single" w:color="000000" w:sz="8" w:space="0"/>
                    <w:right w:val="single" w:color="000000" w:sz="8" w:space="0"/>
                  </w:tcBorders>
                  <w:shd w:val="clear" w:color="auto" w:fill="auto"/>
                  <w:vAlign w:val="center"/>
                </w:tcPr>
                <w:p w14:paraId="1203FDC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B300B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5EC253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9.90E-06</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37414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91.65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F3DA5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9.07E-07</w:t>
                  </w:r>
                </w:p>
              </w:tc>
              <w:tc>
                <w:tcPr>
                  <w:tcW w:w="1073" w:type="dxa"/>
                  <w:vMerge w:val="continue"/>
                  <w:tcBorders>
                    <w:top w:val="nil"/>
                    <w:left w:val="single" w:color="000000" w:sz="8" w:space="0"/>
                    <w:bottom w:val="single" w:color="000000" w:sz="8" w:space="0"/>
                    <w:right w:val="nil"/>
                  </w:tcBorders>
                  <w:shd w:val="clear" w:color="auto" w:fill="auto"/>
                  <w:vAlign w:val="center"/>
                </w:tcPr>
                <w:p w14:paraId="130DD40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63280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F97821E">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1095A6E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2D77F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4317DD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5567C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FE20E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B613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1.14E-04</w:t>
                  </w:r>
                </w:p>
              </w:tc>
              <w:tc>
                <w:tcPr>
                  <w:tcW w:w="1073" w:type="dxa"/>
                  <w:vMerge w:val="continue"/>
                  <w:tcBorders>
                    <w:top w:val="nil"/>
                    <w:left w:val="single" w:color="000000" w:sz="8" w:space="0"/>
                    <w:bottom w:val="single" w:color="000000" w:sz="8" w:space="0"/>
                    <w:right w:val="nil"/>
                  </w:tcBorders>
                  <w:shd w:val="clear" w:color="auto" w:fill="auto"/>
                  <w:vAlign w:val="center"/>
                </w:tcPr>
                <w:p w14:paraId="151A2CE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214A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1EA4FDE">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6180F0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手术部</w:t>
                  </w:r>
                  <w:r>
                    <w:rPr>
                      <w:rFonts w:hint="default" w:ascii="Times New Roman" w:hAnsi="Times New Roman" w:eastAsia="宋体" w:cs="Times New Roman"/>
                      <w:i w:val="0"/>
                      <w:iCs w:val="0"/>
                      <w:color w:val="000000"/>
                      <w:kern w:val="0"/>
                      <w:sz w:val="21"/>
                      <w:szCs w:val="21"/>
                      <w:u w:val="none"/>
                      <w:lang w:val="en-US" w:eastAsia="zh-CN" w:bidi="ar"/>
                    </w:rPr>
                    <w:t>DSA</w:t>
                  </w:r>
                  <w:r>
                    <w:rPr>
                      <w:rFonts w:hint="eastAsia" w:ascii="宋体" w:hAnsi="宋体" w:eastAsia="宋体" w:cs="宋体"/>
                      <w:i w:val="0"/>
                      <w:iCs w:val="0"/>
                      <w:color w:val="000000"/>
                      <w:kern w:val="0"/>
                      <w:sz w:val="21"/>
                      <w:szCs w:val="21"/>
                      <w:u w:val="none"/>
                      <w:lang w:val="en-US" w:eastAsia="zh-CN" w:bidi="ar"/>
                    </w:rPr>
                    <w:t>操作技师</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33743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9A1B6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6868C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9.90E-06</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F6174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34E5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1.81E-06</w:t>
                  </w:r>
                </w:p>
              </w:tc>
              <w:tc>
                <w:tcPr>
                  <w:tcW w:w="1073" w:type="dxa"/>
                  <w:vMerge w:val="restart"/>
                  <w:tcBorders>
                    <w:top w:val="nil"/>
                    <w:left w:val="single" w:color="000000" w:sz="8" w:space="0"/>
                    <w:bottom w:val="single" w:color="000000" w:sz="8" w:space="0"/>
                    <w:right w:val="nil"/>
                  </w:tcBorders>
                  <w:shd w:val="clear" w:color="auto" w:fill="auto"/>
                  <w:vAlign w:val="center"/>
                </w:tcPr>
                <w:p w14:paraId="4C9DC5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1.16E-04</w:t>
                  </w:r>
                </w:p>
              </w:tc>
            </w:tr>
            <w:tr w14:paraId="3A07F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7B3687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6751D3F4">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3229D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8D48F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066291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1.87E-02</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C22FB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4FE0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1.14E-04</w:t>
                  </w:r>
                </w:p>
              </w:tc>
              <w:tc>
                <w:tcPr>
                  <w:tcW w:w="1073" w:type="dxa"/>
                  <w:vMerge w:val="continue"/>
                  <w:tcBorders>
                    <w:top w:val="nil"/>
                    <w:left w:val="single" w:color="000000" w:sz="8" w:space="0"/>
                    <w:bottom w:val="single" w:color="000000" w:sz="8" w:space="0"/>
                    <w:right w:val="nil"/>
                  </w:tcBorders>
                  <w:shd w:val="clear" w:color="auto" w:fill="auto"/>
                  <w:vAlign w:val="center"/>
                </w:tcPr>
                <w:p w14:paraId="39FA7833">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4831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restart"/>
                  <w:tcBorders>
                    <w:top w:val="nil"/>
                    <w:left w:val="nil"/>
                    <w:bottom w:val="single" w:color="000000" w:sz="8" w:space="0"/>
                    <w:right w:val="single" w:color="000000" w:sz="8" w:space="0"/>
                  </w:tcBorders>
                  <w:shd w:val="clear" w:color="auto" w:fill="auto"/>
                  <w:vAlign w:val="center"/>
                </w:tcPr>
                <w:p w14:paraId="334B27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ERCP</w:t>
                  </w:r>
                  <w:r>
                    <w:rPr>
                      <w:rFonts w:hint="eastAsia" w:ascii="宋体" w:hAnsi="宋体" w:eastAsia="宋体" w:cs="宋体"/>
                      <w:i w:val="0"/>
                      <w:iCs w:val="0"/>
                      <w:color w:val="000000"/>
                      <w:kern w:val="0"/>
                      <w:sz w:val="21"/>
                      <w:szCs w:val="21"/>
                      <w:u w:val="none"/>
                      <w:lang w:val="en-US" w:eastAsia="zh-CN" w:bidi="ar"/>
                    </w:rPr>
                    <w:t>室</w:t>
                  </w: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59387E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脾胃病科医生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07ADD2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20CF5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2CD7B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6E3365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2E2679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BC82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1.44E+00</w:t>
                  </w:r>
                </w:p>
              </w:tc>
              <w:tc>
                <w:tcPr>
                  <w:tcW w:w="1073" w:type="dxa"/>
                  <w:vMerge w:val="restart"/>
                  <w:tcBorders>
                    <w:top w:val="nil"/>
                    <w:left w:val="single" w:color="000000" w:sz="8" w:space="0"/>
                    <w:bottom w:val="single" w:color="000000" w:sz="8" w:space="0"/>
                    <w:right w:val="nil"/>
                  </w:tcBorders>
                  <w:shd w:val="clear" w:color="auto" w:fill="auto"/>
                  <w:vAlign w:val="center"/>
                </w:tcPr>
                <w:p w14:paraId="024FB4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1.44E+00</w:t>
                  </w:r>
                </w:p>
              </w:tc>
            </w:tr>
            <w:tr w14:paraId="5FF29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4C02C4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B71CB40">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17F3698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36E09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FC117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3415E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8.89E-04</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056ED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7F43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1.16E-06</w:t>
                  </w:r>
                </w:p>
              </w:tc>
              <w:tc>
                <w:tcPr>
                  <w:tcW w:w="1073" w:type="dxa"/>
                  <w:vMerge w:val="continue"/>
                  <w:tcBorders>
                    <w:top w:val="nil"/>
                    <w:left w:val="single" w:color="000000" w:sz="8" w:space="0"/>
                    <w:bottom w:val="single" w:color="000000" w:sz="8" w:space="0"/>
                    <w:right w:val="nil"/>
                  </w:tcBorders>
                  <w:shd w:val="clear" w:color="auto" w:fill="auto"/>
                  <w:vAlign w:val="center"/>
                </w:tcPr>
                <w:p w14:paraId="40594F7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31F27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3C4CBE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3A1729E">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0E15A9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DB36C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E77DC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907B5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3F46F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FD6A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1.69E+00</w:t>
                  </w:r>
                </w:p>
              </w:tc>
              <w:tc>
                <w:tcPr>
                  <w:tcW w:w="1073" w:type="dxa"/>
                  <w:vMerge w:val="restart"/>
                  <w:tcBorders>
                    <w:top w:val="nil"/>
                    <w:left w:val="single" w:color="000000" w:sz="8" w:space="0"/>
                    <w:bottom w:val="single" w:color="000000" w:sz="8" w:space="0"/>
                    <w:right w:val="nil"/>
                  </w:tcBorders>
                  <w:shd w:val="clear" w:color="auto" w:fill="auto"/>
                  <w:vAlign w:val="center"/>
                </w:tcPr>
                <w:p w14:paraId="64DF02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1.69E+00</w:t>
                  </w:r>
                </w:p>
              </w:tc>
            </w:tr>
            <w:tr w14:paraId="12C0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F6A650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4A1054B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7414AD6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0599A8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A3B9A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EA2F9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8.89E-04</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22594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FE50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1.16E-06</w:t>
                  </w:r>
                </w:p>
              </w:tc>
              <w:tc>
                <w:tcPr>
                  <w:tcW w:w="1073" w:type="dxa"/>
                  <w:vMerge w:val="continue"/>
                  <w:tcBorders>
                    <w:top w:val="nil"/>
                    <w:left w:val="single" w:color="000000" w:sz="8" w:space="0"/>
                    <w:bottom w:val="single" w:color="000000" w:sz="8" w:space="0"/>
                    <w:right w:val="nil"/>
                  </w:tcBorders>
                  <w:shd w:val="clear" w:color="auto" w:fill="auto"/>
                  <w:vAlign w:val="center"/>
                </w:tcPr>
                <w:p w14:paraId="4E7BF8B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1A245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15C271C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restart"/>
                  <w:tcBorders>
                    <w:top w:val="nil"/>
                    <w:left w:val="single" w:color="000000" w:sz="8" w:space="0"/>
                    <w:bottom w:val="single" w:color="000000" w:sz="8" w:space="0"/>
                    <w:right w:val="single" w:color="000000" w:sz="8" w:space="0"/>
                  </w:tcBorders>
                  <w:shd w:val="clear" w:color="auto" w:fill="auto"/>
                  <w:vAlign w:val="center"/>
                </w:tcPr>
                <w:p w14:paraId="3ED6B2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普外科医生</w:t>
                  </w: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70069E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15127A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854F2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第一术者位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AF0E3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6E2183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483C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9.58E-01</w:t>
                  </w:r>
                </w:p>
              </w:tc>
              <w:tc>
                <w:tcPr>
                  <w:tcW w:w="1073" w:type="dxa"/>
                  <w:vMerge w:val="restart"/>
                  <w:tcBorders>
                    <w:top w:val="nil"/>
                    <w:left w:val="single" w:color="000000" w:sz="8" w:space="0"/>
                    <w:bottom w:val="single" w:color="000000" w:sz="8" w:space="0"/>
                    <w:right w:val="nil"/>
                  </w:tcBorders>
                  <w:shd w:val="clear" w:color="auto" w:fill="auto"/>
                  <w:vAlign w:val="center"/>
                </w:tcPr>
                <w:p w14:paraId="20F0A7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9.58E-01</w:t>
                  </w:r>
                </w:p>
              </w:tc>
            </w:tr>
            <w:tr w14:paraId="1BE6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FB5F32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DB5D6A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76A6FC42">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3F2C78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38CA3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1E1769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8.89E-04</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E0814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115C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7.11E-07</w:t>
                  </w:r>
                </w:p>
              </w:tc>
              <w:tc>
                <w:tcPr>
                  <w:tcW w:w="1073" w:type="dxa"/>
                  <w:vMerge w:val="continue"/>
                  <w:tcBorders>
                    <w:top w:val="nil"/>
                    <w:left w:val="single" w:color="000000" w:sz="8" w:space="0"/>
                    <w:bottom w:val="single" w:color="000000" w:sz="8" w:space="0"/>
                    <w:right w:val="nil"/>
                  </w:tcBorders>
                  <w:shd w:val="clear" w:color="auto" w:fill="auto"/>
                  <w:vAlign w:val="center"/>
                </w:tcPr>
                <w:p w14:paraId="713C150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6E5DA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0E4A5A7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655952E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restart"/>
                  <w:tcBorders>
                    <w:top w:val="nil"/>
                    <w:left w:val="single" w:color="000000" w:sz="8" w:space="0"/>
                    <w:bottom w:val="single" w:color="000000" w:sz="8" w:space="0"/>
                    <w:right w:val="single" w:color="000000" w:sz="8" w:space="0"/>
                  </w:tcBorders>
                  <w:shd w:val="clear" w:color="auto" w:fill="auto"/>
                  <w:vAlign w:val="center"/>
                </w:tcPr>
                <w:p w14:paraId="3B86BC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4AF0B0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15021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第二术者位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D5117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9D4C6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F8BD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1.13E+00</w:t>
                  </w:r>
                </w:p>
              </w:tc>
              <w:tc>
                <w:tcPr>
                  <w:tcW w:w="1073" w:type="dxa"/>
                  <w:vMerge w:val="restart"/>
                  <w:tcBorders>
                    <w:top w:val="nil"/>
                    <w:left w:val="single" w:color="000000" w:sz="8" w:space="0"/>
                    <w:bottom w:val="single" w:color="000000" w:sz="8" w:space="0"/>
                    <w:right w:val="nil"/>
                  </w:tcBorders>
                  <w:shd w:val="clear" w:color="auto" w:fill="auto"/>
                  <w:vAlign w:val="center"/>
                </w:tcPr>
                <w:p w14:paraId="6BBB61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1.13E+00</w:t>
                  </w:r>
                </w:p>
              </w:tc>
            </w:tr>
            <w:tr w14:paraId="7B891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58A5960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720" w:type="dxa"/>
                  <w:vMerge w:val="continue"/>
                  <w:tcBorders>
                    <w:top w:val="nil"/>
                    <w:left w:val="single" w:color="000000" w:sz="8" w:space="0"/>
                    <w:bottom w:val="single" w:color="000000" w:sz="8" w:space="0"/>
                    <w:right w:val="single" w:color="000000" w:sz="8" w:space="0"/>
                  </w:tcBorders>
                  <w:shd w:val="clear" w:color="auto" w:fill="auto"/>
                  <w:vAlign w:val="center"/>
                </w:tcPr>
                <w:p w14:paraId="0C3C6C7B">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900" w:type="dxa"/>
                  <w:vMerge w:val="continue"/>
                  <w:tcBorders>
                    <w:top w:val="nil"/>
                    <w:left w:val="single" w:color="000000" w:sz="8" w:space="0"/>
                    <w:bottom w:val="single" w:color="000000" w:sz="8" w:space="0"/>
                    <w:right w:val="single" w:color="000000" w:sz="8" w:space="0"/>
                  </w:tcBorders>
                  <w:shd w:val="clear" w:color="auto" w:fill="auto"/>
                  <w:vAlign w:val="center"/>
                </w:tcPr>
                <w:p w14:paraId="45FC7915">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5E7B53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6C7EC7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D94DF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8.89E-04</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B8891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9CA7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7.11E-07</w:t>
                  </w:r>
                </w:p>
              </w:tc>
              <w:tc>
                <w:tcPr>
                  <w:tcW w:w="1073" w:type="dxa"/>
                  <w:vMerge w:val="continue"/>
                  <w:tcBorders>
                    <w:top w:val="nil"/>
                    <w:left w:val="single" w:color="000000" w:sz="8" w:space="0"/>
                    <w:bottom w:val="single" w:color="000000" w:sz="8" w:space="0"/>
                    <w:right w:val="nil"/>
                  </w:tcBorders>
                  <w:shd w:val="clear" w:color="auto" w:fill="auto"/>
                  <w:vAlign w:val="center"/>
                </w:tcPr>
                <w:p w14:paraId="38C23C00">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69754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36C135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359FC1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内镜中心</w:t>
                  </w:r>
                  <w:r>
                    <w:rPr>
                      <w:rFonts w:hint="default" w:ascii="Times New Roman" w:hAnsi="Times New Roman" w:eastAsia="宋体" w:cs="Times New Roman"/>
                      <w:i w:val="0"/>
                      <w:iCs w:val="0"/>
                      <w:color w:val="000000"/>
                      <w:kern w:val="0"/>
                      <w:sz w:val="21"/>
                      <w:szCs w:val="21"/>
                      <w:u w:val="none"/>
                      <w:lang w:val="en-US" w:eastAsia="zh-CN" w:bidi="ar"/>
                    </w:rPr>
                    <w:t>ERCP</w:t>
                  </w:r>
                  <w:r>
                    <w:rPr>
                      <w:rFonts w:hint="eastAsia" w:ascii="宋体" w:hAnsi="宋体" w:eastAsia="宋体" w:cs="宋体"/>
                      <w:i w:val="0"/>
                      <w:iCs w:val="0"/>
                      <w:color w:val="000000"/>
                      <w:kern w:val="0"/>
                      <w:sz w:val="21"/>
                      <w:szCs w:val="21"/>
                      <w:u w:val="none"/>
                      <w:lang w:val="en-US" w:eastAsia="zh-CN" w:bidi="ar"/>
                    </w:rPr>
                    <w:t>操作技师</w:t>
                  </w:r>
                </w:p>
              </w:tc>
              <w:tc>
                <w:tcPr>
                  <w:tcW w:w="1200" w:type="dxa"/>
                  <w:vMerge w:val="restart"/>
                  <w:tcBorders>
                    <w:top w:val="nil"/>
                    <w:left w:val="single" w:color="000000" w:sz="8" w:space="0"/>
                    <w:bottom w:val="single" w:color="000000" w:sz="8" w:space="0"/>
                    <w:right w:val="single" w:color="000000" w:sz="8" w:space="0"/>
                  </w:tcBorders>
                  <w:shd w:val="clear" w:color="auto" w:fill="auto"/>
                  <w:vAlign w:val="center"/>
                </w:tcPr>
                <w:p w14:paraId="51A235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介入①</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5A8AF4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护士位</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7E7F63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2.01E+01</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DC1A2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E18C4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6.28E-01</w:t>
                  </w:r>
                </w:p>
              </w:tc>
              <w:tc>
                <w:tcPr>
                  <w:tcW w:w="1073" w:type="dxa"/>
                  <w:vMerge w:val="restart"/>
                  <w:tcBorders>
                    <w:top w:val="nil"/>
                    <w:left w:val="single" w:color="000000" w:sz="8" w:space="0"/>
                    <w:bottom w:val="single" w:color="000000" w:sz="8" w:space="0"/>
                    <w:right w:val="nil"/>
                  </w:tcBorders>
                  <w:shd w:val="clear" w:color="auto" w:fill="auto"/>
                  <w:vAlign w:val="center"/>
                </w:tcPr>
                <w:p w14:paraId="0D323A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6.28E-01</w:t>
                  </w:r>
                </w:p>
              </w:tc>
            </w:tr>
            <w:tr w14:paraId="605E0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7718BC2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24FD1B5A">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vMerge w:val="continue"/>
                  <w:tcBorders>
                    <w:top w:val="nil"/>
                    <w:left w:val="single" w:color="000000" w:sz="8" w:space="0"/>
                    <w:bottom w:val="single" w:color="000000" w:sz="8" w:space="0"/>
                    <w:right w:val="single" w:color="000000" w:sz="8" w:space="0"/>
                  </w:tcBorders>
                  <w:shd w:val="clear" w:color="auto" w:fill="auto"/>
                  <w:vAlign w:val="center"/>
                </w:tcPr>
                <w:p w14:paraId="2C4DA64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0815AA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D6377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1.47E-07</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0756D6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3B91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4.59E-09</w:t>
                  </w:r>
                </w:p>
              </w:tc>
              <w:tc>
                <w:tcPr>
                  <w:tcW w:w="1073" w:type="dxa"/>
                  <w:vMerge w:val="continue"/>
                  <w:tcBorders>
                    <w:top w:val="nil"/>
                    <w:left w:val="single" w:color="000000" w:sz="8" w:space="0"/>
                    <w:bottom w:val="single" w:color="000000" w:sz="8" w:space="0"/>
                    <w:right w:val="nil"/>
                  </w:tcBorders>
                  <w:shd w:val="clear" w:color="auto" w:fill="auto"/>
                  <w:vAlign w:val="center"/>
                </w:tcPr>
                <w:p w14:paraId="76B1078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726BD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680321C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64AC943C">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7ED196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7A579A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446AAA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8.89E-04</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44401B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839B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1.87E-06</w:t>
                  </w:r>
                </w:p>
              </w:tc>
              <w:tc>
                <w:tcPr>
                  <w:tcW w:w="1073" w:type="dxa"/>
                  <w:vMerge w:val="continue"/>
                  <w:tcBorders>
                    <w:top w:val="nil"/>
                    <w:left w:val="single" w:color="000000" w:sz="8" w:space="0"/>
                    <w:bottom w:val="single" w:color="000000" w:sz="8" w:space="0"/>
                    <w:right w:val="nil"/>
                  </w:tcBorders>
                  <w:shd w:val="clear" w:color="auto" w:fill="auto"/>
                  <w:vAlign w:val="center"/>
                </w:tcPr>
                <w:p w14:paraId="7680996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r w14:paraId="5AB65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26B1794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restart"/>
                  <w:tcBorders>
                    <w:top w:val="nil"/>
                    <w:left w:val="single" w:color="000000" w:sz="8" w:space="0"/>
                    <w:bottom w:val="single" w:color="000000" w:sz="8" w:space="0"/>
                    <w:right w:val="single" w:color="000000" w:sz="8" w:space="0"/>
                  </w:tcBorders>
                  <w:shd w:val="clear" w:color="auto" w:fill="auto"/>
                  <w:vAlign w:val="center"/>
                </w:tcPr>
                <w:p w14:paraId="58BA96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内镜中心</w:t>
                  </w:r>
                  <w:r>
                    <w:rPr>
                      <w:rFonts w:hint="default" w:ascii="Times New Roman" w:hAnsi="Times New Roman" w:eastAsia="宋体" w:cs="Times New Roman"/>
                      <w:i w:val="0"/>
                      <w:iCs w:val="0"/>
                      <w:color w:val="000000"/>
                      <w:kern w:val="0"/>
                      <w:sz w:val="21"/>
                      <w:szCs w:val="21"/>
                      <w:u w:val="none"/>
                      <w:lang w:val="en-US" w:eastAsia="zh-CN" w:bidi="ar"/>
                    </w:rPr>
                    <w:t>ERCP</w:t>
                  </w:r>
                  <w:r>
                    <w:rPr>
                      <w:rFonts w:hint="eastAsia" w:ascii="宋体" w:hAnsi="宋体" w:eastAsia="宋体" w:cs="宋体"/>
                      <w:i w:val="0"/>
                      <w:iCs w:val="0"/>
                      <w:color w:val="000000"/>
                      <w:kern w:val="0"/>
                      <w:sz w:val="21"/>
                      <w:szCs w:val="21"/>
                      <w:u w:val="none"/>
                      <w:lang w:val="en-US" w:eastAsia="zh-CN" w:bidi="ar"/>
                    </w:rPr>
                    <w:t>跟台护士</w:t>
                  </w: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3EC3CB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介入</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38BD91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33340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1.47E-07</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785573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62.5</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B1FF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9.19E-09</w:t>
                  </w:r>
                </w:p>
              </w:tc>
              <w:tc>
                <w:tcPr>
                  <w:tcW w:w="1073" w:type="dxa"/>
                  <w:vMerge w:val="restart"/>
                  <w:tcBorders>
                    <w:top w:val="nil"/>
                    <w:left w:val="single" w:color="000000" w:sz="8" w:space="0"/>
                    <w:bottom w:val="single" w:color="000000" w:sz="8" w:space="0"/>
                    <w:right w:val="nil"/>
                  </w:tcBorders>
                  <w:shd w:val="clear" w:color="auto" w:fill="auto"/>
                  <w:vAlign w:val="center"/>
                </w:tcPr>
                <w:p w14:paraId="600119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1.88E-06</w:t>
                  </w:r>
                </w:p>
              </w:tc>
            </w:tr>
            <w:tr w14:paraId="0540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47" w:type="dxa"/>
                  <w:vMerge w:val="continue"/>
                  <w:tcBorders>
                    <w:top w:val="nil"/>
                    <w:left w:val="nil"/>
                    <w:bottom w:val="single" w:color="000000" w:sz="8" w:space="0"/>
                    <w:right w:val="single" w:color="000000" w:sz="8" w:space="0"/>
                  </w:tcBorders>
                  <w:shd w:val="clear" w:color="auto" w:fill="auto"/>
                  <w:vAlign w:val="center"/>
                </w:tcPr>
                <w:p w14:paraId="39EE055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c>
                <w:tcPr>
                  <w:tcW w:w="1620" w:type="dxa"/>
                  <w:gridSpan w:val="2"/>
                  <w:vMerge w:val="continue"/>
                  <w:tcBorders>
                    <w:top w:val="nil"/>
                    <w:left w:val="single" w:color="000000" w:sz="8" w:space="0"/>
                    <w:bottom w:val="single" w:color="000000" w:sz="8" w:space="0"/>
                    <w:right w:val="single" w:color="000000" w:sz="8" w:space="0"/>
                  </w:tcBorders>
                  <w:shd w:val="clear" w:color="auto" w:fill="auto"/>
                  <w:vAlign w:val="center"/>
                </w:tcPr>
                <w:p w14:paraId="791B6EF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i w:val="0"/>
                      <w:iCs w:val="0"/>
                      <w:color w:val="000000"/>
                      <w:sz w:val="21"/>
                      <w:szCs w:val="21"/>
                      <w:u w:val="none"/>
                    </w:rPr>
                  </w:pPr>
                </w:p>
              </w:tc>
              <w:tc>
                <w:tcPr>
                  <w:tcW w:w="1200" w:type="dxa"/>
                  <w:tcBorders>
                    <w:top w:val="nil"/>
                    <w:left w:val="single" w:color="000000" w:sz="8" w:space="0"/>
                    <w:bottom w:val="single" w:color="000000" w:sz="8" w:space="0"/>
                    <w:right w:val="single" w:color="000000" w:sz="8" w:space="0"/>
                  </w:tcBorders>
                  <w:shd w:val="clear" w:color="auto" w:fill="auto"/>
                  <w:vAlign w:val="center"/>
                </w:tcPr>
                <w:p w14:paraId="204C2F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w:t>
                  </w:r>
                </w:p>
              </w:tc>
              <w:tc>
                <w:tcPr>
                  <w:tcW w:w="1350" w:type="dxa"/>
                  <w:tcBorders>
                    <w:top w:val="nil"/>
                    <w:left w:val="single" w:color="000000" w:sz="8" w:space="0"/>
                    <w:bottom w:val="single" w:color="000000" w:sz="8" w:space="0"/>
                    <w:right w:val="single" w:color="000000" w:sz="8" w:space="0"/>
                  </w:tcBorders>
                  <w:shd w:val="clear" w:color="auto" w:fill="auto"/>
                  <w:vAlign w:val="center"/>
                </w:tcPr>
                <w:p w14:paraId="27810D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控制室</w:t>
                  </w:r>
                </w:p>
              </w:tc>
              <w:tc>
                <w:tcPr>
                  <w:tcW w:w="1050" w:type="dxa"/>
                  <w:tcBorders>
                    <w:top w:val="nil"/>
                    <w:left w:val="single" w:color="000000" w:sz="8" w:space="0"/>
                    <w:bottom w:val="single" w:color="000000" w:sz="8" w:space="0"/>
                    <w:right w:val="single" w:color="000000" w:sz="8" w:space="0"/>
                  </w:tcBorders>
                  <w:shd w:val="clear" w:color="auto" w:fill="auto"/>
                  <w:vAlign w:val="center"/>
                </w:tcPr>
                <w:p w14:paraId="290AE0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8.89E-04</w:t>
                  </w:r>
                </w:p>
              </w:tc>
              <w:tc>
                <w:tcPr>
                  <w:tcW w:w="772" w:type="dxa"/>
                  <w:tcBorders>
                    <w:top w:val="nil"/>
                    <w:left w:val="single" w:color="000000" w:sz="8" w:space="0"/>
                    <w:bottom w:val="single" w:color="000000" w:sz="8" w:space="0"/>
                    <w:right w:val="single" w:color="000000" w:sz="8" w:space="0"/>
                  </w:tcBorders>
                  <w:shd w:val="clear" w:color="auto" w:fill="auto"/>
                  <w:vAlign w:val="center"/>
                </w:tcPr>
                <w:p w14:paraId="583DB7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12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75D6C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1.87E-06</w:t>
                  </w:r>
                </w:p>
              </w:tc>
              <w:tc>
                <w:tcPr>
                  <w:tcW w:w="1073" w:type="dxa"/>
                  <w:vMerge w:val="continue"/>
                  <w:tcBorders>
                    <w:top w:val="nil"/>
                    <w:left w:val="single" w:color="000000" w:sz="8" w:space="0"/>
                    <w:bottom w:val="single" w:color="000000" w:sz="8" w:space="0"/>
                    <w:right w:val="nil"/>
                  </w:tcBorders>
                  <w:shd w:val="clear" w:color="auto" w:fill="auto"/>
                  <w:vAlign w:val="center"/>
                </w:tcPr>
                <w:p w14:paraId="2C168C2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iCs w:val="0"/>
                      <w:color w:val="000000"/>
                      <w:sz w:val="21"/>
                      <w:szCs w:val="21"/>
                      <w:u w:val="none"/>
                    </w:rPr>
                  </w:pPr>
                </w:p>
              </w:tc>
            </w:tr>
          </w:tbl>
          <w:p w14:paraId="1692D516">
            <w:pPr>
              <w:spacing w:line="240" w:lineRule="auto"/>
              <w:rPr>
                <w:rFonts w:hint="eastAsia" w:eastAsia="黑体"/>
                <w:bCs/>
                <w:color w:val="auto"/>
                <w:sz w:val="21"/>
                <w:szCs w:val="21"/>
                <w:highlight w:val="none"/>
                <w:lang w:val="en-US" w:eastAsia="zh-CN"/>
              </w:rPr>
            </w:pPr>
            <w:r>
              <w:rPr>
                <w:rFonts w:hint="eastAsia" w:eastAsia="黑体"/>
                <w:bCs/>
                <w:color w:val="auto"/>
                <w:sz w:val="21"/>
                <w:szCs w:val="21"/>
                <w:highlight w:val="none"/>
              </w:rPr>
              <w:t>注：</w:t>
            </w:r>
            <w:r>
              <w:rPr>
                <w:rFonts w:hint="eastAsia" w:eastAsia="黑体"/>
                <w:bCs/>
                <w:color w:val="auto"/>
                <w:sz w:val="21"/>
                <w:szCs w:val="21"/>
                <w:highlight w:val="none"/>
                <w:lang w:val="en-US" w:eastAsia="zh-CN"/>
              </w:rPr>
              <w:t>①</w:t>
            </w:r>
            <w:r>
              <w:rPr>
                <w:rFonts w:hint="eastAsia" w:eastAsia="黑体"/>
                <w:bCs/>
                <w:color w:val="auto"/>
                <w:sz w:val="21"/>
                <w:szCs w:val="21"/>
                <w:highlight w:val="none"/>
              </w:rPr>
              <w:t>对于</w:t>
            </w:r>
            <w:r>
              <w:rPr>
                <w:rFonts w:eastAsia="黑体"/>
                <w:bCs/>
                <w:color w:val="auto"/>
                <w:sz w:val="21"/>
                <w:szCs w:val="21"/>
                <w:highlight w:val="none"/>
              </w:rPr>
              <w:t>本项目</w:t>
            </w:r>
            <w:r>
              <w:rPr>
                <w:rFonts w:hint="eastAsia" w:eastAsia="黑体"/>
                <w:bCs/>
                <w:color w:val="auto"/>
                <w:sz w:val="21"/>
                <w:szCs w:val="21"/>
                <w:highlight w:val="none"/>
              </w:rPr>
              <w:t>护士，</w:t>
            </w:r>
            <w:r>
              <w:rPr>
                <w:rFonts w:eastAsia="黑体"/>
                <w:bCs/>
                <w:color w:val="auto"/>
                <w:sz w:val="21"/>
                <w:szCs w:val="21"/>
                <w:highlight w:val="none"/>
              </w:rPr>
              <w:t>一般情况主要负责术前准备和术后清理工作，确因手术情况需要时，会负责术中配合跟台手术，不直接操作介入手术，主要进行医疗器具的传递等工作</w:t>
            </w:r>
            <w:r>
              <w:rPr>
                <w:rFonts w:hint="eastAsia" w:eastAsia="黑体"/>
                <w:bCs/>
                <w:color w:val="auto"/>
                <w:sz w:val="21"/>
                <w:szCs w:val="21"/>
                <w:highlight w:val="none"/>
              </w:rPr>
              <w:t>，据医院大量手术经验统计，最不利情况下护士在</w:t>
            </w:r>
            <w:r>
              <w:rPr>
                <w:rFonts w:hint="eastAsia" w:eastAsia="黑体"/>
                <w:bCs/>
                <w:color w:val="auto"/>
                <w:sz w:val="21"/>
                <w:szCs w:val="21"/>
                <w:highlight w:val="none"/>
                <w:lang w:val="en-US" w:eastAsia="zh-CN"/>
              </w:rPr>
              <w:t>介入操作</w:t>
            </w:r>
            <w:r>
              <w:rPr>
                <w:rFonts w:hint="eastAsia" w:eastAsia="黑体"/>
                <w:bCs/>
                <w:color w:val="auto"/>
                <w:sz w:val="21"/>
                <w:szCs w:val="21"/>
                <w:highlight w:val="none"/>
              </w:rPr>
              <w:t>时最多有1/2的时间停留在</w:t>
            </w:r>
            <w:r>
              <w:rPr>
                <w:rFonts w:hint="eastAsia" w:eastAsia="黑体"/>
                <w:bCs/>
                <w:color w:val="auto"/>
                <w:sz w:val="21"/>
                <w:szCs w:val="21"/>
                <w:highlight w:val="none"/>
                <w:lang w:val="en-US" w:eastAsia="zh-CN"/>
              </w:rPr>
              <w:t>机房</w:t>
            </w:r>
            <w:r>
              <w:rPr>
                <w:rFonts w:hint="eastAsia" w:eastAsia="黑体"/>
                <w:bCs/>
                <w:color w:val="auto"/>
                <w:sz w:val="21"/>
                <w:szCs w:val="21"/>
                <w:highlight w:val="none"/>
              </w:rPr>
              <w:t>内，其他时间在控制室内</w:t>
            </w:r>
            <w:r>
              <w:rPr>
                <w:rFonts w:hint="eastAsia" w:eastAsia="黑体"/>
                <w:bCs/>
                <w:color w:val="auto"/>
                <w:sz w:val="21"/>
                <w:szCs w:val="21"/>
                <w:highlight w:val="none"/>
                <w:lang w:eastAsia="zh-CN"/>
              </w:rPr>
              <w:t>；</w:t>
            </w:r>
            <w:r>
              <w:rPr>
                <w:rFonts w:hint="eastAsia" w:eastAsia="黑体"/>
                <w:bCs/>
                <w:color w:val="auto"/>
                <w:sz w:val="21"/>
                <w:szCs w:val="21"/>
                <w:highlight w:val="none"/>
                <w:lang w:val="en-US" w:eastAsia="zh-CN"/>
              </w:rPr>
              <w:t>②</w:t>
            </w:r>
            <w:r>
              <w:rPr>
                <w:rFonts w:hint="eastAsia" w:eastAsia="黑体"/>
                <w:bCs/>
                <w:sz w:val="21"/>
                <w:szCs w:val="21"/>
              </w:rPr>
              <w:t>对于</w:t>
            </w:r>
            <w:r>
              <w:rPr>
                <w:rFonts w:eastAsia="黑体"/>
                <w:bCs/>
                <w:sz w:val="21"/>
                <w:szCs w:val="21"/>
              </w:rPr>
              <w:t>DSA</w:t>
            </w:r>
            <w:r>
              <w:rPr>
                <w:rFonts w:hint="eastAsia" w:eastAsia="黑体"/>
                <w:bCs/>
                <w:sz w:val="21"/>
                <w:szCs w:val="21"/>
                <w:lang w:val="en-US" w:eastAsia="zh-CN"/>
              </w:rPr>
              <w:t>+</w:t>
            </w:r>
            <w:r>
              <w:rPr>
                <w:rFonts w:eastAsia="黑体"/>
                <w:bCs/>
                <w:sz w:val="21"/>
                <w:szCs w:val="21"/>
              </w:rPr>
              <w:t>CT复合手术室</w:t>
            </w:r>
            <w:r>
              <w:rPr>
                <w:rFonts w:hint="eastAsia" w:eastAsia="黑体"/>
                <w:bCs/>
                <w:sz w:val="21"/>
                <w:szCs w:val="21"/>
              </w:rPr>
              <w:t>，CT在出束时室外的附加</w:t>
            </w:r>
            <w:r>
              <w:rPr>
                <w:rFonts w:eastAsia="黑体"/>
                <w:bCs/>
                <w:sz w:val="21"/>
                <w:szCs w:val="21"/>
              </w:rPr>
              <w:t>辐射剂量</w:t>
            </w:r>
            <w:r>
              <w:rPr>
                <w:rFonts w:hint="eastAsia" w:eastAsia="黑体"/>
                <w:bCs/>
                <w:sz w:val="21"/>
                <w:szCs w:val="21"/>
              </w:rPr>
              <w:t>率取类比监测最大值0.055</w:t>
            </w:r>
            <w:r>
              <w:rPr>
                <w:rFonts w:eastAsia="黑体"/>
                <w:bCs/>
                <w:sz w:val="21"/>
                <w:szCs w:val="21"/>
              </w:rPr>
              <w:t>μSv/h</w:t>
            </w:r>
            <w:r>
              <w:rPr>
                <w:rFonts w:hint="eastAsia" w:eastAsia="黑体"/>
                <w:bCs/>
                <w:sz w:val="21"/>
                <w:szCs w:val="21"/>
              </w:rPr>
              <w:t>；</w:t>
            </w:r>
            <w:r>
              <w:rPr>
                <w:rFonts w:hint="eastAsia" w:eastAsia="黑体"/>
                <w:bCs/>
                <w:sz w:val="21"/>
                <w:szCs w:val="21"/>
                <w:lang w:val="en-US" w:eastAsia="zh-CN"/>
              </w:rPr>
              <w:t>③</w:t>
            </w:r>
            <w:r>
              <w:rPr>
                <w:rFonts w:hint="eastAsia" w:eastAsia="黑体"/>
                <w:bCs/>
                <w:sz w:val="21"/>
                <w:szCs w:val="21"/>
              </w:rPr>
              <w:t>对于</w:t>
            </w:r>
            <w:r>
              <w:rPr>
                <w:rFonts w:eastAsia="黑体"/>
                <w:bCs/>
                <w:sz w:val="21"/>
                <w:szCs w:val="21"/>
              </w:rPr>
              <w:t>DSA手术室</w:t>
            </w:r>
            <w:r>
              <w:rPr>
                <w:rFonts w:hint="eastAsia" w:eastAsia="黑体"/>
                <w:bCs/>
                <w:sz w:val="21"/>
                <w:szCs w:val="21"/>
                <w:lang w:val="en-US" w:eastAsia="zh-CN"/>
              </w:rPr>
              <w:t>OR09和OR10</w:t>
            </w:r>
            <w:r>
              <w:rPr>
                <w:rFonts w:hint="eastAsia" w:eastAsia="黑体"/>
                <w:bCs/>
                <w:sz w:val="21"/>
                <w:szCs w:val="21"/>
              </w:rPr>
              <w:t>，由于2间手术室共用控制室，所以人员在控制室的附加剂量考虑2台设备同时出束的叠加，即取</w:t>
            </w:r>
            <w:r>
              <w:rPr>
                <w:rFonts w:hint="eastAsia" w:ascii="Cambria Math" w:hAnsi="Cambria Math" w:eastAsia="黑体" w:cs="Cambria Math"/>
                <w:bCs/>
                <w:sz w:val="21"/>
                <w:szCs w:val="21"/>
              </w:rPr>
              <w:t>预测点位</w:t>
            </w:r>
            <w:r>
              <w:rPr>
                <w:rFonts w:hint="eastAsia" w:ascii="Cambria Math" w:hAnsi="Cambria Math" w:eastAsia="黑体" w:cs="Cambria Math"/>
                <w:bCs/>
                <w:sz w:val="21"/>
                <w:szCs w:val="21"/>
                <w:lang w:val="en-US" w:eastAsia="zh-CN"/>
              </w:rPr>
              <w:t>14和24</w:t>
            </w:r>
            <w:r>
              <w:rPr>
                <w:rFonts w:hint="eastAsia" w:ascii="Cambria Math" w:hAnsi="Cambria Math" w:eastAsia="黑体" w:cs="Cambria Math"/>
                <w:bCs/>
                <w:sz w:val="21"/>
                <w:szCs w:val="21"/>
              </w:rPr>
              <w:t>的辐射剂量率预测结果之和。</w:t>
            </w:r>
          </w:p>
          <w:p w14:paraId="256209AD">
            <w:pPr>
              <w:ind w:firstLine="472" w:firstLineChars="200"/>
              <w:rPr>
                <w:color w:val="auto"/>
                <w:spacing w:val="-2"/>
                <w:kern w:val="0"/>
                <w:highlight w:val="none"/>
              </w:rPr>
            </w:pPr>
            <w:r>
              <w:rPr>
                <w:color w:val="auto"/>
                <w:spacing w:val="-2"/>
                <w:kern w:val="0"/>
                <w:highlight w:val="none"/>
              </w:rPr>
              <w:t>根据表11-</w:t>
            </w:r>
            <w:r>
              <w:rPr>
                <w:rFonts w:hint="eastAsia"/>
                <w:color w:val="auto"/>
                <w:spacing w:val="-2"/>
                <w:kern w:val="0"/>
                <w:highlight w:val="none"/>
                <w:lang w:val="en-US" w:eastAsia="zh-CN"/>
              </w:rPr>
              <w:t>17</w:t>
            </w:r>
            <w:r>
              <w:rPr>
                <w:color w:val="auto"/>
                <w:spacing w:val="-2"/>
                <w:kern w:val="0"/>
                <w:highlight w:val="none"/>
              </w:rPr>
              <w:t>可知，本项目</w:t>
            </w:r>
            <w:r>
              <w:rPr>
                <w:rFonts w:hint="eastAsia"/>
                <w:color w:val="auto"/>
                <w:spacing w:val="-2"/>
                <w:kern w:val="0"/>
                <w:highlight w:val="none"/>
                <w:lang w:val="en-US" w:eastAsia="zh-CN"/>
              </w:rPr>
              <w:t>四层手术部和内镜中心</w:t>
            </w:r>
            <w:r>
              <w:rPr>
                <w:rFonts w:hint="default" w:ascii="Times New Roman" w:hAnsi="Times New Roman" w:cs="Times New Roman"/>
                <w:color w:val="auto"/>
                <w:spacing w:val="-2"/>
                <w:kern w:val="0"/>
                <w:highlight w:val="none"/>
                <w:lang w:val="en-US" w:eastAsia="zh-CN"/>
              </w:rPr>
              <w:t>Ⅱ</w:t>
            </w:r>
            <w:r>
              <w:rPr>
                <w:rFonts w:hint="eastAsia"/>
                <w:color w:val="auto"/>
                <w:spacing w:val="-2"/>
                <w:kern w:val="0"/>
                <w:highlight w:val="none"/>
                <w:lang w:val="en-US" w:eastAsia="zh-CN"/>
              </w:rPr>
              <w:t>类射线装置</w:t>
            </w:r>
            <w:r>
              <w:rPr>
                <w:color w:val="auto"/>
                <w:spacing w:val="-2"/>
                <w:kern w:val="0"/>
                <w:highlight w:val="none"/>
              </w:rPr>
              <w:t>运行时，</w:t>
            </w:r>
            <w:r>
              <w:rPr>
                <w:rFonts w:hint="eastAsia"/>
                <w:color w:val="auto"/>
                <w:spacing w:val="-2"/>
                <w:kern w:val="0"/>
                <w:highlight w:val="none"/>
                <w:lang w:val="en-US" w:eastAsia="zh-CN"/>
              </w:rPr>
              <w:t>职业人员</w:t>
            </w:r>
            <w:r>
              <w:rPr>
                <w:color w:val="auto"/>
                <w:spacing w:val="-2"/>
                <w:kern w:val="0"/>
                <w:highlight w:val="none"/>
              </w:rPr>
              <w:t>所受年附加有效剂量最大为</w:t>
            </w:r>
            <w:r>
              <w:rPr>
                <w:rFonts w:hint="eastAsia"/>
                <w:color w:val="auto"/>
                <w:spacing w:val="-2"/>
                <w:kern w:val="0"/>
                <w:highlight w:val="none"/>
                <w:lang w:val="en-US" w:eastAsia="zh-CN"/>
              </w:rPr>
              <w:t>4.51</w:t>
            </w:r>
            <w:r>
              <w:rPr>
                <w:color w:val="auto"/>
                <w:spacing w:val="-2"/>
                <w:kern w:val="0"/>
                <w:highlight w:val="none"/>
              </w:rPr>
              <w:t>mSv，满足职业照射年有效剂量5mSv</w:t>
            </w:r>
            <w:r>
              <w:rPr>
                <w:rFonts w:hint="eastAsia"/>
                <w:color w:val="auto"/>
                <w:spacing w:val="-2"/>
                <w:kern w:val="0"/>
                <w:highlight w:val="none"/>
              </w:rPr>
              <w:t>的</w:t>
            </w:r>
            <w:r>
              <w:rPr>
                <w:color w:val="auto"/>
                <w:spacing w:val="-2"/>
                <w:kern w:val="0"/>
                <w:highlight w:val="none"/>
              </w:rPr>
              <w:t>约束</w:t>
            </w:r>
            <w:r>
              <w:rPr>
                <w:rFonts w:hint="eastAsia"/>
                <w:color w:val="auto"/>
                <w:spacing w:val="-2"/>
                <w:kern w:val="0"/>
                <w:highlight w:val="none"/>
              </w:rPr>
              <w:t>限值</w:t>
            </w:r>
            <w:r>
              <w:rPr>
                <w:color w:val="auto"/>
                <w:spacing w:val="-2"/>
                <w:kern w:val="0"/>
                <w:highlight w:val="none"/>
              </w:rPr>
              <w:t>要求。</w:t>
            </w:r>
          </w:p>
          <w:p w14:paraId="59B51A52">
            <w:pPr>
              <w:ind w:firstLine="482" w:firstLineChars="200"/>
              <w:rPr>
                <w:b/>
                <w:bCs/>
                <w:color w:val="auto"/>
                <w:kern w:val="0"/>
                <w:highlight w:val="none"/>
              </w:rPr>
            </w:pPr>
            <w:r>
              <w:rPr>
                <w:b/>
                <w:bCs/>
                <w:color w:val="auto"/>
                <w:kern w:val="0"/>
                <w:highlight w:val="none"/>
              </w:rPr>
              <w:t>（2）</w:t>
            </w:r>
            <w:r>
              <w:rPr>
                <w:rFonts w:hint="eastAsia"/>
                <w:b/>
                <w:bCs/>
                <w:color w:val="auto"/>
                <w:kern w:val="0"/>
                <w:highlight w:val="none"/>
              </w:rPr>
              <w:t>手</w:t>
            </w:r>
            <w:r>
              <w:rPr>
                <w:b/>
                <w:bCs/>
                <w:color w:val="auto"/>
                <w:kern w:val="0"/>
                <w:highlight w:val="none"/>
              </w:rPr>
              <w:t>部受照射剂量</w:t>
            </w:r>
          </w:p>
          <w:p w14:paraId="3D14AA1A">
            <w:pPr>
              <w:pStyle w:val="23"/>
              <w:spacing w:after="0"/>
              <w:ind w:firstLine="482" w:firstLineChars="200"/>
              <w:rPr>
                <w:b/>
                <w:bCs/>
                <w:color w:val="auto"/>
                <w:kern w:val="0"/>
                <w:sz w:val="24"/>
                <w:highlight w:val="none"/>
              </w:rPr>
            </w:pPr>
            <w:bookmarkStart w:id="63" w:name="OLE_LINK27"/>
            <w:r>
              <w:rPr>
                <w:rFonts w:hint="eastAsia"/>
                <w:b/>
                <w:bCs/>
                <w:color w:val="auto"/>
                <w:kern w:val="0"/>
                <w:sz w:val="24"/>
                <w:highlight w:val="none"/>
              </w:rPr>
              <w:t>①</w:t>
            </w:r>
            <w:r>
              <w:rPr>
                <w:b/>
                <w:bCs/>
                <w:color w:val="auto"/>
                <w:kern w:val="0"/>
                <w:sz w:val="24"/>
                <w:highlight w:val="none"/>
              </w:rPr>
              <w:t>计算模式</w:t>
            </w:r>
          </w:p>
          <w:bookmarkEnd w:id="63"/>
          <w:p w14:paraId="50FB00E6">
            <w:pPr>
              <w:pStyle w:val="23"/>
              <w:spacing w:after="0"/>
              <w:ind w:firstLine="480" w:firstLineChars="200"/>
              <w:rPr>
                <w:iCs/>
                <w:color w:val="auto"/>
                <w:sz w:val="24"/>
                <w:highlight w:val="none"/>
              </w:rPr>
            </w:pPr>
            <w:r>
              <w:rPr>
                <w:iCs/>
                <w:color w:val="auto"/>
                <w:sz w:val="24"/>
                <w:highlight w:val="none"/>
              </w:rPr>
              <w:t>根据</w:t>
            </w:r>
            <w:r>
              <w:rPr>
                <w:iCs/>
                <w:color w:val="auto"/>
                <w:sz w:val="24"/>
                <w:highlight w:val="none"/>
                <w:lang w:val="zh-CN"/>
              </w:rPr>
              <w:t>《电离辐射所致皮肤剂量估算方法》（GBZ/T244-2017）</w:t>
            </w:r>
            <w:r>
              <w:rPr>
                <w:iCs/>
                <w:color w:val="auto"/>
                <w:sz w:val="24"/>
                <w:highlight w:val="none"/>
              </w:rPr>
              <w:t>中的公式估算</w:t>
            </w:r>
            <w:r>
              <w:rPr>
                <w:rFonts w:hint="eastAsia"/>
                <w:iCs/>
                <w:color w:val="auto"/>
                <w:sz w:val="24"/>
                <w:highlight w:val="none"/>
                <w:lang w:val="en-US" w:eastAsia="zh-CN"/>
              </w:rPr>
              <w:t>机房</w:t>
            </w:r>
            <w:r>
              <w:rPr>
                <w:iCs/>
                <w:color w:val="auto"/>
                <w:sz w:val="24"/>
                <w:highlight w:val="none"/>
              </w:rPr>
              <w:t>内人员</w:t>
            </w:r>
            <w:r>
              <w:rPr>
                <w:rFonts w:hint="eastAsia"/>
                <w:iCs/>
                <w:color w:val="auto"/>
                <w:sz w:val="24"/>
                <w:highlight w:val="none"/>
              </w:rPr>
              <w:t>手部</w:t>
            </w:r>
            <w:r>
              <w:rPr>
                <w:iCs/>
                <w:color w:val="auto"/>
                <w:sz w:val="24"/>
                <w:highlight w:val="none"/>
              </w:rPr>
              <w:t>皮肤吸收剂量：</w:t>
            </w:r>
          </w:p>
          <w:p w14:paraId="45F61110">
            <w:pPr>
              <w:pStyle w:val="23"/>
              <w:spacing w:after="0"/>
              <w:ind w:right="960" w:firstLine="480" w:firstLineChars="200"/>
              <w:jc w:val="center"/>
              <w:rPr>
                <w:rFonts w:hint="default" w:eastAsia="宋体"/>
                <w:iCs/>
                <w:color w:val="auto"/>
                <w:sz w:val="24"/>
                <w:highlight w:val="none"/>
                <w:lang w:val="en-US" w:eastAsia="zh-CN"/>
              </w:rPr>
            </w:pPr>
            <w:r>
              <w:rPr>
                <w:rFonts w:hint="eastAsia"/>
                <w:color w:val="auto"/>
                <w:kern w:val="0"/>
                <w:position w:val="-12"/>
                <w:sz w:val="24"/>
                <w:highlight w:val="none"/>
              </w:rPr>
              <w:t xml:space="preserve">                </w:t>
            </w:r>
            <w:r>
              <w:rPr>
                <w:color w:val="auto"/>
                <w:kern w:val="0"/>
                <w:position w:val="-12"/>
                <w:sz w:val="24"/>
                <w:highlight w:val="none"/>
              </w:rPr>
              <w:object>
                <v:shape id="_x0000_i1035" o:spt="75" type="#_x0000_t75" style="height:24.95pt;width:105.15pt;" o:ole="t" filled="f" o:preferrelative="t" stroked="f" coordsize="21600,21600">
                  <v:path/>
                  <v:fill on="f" focussize="0,0"/>
                  <v:stroke on="f"/>
                  <v:imagedata r:id="rId54" o:title=""/>
                  <o:lock v:ext="edit" aspectratio="t"/>
                  <w10:wrap type="none"/>
                  <w10:anchorlock/>
                </v:shape>
                <o:OLEObject Type="Embed" ProgID="Equation.KSEE3" ShapeID="_x0000_i1035" DrawAspect="Content" ObjectID="_1468075735" r:id="rId53">
                  <o:LockedField>false</o:LockedField>
                </o:OLEObject>
              </w:object>
            </w:r>
            <w:r>
              <w:rPr>
                <w:iCs/>
                <w:color w:val="auto"/>
                <w:sz w:val="24"/>
                <w:highlight w:val="none"/>
              </w:rPr>
              <w:t>…………………………</w:t>
            </w:r>
            <w:r>
              <w:rPr>
                <w:bCs/>
                <w:color w:val="auto"/>
                <w:sz w:val="24"/>
                <w:szCs w:val="28"/>
                <w:highlight w:val="none"/>
              </w:rPr>
              <w:t>式11-</w:t>
            </w:r>
            <w:r>
              <w:rPr>
                <w:rFonts w:hint="eastAsia"/>
                <w:bCs/>
                <w:color w:val="auto"/>
                <w:sz w:val="24"/>
                <w:szCs w:val="28"/>
                <w:highlight w:val="none"/>
                <w:lang w:val="en-US" w:eastAsia="zh-CN"/>
              </w:rPr>
              <w:t>12</w:t>
            </w:r>
          </w:p>
          <w:p w14:paraId="5012DFDF">
            <w:pPr>
              <w:pStyle w:val="23"/>
              <w:spacing w:after="0"/>
              <w:ind w:right="960" w:firstLine="480" w:firstLineChars="200"/>
              <w:jc w:val="center"/>
              <w:rPr>
                <w:rFonts w:hint="default" w:eastAsia="宋体"/>
                <w:iCs/>
                <w:color w:val="auto"/>
                <w:sz w:val="24"/>
                <w:highlight w:val="none"/>
                <w:lang w:val="en-US" w:eastAsia="zh-CN"/>
              </w:rPr>
            </w:pPr>
            <w:r>
              <w:rPr>
                <w:rFonts w:hint="eastAsia"/>
                <w:color w:val="auto"/>
                <w:kern w:val="0"/>
                <w:position w:val="-12"/>
                <w:sz w:val="24"/>
                <w:highlight w:val="none"/>
              </w:rPr>
              <w:t xml:space="preserve">                </w:t>
            </w:r>
            <w:r>
              <w:rPr>
                <w:color w:val="auto"/>
                <w:kern w:val="0"/>
                <w:position w:val="-12"/>
                <w:sz w:val="24"/>
                <w:highlight w:val="none"/>
              </w:rPr>
              <w:object>
                <v:shape id="_x0000_i1036" o:spt="75" type="#_x0000_t75" style="height:18pt;width:72.2pt;" o:ole="t" filled="f" o:preferrelative="t" stroked="f" coordsize="21600,21600">
                  <v:path/>
                  <v:fill on="f" focussize="0,0"/>
                  <v:stroke on="f"/>
                  <v:imagedata r:id="rId56" o:title=""/>
                  <o:lock v:ext="edit" aspectratio="t"/>
                  <w10:wrap type="none"/>
                  <w10:anchorlock/>
                </v:shape>
                <o:OLEObject Type="Embed" ProgID="Equation.KSEE3" ShapeID="_x0000_i1036" DrawAspect="Content" ObjectID="_1468075736" r:id="rId55">
                  <o:LockedField>false</o:LockedField>
                </o:OLEObject>
              </w:object>
            </w:r>
            <w:r>
              <w:rPr>
                <w:iCs/>
                <w:color w:val="auto"/>
                <w:sz w:val="24"/>
                <w:highlight w:val="none"/>
              </w:rPr>
              <w:t>………………...........…………</w:t>
            </w:r>
            <w:r>
              <w:rPr>
                <w:bCs/>
                <w:color w:val="auto"/>
                <w:sz w:val="24"/>
                <w:szCs w:val="28"/>
                <w:highlight w:val="none"/>
              </w:rPr>
              <w:t>式11-</w:t>
            </w:r>
            <w:r>
              <w:rPr>
                <w:rFonts w:hint="eastAsia"/>
                <w:bCs/>
                <w:color w:val="auto"/>
                <w:sz w:val="24"/>
                <w:szCs w:val="28"/>
                <w:highlight w:val="none"/>
                <w:lang w:val="en-US" w:eastAsia="zh-CN"/>
              </w:rPr>
              <w:t>13</w:t>
            </w:r>
          </w:p>
          <w:p w14:paraId="1DC5A5B2">
            <w:pPr>
              <w:pStyle w:val="23"/>
              <w:spacing w:after="0"/>
              <w:ind w:right="960" w:firstLine="480" w:firstLineChars="200"/>
              <w:jc w:val="right"/>
              <w:rPr>
                <w:rFonts w:hint="default" w:eastAsia="宋体"/>
                <w:iCs/>
                <w:color w:val="auto"/>
                <w:szCs w:val="21"/>
                <w:highlight w:val="none"/>
                <w:lang w:val="en-US" w:eastAsia="zh-CN"/>
              </w:rPr>
            </w:pPr>
            <w:r>
              <w:rPr>
                <w:color w:val="auto"/>
                <w:position w:val="-32"/>
                <w:sz w:val="24"/>
                <w:highlight w:val="none"/>
              </w:rPr>
              <w:object>
                <v:shape id="_x0000_i1037" o:spt="75" type="#_x0000_t75" style="height:44pt;width:60pt;" o:ole="t" filled="f" o:preferrelative="t" stroked="f" coordsize="21600,21600">
                  <v:path/>
                  <v:fill on="f" alignshape="1" focussize="0,0"/>
                  <v:stroke on="f"/>
                  <v:imagedata r:id="rId58" o:title=""/>
                  <o:lock v:ext="edit" aspectratio="t"/>
                  <w10:wrap type="none"/>
                  <w10:anchorlock/>
                </v:shape>
                <o:OLEObject Type="Embed" ProgID="Equation.KSEE3" ShapeID="_x0000_i1037" DrawAspect="Content" ObjectID="_1468075737" r:id="rId57">
                  <o:LockedField>false</o:LockedField>
                </o:OLEObject>
              </w:object>
            </w:r>
            <w:r>
              <w:rPr>
                <w:iCs/>
                <w:color w:val="auto"/>
                <w:sz w:val="24"/>
                <w:highlight w:val="none"/>
              </w:rPr>
              <w:t>……………...................…………</w:t>
            </w:r>
            <w:r>
              <w:rPr>
                <w:bCs/>
                <w:color w:val="auto"/>
                <w:sz w:val="24"/>
                <w:szCs w:val="28"/>
                <w:highlight w:val="none"/>
              </w:rPr>
              <w:t>式11-</w:t>
            </w:r>
            <w:r>
              <w:rPr>
                <w:rFonts w:hint="eastAsia"/>
                <w:bCs/>
                <w:color w:val="auto"/>
                <w:sz w:val="24"/>
                <w:szCs w:val="28"/>
                <w:highlight w:val="none"/>
                <w:lang w:val="en-US" w:eastAsia="zh-CN"/>
              </w:rPr>
              <w:t>14</w:t>
            </w:r>
          </w:p>
          <w:p w14:paraId="7DF498F5">
            <w:pPr>
              <w:pStyle w:val="23"/>
              <w:spacing w:after="0"/>
              <w:ind w:firstLine="480" w:firstLineChars="200"/>
              <w:rPr>
                <w:iCs/>
                <w:color w:val="auto"/>
                <w:sz w:val="24"/>
                <w:highlight w:val="none"/>
              </w:rPr>
            </w:pPr>
            <w:r>
              <w:rPr>
                <w:iCs/>
                <w:color w:val="auto"/>
                <w:sz w:val="24"/>
                <w:highlight w:val="none"/>
              </w:rPr>
              <w:t>式中：</w:t>
            </w:r>
            <w:r>
              <w:rPr>
                <w:i/>
                <w:color w:val="auto"/>
                <w:sz w:val="24"/>
                <w:highlight w:val="none"/>
              </w:rPr>
              <w:t>D</w:t>
            </w:r>
            <w:r>
              <w:rPr>
                <w:i/>
                <w:color w:val="auto"/>
                <w:sz w:val="24"/>
                <w:highlight w:val="none"/>
                <w:vertAlign w:val="subscript"/>
              </w:rPr>
              <w:t>S</w:t>
            </w:r>
            <w:r>
              <w:rPr>
                <w:color w:val="auto"/>
                <w:kern w:val="0"/>
                <w:sz w:val="24"/>
                <w:highlight w:val="none"/>
                <w:lang w:bidi="ar"/>
              </w:rPr>
              <w:t>—</w:t>
            </w:r>
            <w:r>
              <w:rPr>
                <w:iCs/>
                <w:color w:val="auto"/>
                <w:sz w:val="24"/>
                <w:highlight w:val="none"/>
              </w:rPr>
              <w:t>皮肤吸收剂量，mGy；</w:t>
            </w:r>
          </w:p>
          <w:p w14:paraId="0D92B1BA">
            <w:pPr>
              <w:pStyle w:val="23"/>
              <w:spacing w:after="0"/>
              <w:ind w:firstLine="1200" w:firstLineChars="500"/>
              <w:rPr>
                <w:iCs/>
                <w:color w:val="auto"/>
                <w:sz w:val="24"/>
                <w:highlight w:val="none"/>
              </w:rPr>
            </w:pPr>
            <w:r>
              <w:rPr>
                <w:i/>
                <w:color w:val="auto"/>
                <w:sz w:val="24"/>
                <w:highlight w:val="none"/>
              </w:rPr>
              <w:t>D</w:t>
            </w:r>
            <w:r>
              <w:rPr>
                <w:i/>
                <w:color w:val="auto"/>
                <w:sz w:val="24"/>
                <w:highlight w:val="none"/>
                <w:vertAlign w:val="subscript"/>
              </w:rPr>
              <w:t>T</w:t>
            </w:r>
            <w:r>
              <w:rPr>
                <w:color w:val="auto"/>
                <w:kern w:val="0"/>
                <w:sz w:val="24"/>
                <w:highlight w:val="none"/>
                <w:lang w:bidi="ar"/>
              </w:rPr>
              <w:t>—</w:t>
            </w:r>
            <w:r>
              <w:rPr>
                <w:iCs/>
                <w:color w:val="auto"/>
                <w:sz w:val="24"/>
                <w:highlight w:val="none"/>
              </w:rPr>
              <w:t>皮肤当量剂量，mSv；</w:t>
            </w:r>
          </w:p>
          <w:p w14:paraId="44873F42">
            <w:pPr>
              <w:pStyle w:val="23"/>
              <w:spacing w:after="0"/>
              <w:ind w:firstLine="1200" w:firstLineChars="500"/>
              <w:rPr>
                <w:iCs/>
                <w:color w:val="auto"/>
                <w:sz w:val="24"/>
                <w:highlight w:val="none"/>
              </w:rPr>
            </w:pPr>
            <w:r>
              <w:rPr>
                <w:i/>
                <w:color w:val="auto"/>
                <w:sz w:val="24"/>
                <w:highlight w:val="none"/>
              </w:rPr>
              <w:t>W</w:t>
            </w:r>
            <w:r>
              <w:rPr>
                <w:i/>
                <w:color w:val="auto"/>
                <w:sz w:val="24"/>
                <w:highlight w:val="none"/>
                <w:vertAlign w:val="subscript"/>
              </w:rPr>
              <w:t>R</w:t>
            </w:r>
            <w:r>
              <w:rPr>
                <w:color w:val="auto"/>
                <w:kern w:val="0"/>
                <w:sz w:val="24"/>
                <w:highlight w:val="none"/>
                <w:lang w:bidi="ar"/>
              </w:rPr>
              <w:t>—辐射权重因子，</w:t>
            </w:r>
            <w:r>
              <w:rPr>
                <w:rFonts w:hint="eastAsia"/>
                <w:color w:val="auto"/>
                <w:kern w:val="0"/>
                <w:sz w:val="24"/>
                <w:highlight w:val="none"/>
                <w:lang w:bidi="ar"/>
              </w:rPr>
              <w:t>X射线为</w:t>
            </w:r>
            <w:r>
              <w:rPr>
                <w:color w:val="auto"/>
                <w:kern w:val="0"/>
                <w:sz w:val="24"/>
                <w:highlight w:val="none"/>
                <w:lang w:bidi="ar"/>
              </w:rPr>
              <w:t>1；</w:t>
            </w:r>
            <w:r>
              <w:rPr>
                <w:iCs/>
                <w:color w:val="auto"/>
                <w:sz w:val="24"/>
                <w:highlight w:val="none"/>
              </w:rPr>
              <w:t xml:space="preserve"> </w:t>
            </w:r>
          </w:p>
          <w:p w14:paraId="1E505175">
            <w:pPr>
              <w:pStyle w:val="23"/>
              <w:spacing w:after="0"/>
              <w:ind w:firstLine="1200" w:firstLineChars="500"/>
              <w:rPr>
                <w:iCs/>
                <w:color w:val="auto"/>
                <w:sz w:val="24"/>
                <w:highlight w:val="none"/>
              </w:rPr>
            </w:pPr>
            <w:r>
              <w:rPr>
                <w:rFonts w:eastAsia="仿宋_GB2312"/>
                <w:bCs/>
                <w:color w:val="auto"/>
                <w:position w:val="-6"/>
                <w:sz w:val="24"/>
                <w:highlight w:val="none"/>
              </w:rPr>
              <w:object>
                <v:shape id="_x0000_i1038" o:spt="75" type="#_x0000_t75" style="height:22pt;width:10pt;" o:ole="t" filled="f" o:preferrelative="t" stroked="f" coordsize="21600,21600">
                  <v:path/>
                  <v:fill on="f" alignshape="1" focussize="0,0"/>
                  <v:stroke on="f"/>
                  <v:imagedata r:id="rId60" o:title=""/>
                  <o:lock v:ext="edit" aspectratio="t"/>
                  <w10:wrap type="none"/>
                  <w10:anchorlock/>
                </v:shape>
                <o:OLEObject Type="Embed" ProgID="Equation.KSEE3" ShapeID="_x0000_i1038" DrawAspect="Content" ObjectID="_1468075738" r:id="rId59">
                  <o:LockedField>false</o:LockedField>
                </o:OLEObject>
              </w:object>
            </w:r>
            <w:r>
              <w:rPr>
                <w:color w:val="auto"/>
                <w:kern w:val="0"/>
                <w:sz w:val="24"/>
                <w:highlight w:val="none"/>
                <w:lang w:bidi="ar"/>
              </w:rPr>
              <w:t>—</w:t>
            </w:r>
            <w:r>
              <w:rPr>
                <w:iCs/>
                <w:color w:val="auto"/>
                <w:sz w:val="24"/>
                <w:highlight w:val="none"/>
              </w:rPr>
              <w:t>X辐射场的空气比释动能率，μGy/h；</w:t>
            </w:r>
          </w:p>
          <w:p w14:paraId="4EA0B321">
            <w:pPr>
              <w:pStyle w:val="23"/>
              <w:spacing w:after="0"/>
              <w:ind w:firstLine="1200" w:firstLineChars="500"/>
              <w:rPr>
                <w:color w:val="auto"/>
                <w:sz w:val="24"/>
                <w:highlight w:val="none"/>
              </w:rPr>
            </w:pPr>
            <w:r>
              <w:rPr>
                <w:rFonts w:hint="eastAsia"/>
                <w:i/>
                <w:color w:val="auto"/>
                <w:sz w:val="24"/>
                <w:highlight w:val="none"/>
              </w:rPr>
              <w:t>C</w:t>
            </w:r>
            <w:r>
              <w:rPr>
                <w:rFonts w:hint="eastAsia"/>
                <w:i/>
                <w:color w:val="auto"/>
                <w:sz w:val="24"/>
                <w:highlight w:val="none"/>
                <w:vertAlign w:val="subscript"/>
              </w:rPr>
              <w:t>KS</w:t>
            </w:r>
            <w:r>
              <w:rPr>
                <w:rFonts w:hint="eastAsia"/>
                <w:i/>
                <w:color w:val="auto"/>
                <w:sz w:val="24"/>
                <w:highlight w:val="none"/>
              </w:rPr>
              <w:t>—</w:t>
            </w:r>
            <w:r>
              <w:rPr>
                <w:iCs/>
                <w:color w:val="auto"/>
                <w:sz w:val="24"/>
                <w:highlight w:val="none"/>
              </w:rPr>
              <w:t>空气比释动能到皮肤吸收剂量的转换系数，Gy/Gy</w:t>
            </w:r>
          </w:p>
          <w:p w14:paraId="1C985534">
            <w:pPr>
              <w:pStyle w:val="23"/>
              <w:spacing w:after="0"/>
              <w:ind w:firstLine="1200" w:firstLineChars="500"/>
              <w:rPr>
                <w:iCs/>
                <w:color w:val="auto"/>
                <w:sz w:val="24"/>
                <w:highlight w:val="none"/>
              </w:rPr>
            </w:pPr>
            <w:r>
              <w:rPr>
                <w:i/>
                <w:color w:val="auto"/>
                <w:sz w:val="24"/>
                <w:highlight w:val="none"/>
              </w:rPr>
              <w:t>t</w:t>
            </w:r>
            <w:r>
              <w:rPr>
                <w:color w:val="auto"/>
                <w:kern w:val="0"/>
                <w:sz w:val="24"/>
                <w:highlight w:val="none"/>
                <w:lang w:bidi="ar"/>
              </w:rPr>
              <w:t>—</w:t>
            </w:r>
            <w:r>
              <w:rPr>
                <w:iCs/>
                <w:color w:val="auto"/>
                <w:sz w:val="24"/>
                <w:highlight w:val="none"/>
              </w:rPr>
              <w:t>人员累积受照时间，h</w:t>
            </w:r>
            <w:r>
              <w:rPr>
                <w:rFonts w:hint="eastAsia"/>
                <w:iCs/>
                <w:color w:val="auto"/>
                <w:sz w:val="24"/>
                <w:highlight w:val="none"/>
              </w:rPr>
              <w:t>；</w:t>
            </w:r>
          </w:p>
          <w:p w14:paraId="7EFBCF18">
            <w:pPr>
              <w:pStyle w:val="23"/>
              <w:spacing w:after="0"/>
              <w:ind w:firstLine="1200" w:firstLineChars="500"/>
              <w:rPr>
                <w:iCs/>
                <w:color w:val="auto"/>
                <w:sz w:val="24"/>
                <w:highlight w:val="none"/>
              </w:rPr>
            </w:pPr>
            <w:r>
              <w:rPr>
                <w:color w:val="auto"/>
                <w:position w:val="-10"/>
                <w:sz w:val="24"/>
                <w:highlight w:val="none"/>
              </w:rPr>
              <w:object>
                <v:shape id="_x0000_i1039" o:spt="75" type="#_x0000_t75" style="height:24.95pt;width:38pt;" o:ole="t" filled="f" stroked="f" coordsize="21600,21600">
                  <v:path/>
                  <v:fill on="f" focussize="0,0"/>
                  <v:stroke on="f"/>
                  <v:imagedata r:id="rId62" o:title=""/>
                  <o:lock v:ext="edit" aspectratio="t"/>
                  <w10:wrap type="none"/>
                  <w10:anchorlock/>
                </v:shape>
                <o:OLEObject Type="Embed" ProgID="Equation.KSEE3" ShapeID="_x0000_i1039" DrawAspect="Content" ObjectID="_1468075739" r:id="rId61">
                  <o:LockedField>false</o:LockedField>
                </o:OLEObject>
              </w:object>
            </w:r>
            <w:r>
              <w:rPr>
                <w:color w:val="auto"/>
                <w:kern w:val="0"/>
                <w:sz w:val="24"/>
                <w:highlight w:val="none"/>
                <w:lang w:bidi="ar"/>
              </w:rPr>
              <w:t>—</w:t>
            </w:r>
            <w:r>
              <w:rPr>
                <w:iCs/>
                <w:color w:val="auto"/>
                <w:sz w:val="24"/>
                <w:highlight w:val="none"/>
              </w:rPr>
              <w:t>X辐射场的周围剂量当量率，μSv/h；</w:t>
            </w:r>
          </w:p>
          <w:p w14:paraId="765AE89D">
            <w:pPr>
              <w:pStyle w:val="23"/>
              <w:spacing w:after="0"/>
              <w:ind w:firstLine="1200" w:firstLineChars="500"/>
              <w:rPr>
                <w:color w:val="auto"/>
                <w:sz w:val="24"/>
                <w:highlight w:val="none"/>
              </w:rPr>
            </w:pPr>
            <w:r>
              <w:rPr>
                <w:rFonts w:hint="eastAsia"/>
                <w:i/>
                <w:color w:val="auto"/>
                <w:sz w:val="24"/>
                <w:highlight w:val="none"/>
              </w:rPr>
              <w:t>C</w:t>
            </w:r>
            <w:r>
              <w:rPr>
                <w:rFonts w:hint="eastAsia"/>
                <w:i/>
                <w:color w:val="auto"/>
                <w:sz w:val="24"/>
                <w:highlight w:val="none"/>
                <w:vertAlign w:val="subscript"/>
              </w:rPr>
              <w:t>KH*</w:t>
            </w:r>
            <w:r>
              <w:rPr>
                <w:rFonts w:hint="eastAsia"/>
                <w:iCs/>
                <w:color w:val="auto"/>
                <w:sz w:val="24"/>
                <w:highlight w:val="none"/>
              </w:rPr>
              <w:t>—</w:t>
            </w:r>
            <w:r>
              <w:rPr>
                <w:iCs/>
                <w:color w:val="auto"/>
                <w:sz w:val="24"/>
                <w:highlight w:val="none"/>
              </w:rPr>
              <w:t>空气比释动能到周围剂量当量的转换系数，Sv/Gy</w:t>
            </w:r>
            <w:r>
              <w:rPr>
                <w:rFonts w:hint="eastAsia"/>
                <w:iCs/>
                <w:color w:val="auto"/>
                <w:sz w:val="24"/>
                <w:highlight w:val="none"/>
              </w:rPr>
              <w:t>。</w:t>
            </w:r>
          </w:p>
          <w:p w14:paraId="01F0F164">
            <w:pPr>
              <w:pStyle w:val="23"/>
              <w:spacing w:after="0"/>
              <w:ind w:firstLine="482" w:firstLineChars="200"/>
              <w:rPr>
                <w:b/>
                <w:bCs/>
                <w:color w:val="auto"/>
                <w:kern w:val="0"/>
                <w:sz w:val="24"/>
                <w:highlight w:val="none"/>
              </w:rPr>
            </w:pPr>
            <w:r>
              <w:rPr>
                <w:rFonts w:hint="eastAsia"/>
                <w:b/>
                <w:bCs/>
                <w:color w:val="auto"/>
                <w:kern w:val="0"/>
                <w:sz w:val="24"/>
                <w:highlight w:val="none"/>
              </w:rPr>
              <w:t>②</w:t>
            </w:r>
            <w:r>
              <w:rPr>
                <w:b/>
                <w:bCs/>
                <w:color w:val="auto"/>
                <w:kern w:val="0"/>
                <w:sz w:val="24"/>
                <w:highlight w:val="none"/>
              </w:rPr>
              <w:t>计算</w:t>
            </w:r>
            <w:r>
              <w:rPr>
                <w:rFonts w:hint="eastAsia"/>
                <w:b/>
                <w:bCs/>
                <w:color w:val="auto"/>
                <w:kern w:val="0"/>
                <w:sz w:val="24"/>
                <w:highlight w:val="none"/>
              </w:rPr>
              <w:t>结果</w:t>
            </w:r>
          </w:p>
          <w:p w14:paraId="64BFE75F">
            <w:pPr>
              <w:pStyle w:val="23"/>
              <w:spacing w:after="0"/>
              <w:ind w:firstLine="480" w:firstLineChars="200"/>
              <w:rPr>
                <w:iCs/>
                <w:color w:val="auto"/>
                <w:sz w:val="24"/>
                <w:highlight w:val="none"/>
              </w:rPr>
            </w:pPr>
            <w:r>
              <w:rPr>
                <w:iCs/>
                <w:color w:val="auto"/>
                <w:sz w:val="24"/>
                <w:highlight w:val="none"/>
              </w:rPr>
              <w:t>手术医生在</w:t>
            </w:r>
            <w:r>
              <w:rPr>
                <w:rFonts w:hint="eastAsia"/>
                <w:iCs/>
                <w:color w:val="auto"/>
                <w:sz w:val="24"/>
                <w:highlight w:val="none"/>
                <w:lang w:val="en-US" w:eastAsia="zh-CN"/>
              </w:rPr>
              <w:t>各手术室</w:t>
            </w:r>
            <w:r>
              <w:rPr>
                <w:iCs/>
                <w:color w:val="auto"/>
                <w:sz w:val="24"/>
                <w:highlight w:val="none"/>
              </w:rPr>
              <w:t>内进行介入手术时，会</w:t>
            </w:r>
            <w:r>
              <w:rPr>
                <w:rFonts w:hint="eastAsia"/>
                <w:iCs/>
                <w:color w:val="auto"/>
                <w:sz w:val="24"/>
                <w:highlight w:val="none"/>
              </w:rPr>
              <w:t>穿戴铅衣</w:t>
            </w:r>
            <w:r>
              <w:rPr>
                <w:iCs/>
                <w:color w:val="auto"/>
                <w:sz w:val="24"/>
                <w:highlight w:val="none"/>
              </w:rPr>
              <w:t>、介入防护手套、铅防护眼镜、铅橡胶颈套等防护用品</w:t>
            </w:r>
            <w:r>
              <w:rPr>
                <w:rFonts w:hint="eastAsia"/>
                <w:iCs/>
                <w:color w:val="auto"/>
                <w:sz w:val="24"/>
                <w:highlight w:val="none"/>
              </w:rPr>
              <w:t>，通常位于介入治疗病床侧面，面对病患，主要受到散射辐射和泄漏辐射的影响。根据前述式11-</w:t>
            </w:r>
            <w:r>
              <w:rPr>
                <w:rFonts w:hint="eastAsia"/>
                <w:iCs/>
                <w:color w:val="auto"/>
                <w:sz w:val="24"/>
                <w:highlight w:val="none"/>
                <w:lang w:val="en-US" w:eastAsia="zh-CN"/>
              </w:rPr>
              <w:t>9</w:t>
            </w:r>
            <w:r>
              <w:rPr>
                <w:rFonts w:hint="eastAsia"/>
                <w:iCs/>
                <w:color w:val="auto"/>
                <w:sz w:val="24"/>
                <w:highlight w:val="none"/>
              </w:rPr>
              <w:t>和式11-</w:t>
            </w:r>
            <w:r>
              <w:rPr>
                <w:rFonts w:hint="eastAsia"/>
                <w:iCs/>
                <w:color w:val="auto"/>
                <w:sz w:val="24"/>
                <w:highlight w:val="none"/>
                <w:lang w:val="en-US" w:eastAsia="zh-CN"/>
              </w:rPr>
              <w:t>10</w:t>
            </w:r>
            <w:r>
              <w:rPr>
                <w:rFonts w:hint="eastAsia"/>
                <w:iCs/>
                <w:color w:val="auto"/>
                <w:sz w:val="24"/>
                <w:highlight w:val="none"/>
              </w:rPr>
              <w:t>，</w:t>
            </w:r>
            <w:r>
              <w:rPr>
                <w:iCs/>
                <w:color w:val="auto"/>
                <w:sz w:val="24"/>
                <w:highlight w:val="none"/>
              </w:rPr>
              <w:t>医生操作时</w:t>
            </w:r>
            <w:r>
              <w:rPr>
                <w:rFonts w:hint="eastAsia"/>
                <w:iCs/>
                <w:color w:val="auto"/>
                <w:sz w:val="24"/>
                <w:highlight w:val="none"/>
              </w:rPr>
              <w:t>手</w:t>
            </w:r>
            <w:r>
              <w:rPr>
                <w:iCs/>
                <w:color w:val="auto"/>
                <w:sz w:val="24"/>
                <w:highlight w:val="none"/>
              </w:rPr>
              <w:t>部受到铅手套（0.0</w:t>
            </w:r>
            <w:r>
              <w:rPr>
                <w:rFonts w:hint="eastAsia"/>
                <w:iCs/>
                <w:color w:val="auto"/>
                <w:sz w:val="24"/>
                <w:highlight w:val="none"/>
              </w:rPr>
              <w:t>5</w:t>
            </w:r>
            <w:r>
              <w:rPr>
                <w:iCs/>
                <w:color w:val="auto"/>
                <w:sz w:val="24"/>
                <w:highlight w:val="none"/>
              </w:rPr>
              <w:t>mmPb）屏蔽防护</w:t>
            </w:r>
            <w:r>
              <w:rPr>
                <w:rFonts w:hint="eastAsia"/>
                <w:iCs/>
                <w:color w:val="auto"/>
                <w:sz w:val="24"/>
                <w:highlight w:val="none"/>
              </w:rPr>
              <w:t>，则</w:t>
            </w:r>
            <w:r>
              <w:rPr>
                <w:iCs/>
                <w:color w:val="auto"/>
                <w:sz w:val="24"/>
                <w:highlight w:val="none"/>
              </w:rPr>
              <w:t>本项目</w:t>
            </w:r>
            <w:r>
              <w:rPr>
                <w:rFonts w:hint="eastAsia"/>
                <w:iCs/>
                <w:color w:val="auto"/>
                <w:sz w:val="24"/>
                <w:highlight w:val="none"/>
              </w:rPr>
              <w:t>医生</w:t>
            </w:r>
            <w:r>
              <w:rPr>
                <w:iCs/>
                <w:color w:val="auto"/>
                <w:sz w:val="24"/>
                <w:highlight w:val="none"/>
              </w:rPr>
              <w:t>手术时</w:t>
            </w:r>
            <w:r>
              <w:rPr>
                <w:rFonts w:hint="eastAsia"/>
                <w:iCs/>
                <w:color w:val="auto"/>
                <w:sz w:val="24"/>
                <w:highlight w:val="none"/>
              </w:rPr>
              <w:t>手</w:t>
            </w:r>
            <w:r>
              <w:rPr>
                <w:iCs/>
                <w:color w:val="auto"/>
                <w:sz w:val="24"/>
                <w:highlight w:val="none"/>
              </w:rPr>
              <w:t>部位置处的</w:t>
            </w:r>
            <w:r>
              <w:rPr>
                <w:rFonts w:hint="eastAsia"/>
                <w:iCs/>
                <w:color w:val="auto"/>
                <w:sz w:val="24"/>
                <w:highlight w:val="none"/>
              </w:rPr>
              <w:t>辐射剂量率为7.14</w:t>
            </w:r>
            <w:r>
              <w:rPr>
                <w:iCs/>
                <w:color w:val="auto"/>
                <w:sz w:val="24"/>
                <w:highlight w:val="none"/>
              </w:rPr>
              <w:t>×10</w:t>
            </w:r>
            <w:r>
              <w:rPr>
                <w:rFonts w:hint="eastAsia"/>
                <w:iCs/>
                <w:color w:val="auto"/>
                <w:sz w:val="24"/>
                <w:highlight w:val="none"/>
                <w:vertAlign w:val="superscript"/>
              </w:rPr>
              <w:t>3</w:t>
            </w:r>
            <w:r>
              <w:rPr>
                <w:iCs/>
                <w:color w:val="auto"/>
                <w:sz w:val="24"/>
                <w:highlight w:val="none"/>
              </w:rPr>
              <w:t>μSv/h（其中散射为</w:t>
            </w:r>
            <w:r>
              <w:rPr>
                <w:rFonts w:hint="eastAsia"/>
                <w:iCs/>
                <w:color w:val="auto"/>
                <w:sz w:val="24"/>
                <w:highlight w:val="none"/>
              </w:rPr>
              <w:t>4.66</w:t>
            </w:r>
            <w:r>
              <w:rPr>
                <w:iCs/>
                <w:color w:val="auto"/>
                <w:sz w:val="24"/>
                <w:highlight w:val="none"/>
              </w:rPr>
              <w:t>×10</w:t>
            </w:r>
            <w:r>
              <w:rPr>
                <w:rFonts w:hint="eastAsia"/>
                <w:iCs/>
                <w:color w:val="auto"/>
                <w:sz w:val="24"/>
                <w:highlight w:val="none"/>
                <w:vertAlign w:val="superscript"/>
              </w:rPr>
              <w:t>3</w:t>
            </w:r>
            <w:r>
              <w:rPr>
                <w:iCs/>
                <w:color w:val="auto"/>
                <w:sz w:val="24"/>
                <w:highlight w:val="none"/>
              </w:rPr>
              <w:t>μSv/h，漏射</w:t>
            </w:r>
            <w:r>
              <w:rPr>
                <w:rFonts w:hint="eastAsia"/>
                <w:iCs/>
                <w:color w:val="auto"/>
                <w:sz w:val="24"/>
                <w:highlight w:val="none"/>
              </w:rPr>
              <w:t>为2.48</w:t>
            </w:r>
            <w:r>
              <w:rPr>
                <w:iCs/>
                <w:color w:val="auto"/>
                <w:sz w:val="24"/>
                <w:highlight w:val="none"/>
              </w:rPr>
              <w:t>×10</w:t>
            </w:r>
            <w:r>
              <w:rPr>
                <w:rFonts w:hint="eastAsia"/>
                <w:iCs/>
                <w:color w:val="auto"/>
                <w:sz w:val="24"/>
                <w:highlight w:val="none"/>
                <w:vertAlign w:val="superscript"/>
              </w:rPr>
              <w:t>3</w:t>
            </w:r>
            <w:r>
              <w:rPr>
                <w:iCs/>
                <w:color w:val="auto"/>
                <w:sz w:val="24"/>
                <w:highlight w:val="none"/>
              </w:rPr>
              <w:t>μSv/h）。根据前文表11-</w:t>
            </w:r>
            <w:r>
              <w:rPr>
                <w:rFonts w:hint="eastAsia"/>
                <w:iCs/>
                <w:color w:val="auto"/>
                <w:sz w:val="24"/>
                <w:highlight w:val="none"/>
                <w:lang w:val="en-US" w:eastAsia="zh-CN"/>
              </w:rPr>
              <w:t>16</w:t>
            </w:r>
            <w:r>
              <w:rPr>
                <w:iCs/>
                <w:color w:val="auto"/>
                <w:sz w:val="24"/>
                <w:highlight w:val="none"/>
              </w:rPr>
              <w:t>各科室介入手术工作量分配情况</w:t>
            </w:r>
            <w:r>
              <w:rPr>
                <w:rFonts w:hint="eastAsia"/>
                <w:iCs/>
                <w:color w:val="auto"/>
                <w:sz w:val="24"/>
                <w:highlight w:val="none"/>
              </w:rPr>
              <w:t>，</w:t>
            </w:r>
            <w:bookmarkStart w:id="64" w:name="_Hlk199246466"/>
            <w:r>
              <w:rPr>
                <w:iCs/>
                <w:color w:val="auto"/>
                <w:sz w:val="24"/>
                <w:highlight w:val="none"/>
              </w:rPr>
              <w:t>各科室单组年最大</w:t>
            </w:r>
            <w:r>
              <w:rPr>
                <w:rFonts w:hint="eastAsia"/>
                <w:iCs/>
                <w:color w:val="auto"/>
                <w:sz w:val="24"/>
                <w:highlight w:val="none"/>
                <w:lang w:val="en-US" w:eastAsia="zh-CN"/>
              </w:rPr>
              <w:t>介入操作</w:t>
            </w:r>
            <w:r>
              <w:rPr>
                <w:iCs/>
                <w:color w:val="auto"/>
                <w:sz w:val="24"/>
                <w:highlight w:val="none"/>
              </w:rPr>
              <w:t>时间</w:t>
            </w:r>
            <w:r>
              <w:rPr>
                <w:rFonts w:hint="eastAsia"/>
                <w:iCs/>
                <w:color w:val="auto"/>
                <w:sz w:val="24"/>
                <w:highlight w:val="none"/>
              </w:rPr>
              <w:t>为</w:t>
            </w:r>
            <w:r>
              <w:rPr>
                <w:rFonts w:hint="eastAsia"/>
                <w:iCs/>
                <w:color w:val="auto"/>
                <w:sz w:val="24"/>
                <w:highlight w:val="none"/>
                <w:lang w:val="en-US" w:eastAsia="zh-CN"/>
              </w:rPr>
              <w:t>100</w:t>
            </w:r>
            <w:r>
              <w:rPr>
                <w:rFonts w:hint="eastAsia"/>
                <w:iCs/>
                <w:color w:val="auto"/>
                <w:sz w:val="24"/>
                <w:highlight w:val="none"/>
              </w:rPr>
              <w:t>h，据医院大量手术经验统计：手术过程中医生随时在活动，其手部不会一直处于受照射位置不动，</w:t>
            </w:r>
            <w:r>
              <w:rPr>
                <w:iCs/>
                <w:color w:val="auto"/>
                <w:sz w:val="24"/>
                <w:highlight w:val="none"/>
              </w:rPr>
              <w:t>医生手术位</w:t>
            </w:r>
            <w:r>
              <w:rPr>
                <w:rFonts w:hint="eastAsia"/>
                <w:iCs/>
                <w:color w:val="auto"/>
                <w:sz w:val="24"/>
                <w:highlight w:val="none"/>
              </w:rPr>
              <w:t>手部</w:t>
            </w:r>
            <w:r>
              <w:rPr>
                <w:iCs/>
                <w:color w:val="auto"/>
                <w:sz w:val="24"/>
                <w:highlight w:val="none"/>
              </w:rPr>
              <w:t>皮肤约1/</w:t>
            </w:r>
            <w:r>
              <w:rPr>
                <w:rFonts w:hint="eastAsia"/>
                <w:iCs/>
                <w:color w:val="auto"/>
                <w:sz w:val="24"/>
                <w:highlight w:val="none"/>
                <w:lang w:val="en-US" w:eastAsia="zh-CN"/>
              </w:rPr>
              <w:t>6</w:t>
            </w:r>
            <w:r>
              <w:rPr>
                <w:iCs/>
                <w:color w:val="auto"/>
                <w:sz w:val="24"/>
                <w:highlight w:val="none"/>
              </w:rPr>
              <w:t>的时间（</w:t>
            </w:r>
            <w:r>
              <w:rPr>
                <w:rFonts w:hint="eastAsia"/>
                <w:iCs/>
                <w:color w:val="auto"/>
                <w:sz w:val="24"/>
                <w:highlight w:val="none"/>
                <w:lang w:val="en-US" w:eastAsia="zh-CN"/>
              </w:rPr>
              <w:t>16.7</w:t>
            </w:r>
            <w:r>
              <w:rPr>
                <w:iCs/>
                <w:color w:val="auto"/>
                <w:sz w:val="24"/>
                <w:highlight w:val="none"/>
              </w:rPr>
              <w:t>h）处于受照位置</w:t>
            </w:r>
            <w:bookmarkEnd w:id="64"/>
            <w:r>
              <w:rPr>
                <w:rFonts w:hint="eastAsia"/>
                <w:iCs/>
                <w:color w:val="auto"/>
                <w:sz w:val="24"/>
                <w:highlight w:val="none"/>
              </w:rPr>
              <w:t>，根据式11-</w:t>
            </w:r>
            <w:r>
              <w:rPr>
                <w:rFonts w:hint="eastAsia"/>
                <w:iCs/>
                <w:color w:val="auto"/>
                <w:sz w:val="24"/>
                <w:highlight w:val="none"/>
                <w:lang w:val="en-US" w:eastAsia="zh-CN"/>
              </w:rPr>
              <w:t>12</w:t>
            </w:r>
            <w:r>
              <w:rPr>
                <w:rFonts w:hint="eastAsia"/>
                <w:iCs/>
                <w:color w:val="auto"/>
                <w:sz w:val="24"/>
                <w:highlight w:val="none"/>
              </w:rPr>
              <w:t>~式11-</w:t>
            </w:r>
            <w:r>
              <w:rPr>
                <w:rFonts w:hint="eastAsia"/>
                <w:iCs/>
                <w:color w:val="auto"/>
                <w:sz w:val="24"/>
                <w:highlight w:val="none"/>
                <w:lang w:val="en-US" w:eastAsia="zh-CN"/>
              </w:rPr>
              <w:t>14</w:t>
            </w:r>
            <w:r>
              <w:rPr>
                <w:iCs/>
                <w:color w:val="auto"/>
                <w:sz w:val="24"/>
                <w:highlight w:val="none"/>
              </w:rPr>
              <w:t>核算出</w:t>
            </w:r>
            <w:r>
              <w:rPr>
                <w:rFonts w:hint="eastAsia"/>
                <w:iCs/>
                <w:color w:val="auto"/>
                <w:sz w:val="24"/>
                <w:highlight w:val="none"/>
              </w:rPr>
              <w:t>单组</w:t>
            </w:r>
            <w:r>
              <w:rPr>
                <w:iCs/>
                <w:color w:val="auto"/>
                <w:sz w:val="24"/>
                <w:highlight w:val="none"/>
              </w:rPr>
              <w:t>医生</w:t>
            </w:r>
            <w:r>
              <w:rPr>
                <w:rFonts w:hint="eastAsia"/>
                <w:iCs/>
                <w:color w:val="auto"/>
                <w:sz w:val="24"/>
                <w:highlight w:val="none"/>
              </w:rPr>
              <w:t>手</w:t>
            </w:r>
            <w:r>
              <w:rPr>
                <w:iCs/>
                <w:color w:val="auto"/>
                <w:sz w:val="24"/>
                <w:highlight w:val="none"/>
              </w:rPr>
              <w:t>部皮肤受到当量剂量</w:t>
            </w:r>
            <w:r>
              <w:rPr>
                <w:rFonts w:hint="eastAsia"/>
                <w:iCs/>
                <w:color w:val="auto"/>
                <w:sz w:val="24"/>
                <w:highlight w:val="none"/>
              </w:rPr>
              <w:t>最大</w:t>
            </w:r>
            <w:r>
              <w:rPr>
                <w:iCs/>
                <w:color w:val="auto"/>
                <w:sz w:val="24"/>
                <w:highlight w:val="none"/>
              </w:rPr>
              <w:t>为</w:t>
            </w:r>
            <w:r>
              <w:rPr>
                <w:rFonts w:hint="eastAsia"/>
                <w:iCs/>
                <w:color w:val="auto"/>
                <w:sz w:val="24"/>
                <w:highlight w:val="none"/>
                <w:lang w:val="en-US" w:eastAsia="zh-CN"/>
              </w:rPr>
              <w:t>119</w:t>
            </w:r>
            <w:r>
              <w:rPr>
                <w:iCs/>
                <w:color w:val="auto"/>
                <w:sz w:val="24"/>
                <w:highlight w:val="none"/>
              </w:rPr>
              <w:t>mSv/a，满足本项目职业人员四肢（手和足）或皮肤的年当量剂量</w:t>
            </w:r>
            <w:r>
              <w:rPr>
                <w:rFonts w:hint="eastAsia"/>
                <w:iCs/>
                <w:color w:val="auto"/>
                <w:sz w:val="24"/>
                <w:highlight w:val="none"/>
              </w:rPr>
              <w:t>约束</w:t>
            </w:r>
            <w:r>
              <w:rPr>
                <w:iCs/>
                <w:color w:val="auto"/>
                <w:sz w:val="24"/>
                <w:highlight w:val="none"/>
              </w:rPr>
              <w:t>限值125mSv</w:t>
            </w:r>
            <w:r>
              <w:rPr>
                <w:rFonts w:hint="eastAsia"/>
                <w:iCs/>
                <w:color w:val="auto"/>
                <w:sz w:val="24"/>
                <w:highlight w:val="none"/>
              </w:rPr>
              <w:t>的要求</w:t>
            </w:r>
            <w:r>
              <w:rPr>
                <w:iCs/>
                <w:color w:val="auto"/>
                <w:sz w:val="24"/>
                <w:highlight w:val="none"/>
              </w:rPr>
              <w:t>。</w:t>
            </w:r>
          </w:p>
          <w:p w14:paraId="3D9612DF">
            <w:pPr>
              <w:ind w:firstLine="482" w:firstLineChars="200"/>
              <w:rPr>
                <w:b/>
                <w:color w:val="auto"/>
                <w:kern w:val="0"/>
                <w:highlight w:val="none"/>
                <w:lang w:bidi="ar"/>
              </w:rPr>
            </w:pPr>
            <w:r>
              <w:rPr>
                <w:b/>
                <w:color w:val="auto"/>
                <w:highlight w:val="none"/>
              </w:rPr>
              <w:t>医院应严格落实辐射安全防护的各项规章制度，</w:t>
            </w:r>
            <w:r>
              <w:rPr>
                <w:b/>
                <w:color w:val="auto"/>
                <w:kern w:val="0"/>
                <w:highlight w:val="none"/>
                <w:lang w:bidi="ar"/>
              </w:rPr>
              <w:t>所有手术过程中</w:t>
            </w:r>
            <w:r>
              <w:rPr>
                <w:rFonts w:hint="eastAsia"/>
                <w:b/>
                <w:color w:val="auto"/>
                <w:kern w:val="0"/>
                <w:highlight w:val="none"/>
                <w:lang w:val="en-US" w:eastAsia="zh-CN" w:bidi="ar"/>
              </w:rPr>
              <w:t>温江院区DSA室1</w:t>
            </w:r>
            <w:r>
              <w:rPr>
                <w:b/>
                <w:color w:val="auto"/>
                <w:kern w:val="0"/>
                <w:highlight w:val="none"/>
                <w:lang w:bidi="ar"/>
              </w:rPr>
              <w:t>内的医护人员均应按辐射工作人员进行管理，手术时医护人员应</w:t>
            </w:r>
            <w:r>
              <w:rPr>
                <w:b/>
                <w:color w:val="auto"/>
                <w:highlight w:val="none"/>
              </w:rPr>
              <w:t>穿戴好防护用品并严格遵守操作规程</w:t>
            </w:r>
            <w:r>
              <w:rPr>
                <w:b/>
                <w:color w:val="auto"/>
                <w:kern w:val="0"/>
                <w:highlight w:val="none"/>
                <w:lang w:bidi="ar"/>
              </w:rPr>
              <w:t>。对病人病灶进行照射时，应将病人病灶以外的部位</w:t>
            </w:r>
            <w:r>
              <w:rPr>
                <w:rFonts w:hint="eastAsia"/>
                <w:b/>
                <w:color w:val="auto"/>
                <w:kern w:val="0"/>
                <w:highlight w:val="none"/>
                <w:lang w:bidi="ar"/>
              </w:rPr>
              <w:t>用铅防护用品进行遮挡</w:t>
            </w:r>
            <w:r>
              <w:rPr>
                <w:b/>
                <w:color w:val="auto"/>
                <w:kern w:val="0"/>
                <w:highlight w:val="none"/>
                <w:lang w:bidi="ar"/>
              </w:rPr>
              <w:t>，以避免病人受到不必要的照射。</w:t>
            </w:r>
          </w:p>
          <w:p w14:paraId="66FE9C10">
            <w:pPr>
              <w:pStyle w:val="20"/>
              <w:ind w:firstLine="482" w:firstLineChars="200"/>
              <w:rPr>
                <w:b/>
                <w:bCs/>
                <w:color w:val="auto"/>
                <w:kern w:val="0"/>
                <w:highlight w:val="none"/>
              </w:rPr>
            </w:pPr>
            <w:r>
              <w:rPr>
                <w:b/>
                <w:bCs/>
                <w:color w:val="auto"/>
                <w:kern w:val="0"/>
                <w:highlight w:val="none"/>
              </w:rPr>
              <w:t>2、公众</w:t>
            </w:r>
          </w:p>
          <w:p w14:paraId="6970D33F">
            <w:pPr>
              <w:ind w:firstLine="480" w:firstLineChars="200"/>
              <w:rPr>
                <w:bCs/>
                <w:color w:val="auto"/>
                <w:highlight w:val="none"/>
              </w:rPr>
            </w:pPr>
            <w:r>
              <w:rPr>
                <w:bCs/>
                <w:color w:val="auto"/>
                <w:highlight w:val="none"/>
              </w:rPr>
              <w:t>根据电离辐射水平随着距离的增加而衰减的规律，距离</w:t>
            </w:r>
            <w:r>
              <w:rPr>
                <w:rFonts w:hint="eastAsia"/>
                <w:bCs/>
                <w:color w:val="auto"/>
                <w:highlight w:val="none"/>
                <w:lang w:val="en-US" w:eastAsia="zh-CN"/>
              </w:rPr>
              <w:t>四层各涉放机房</w:t>
            </w:r>
            <w:r>
              <w:rPr>
                <w:bCs/>
                <w:color w:val="auto"/>
                <w:highlight w:val="none"/>
              </w:rPr>
              <w:t>最近的关注点可以代表</w:t>
            </w:r>
            <w:r>
              <w:rPr>
                <w:rFonts w:hint="eastAsia"/>
                <w:bCs/>
                <w:color w:val="auto"/>
                <w:highlight w:val="none"/>
              </w:rPr>
              <w:t>此处环境保护目标处</w:t>
            </w:r>
            <w:r>
              <w:rPr>
                <w:bCs/>
                <w:color w:val="auto"/>
                <w:highlight w:val="none"/>
              </w:rPr>
              <w:t>最大可能</w:t>
            </w:r>
            <w:r>
              <w:rPr>
                <w:rFonts w:hint="eastAsia"/>
                <w:bCs/>
                <w:color w:val="auto"/>
                <w:highlight w:val="none"/>
              </w:rPr>
              <w:t>受到的附加</w:t>
            </w:r>
            <w:r>
              <w:rPr>
                <w:bCs/>
                <w:color w:val="auto"/>
                <w:highlight w:val="none"/>
              </w:rPr>
              <w:t>有效剂量，</w:t>
            </w:r>
            <w:r>
              <w:rPr>
                <w:rFonts w:hint="eastAsia"/>
                <w:bCs/>
                <w:color w:val="auto"/>
                <w:highlight w:val="none"/>
              </w:rPr>
              <w:t>本项目</w:t>
            </w:r>
            <w:r>
              <w:rPr>
                <w:rFonts w:hint="eastAsia"/>
                <w:bCs/>
                <w:color w:val="auto"/>
                <w:highlight w:val="none"/>
                <w:lang w:val="en-US" w:eastAsia="zh-CN"/>
              </w:rPr>
              <w:t>四层各涉放机房周围</w:t>
            </w:r>
            <w:r>
              <w:rPr>
                <w:bCs/>
                <w:color w:val="auto"/>
                <w:highlight w:val="none"/>
              </w:rPr>
              <w:t>环境保护目标</w:t>
            </w:r>
            <w:r>
              <w:rPr>
                <w:rFonts w:hint="eastAsia"/>
                <w:bCs/>
                <w:color w:val="auto"/>
                <w:highlight w:val="none"/>
              </w:rPr>
              <w:t>受到的最大附加</w:t>
            </w:r>
            <w:r>
              <w:rPr>
                <w:bCs/>
                <w:color w:val="auto"/>
                <w:highlight w:val="none"/>
              </w:rPr>
              <w:t>有效剂量</w:t>
            </w:r>
            <w:r>
              <w:rPr>
                <w:rFonts w:hint="eastAsia"/>
                <w:bCs/>
                <w:color w:val="auto"/>
                <w:highlight w:val="none"/>
              </w:rPr>
              <w:t>预测结果见下表。</w:t>
            </w:r>
          </w:p>
          <w:p w14:paraId="67BD0232">
            <w:pPr>
              <w:spacing w:before="163" w:beforeLines="50"/>
              <w:jc w:val="center"/>
              <w:rPr>
                <w:rFonts w:eastAsia="黑体"/>
                <w:b/>
                <w:color w:val="auto"/>
                <w:highlight w:val="none"/>
              </w:rPr>
            </w:pPr>
            <w:r>
              <w:rPr>
                <w:rFonts w:eastAsia="黑体"/>
                <w:b/>
                <w:color w:val="auto"/>
                <w:highlight w:val="none"/>
              </w:rPr>
              <w:t>表11-</w:t>
            </w:r>
            <w:r>
              <w:rPr>
                <w:rFonts w:hint="eastAsia" w:eastAsia="黑体"/>
                <w:b/>
                <w:color w:val="auto"/>
                <w:highlight w:val="none"/>
                <w:lang w:val="en-US" w:eastAsia="zh-CN"/>
              </w:rPr>
              <w:t>18</w:t>
            </w:r>
            <w:r>
              <w:rPr>
                <w:rFonts w:eastAsia="黑体"/>
                <w:b/>
                <w:color w:val="auto"/>
                <w:highlight w:val="none"/>
              </w:rPr>
              <w:t xml:space="preserve">  公众年</w:t>
            </w:r>
            <w:r>
              <w:rPr>
                <w:rFonts w:hint="eastAsia" w:eastAsia="黑体"/>
                <w:b/>
                <w:color w:val="auto"/>
                <w:highlight w:val="none"/>
              </w:rPr>
              <w:t>附加</w:t>
            </w:r>
            <w:r>
              <w:rPr>
                <w:rFonts w:eastAsia="黑体"/>
                <w:b/>
                <w:color w:val="auto"/>
                <w:highlight w:val="none"/>
              </w:rPr>
              <w:t>有效剂量预测一览表</w:t>
            </w:r>
          </w:p>
          <w:tbl>
            <w:tblPr>
              <w:tblStyle w:val="57"/>
              <w:tblW w:w="4992"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41"/>
              <w:gridCol w:w="1805"/>
              <w:gridCol w:w="615"/>
              <w:gridCol w:w="1050"/>
              <w:gridCol w:w="1153"/>
              <w:gridCol w:w="882"/>
              <w:gridCol w:w="708"/>
              <w:gridCol w:w="1155"/>
              <w:gridCol w:w="933"/>
            </w:tblGrid>
            <w:tr w14:paraId="0A9C59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367" w:type="pct"/>
                  <w:gridSpan w:val="2"/>
                  <w:noWrap w:val="0"/>
                  <w:vAlign w:val="center"/>
                </w:tcPr>
                <w:p w14:paraId="2E90E04F">
                  <w:pPr>
                    <w:keepNext w:val="0"/>
                    <w:keepLines w:val="0"/>
                    <w:pageBreakBefore w:val="0"/>
                    <w:kinsoku/>
                    <w:wordWrap/>
                    <w:overflowPunct/>
                    <w:topLinePunct w:val="0"/>
                    <w:autoSpaceDE/>
                    <w:autoSpaceDN/>
                    <w:bidi w:val="0"/>
                    <w:adjustRightInd/>
                    <w:snapToGrid/>
                    <w:spacing w:line="320" w:lineRule="exact"/>
                    <w:jc w:val="center"/>
                    <w:rPr>
                      <w:b/>
                      <w:bCs/>
                      <w:color w:val="auto"/>
                      <w:spacing w:val="-11"/>
                      <w:kern w:val="0"/>
                      <w:sz w:val="21"/>
                      <w:szCs w:val="21"/>
                      <w:highlight w:val="none"/>
                    </w:rPr>
                  </w:pPr>
                  <w:r>
                    <w:rPr>
                      <w:rFonts w:hint="eastAsia"/>
                      <w:b/>
                      <w:bCs/>
                      <w:color w:val="auto"/>
                      <w:spacing w:val="-11"/>
                      <w:kern w:val="0"/>
                      <w:sz w:val="21"/>
                      <w:szCs w:val="21"/>
                      <w:highlight w:val="none"/>
                    </w:rPr>
                    <w:t>公众</w:t>
                  </w:r>
                </w:p>
              </w:tc>
              <w:tc>
                <w:tcPr>
                  <w:tcW w:w="343" w:type="pct"/>
                  <w:noWrap w:val="0"/>
                  <w:vAlign w:val="center"/>
                </w:tcPr>
                <w:p w14:paraId="2D8FA74C">
                  <w:pPr>
                    <w:keepNext w:val="0"/>
                    <w:keepLines w:val="0"/>
                    <w:pageBreakBefore w:val="0"/>
                    <w:kinsoku/>
                    <w:wordWrap/>
                    <w:overflowPunct/>
                    <w:topLinePunct w:val="0"/>
                    <w:autoSpaceDE/>
                    <w:autoSpaceDN/>
                    <w:bidi w:val="0"/>
                    <w:adjustRightInd/>
                    <w:snapToGrid/>
                    <w:spacing w:line="320" w:lineRule="exact"/>
                    <w:jc w:val="center"/>
                    <w:rPr>
                      <w:b/>
                      <w:bCs/>
                      <w:color w:val="auto"/>
                      <w:kern w:val="0"/>
                      <w:sz w:val="21"/>
                      <w:szCs w:val="21"/>
                      <w:highlight w:val="none"/>
                    </w:rPr>
                  </w:pPr>
                  <w:r>
                    <w:rPr>
                      <w:b/>
                      <w:bCs/>
                      <w:color w:val="auto"/>
                      <w:kern w:val="0"/>
                      <w:sz w:val="21"/>
                      <w:szCs w:val="21"/>
                      <w:highlight w:val="none"/>
                    </w:rPr>
                    <w:t>工作</w:t>
                  </w:r>
                </w:p>
                <w:p w14:paraId="167CA531">
                  <w:pPr>
                    <w:keepNext w:val="0"/>
                    <w:keepLines w:val="0"/>
                    <w:pageBreakBefore w:val="0"/>
                    <w:kinsoku/>
                    <w:wordWrap/>
                    <w:overflowPunct/>
                    <w:topLinePunct w:val="0"/>
                    <w:autoSpaceDE/>
                    <w:autoSpaceDN/>
                    <w:bidi w:val="0"/>
                    <w:adjustRightInd/>
                    <w:snapToGrid/>
                    <w:spacing w:line="320" w:lineRule="exact"/>
                    <w:jc w:val="center"/>
                    <w:rPr>
                      <w:b/>
                      <w:bCs/>
                      <w:color w:val="auto"/>
                      <w:kern w:val="0"/>
                      <w:sz w:val="21"/>
                      <w:szCs w:val="21"/>
                      <w:highlight w:val="none"/>
                    </w:rPr>
                  </w:pPr>
                  <w:r>
                    <w:rPr>
                      <w:b/>
                      <w:bCs/>
                      <w:color w:val="auto"/>
                      <w:kern w:val="0"/>
                      <w:sz w:val="21"/>
                      <w:szCs w:val="21"/>
                      <w:highlight w:val="none"/>
                    </w:rPr>
                    <w:t>模式</w:t>
                  </w:r>
                </w:p>
              </w:tc>
              <w:tc>
                <w:tcPr>
                  <w:tcW w:w="587" w:type="pct"/>
                  <w:noWrap w:val="0"/>
                  <w:vAlign w:val="center"/>
                </w:tcPr>
                <w:p w14:paraId="17559F1F">
                  <w:pPr>
                    <w:keepNext w:val="0"/>
                    <w:keepLines w:val="0"/>
                    <w:pageBreakBefore w:val="0"/>
                    <w:kinsoku/>
                    <w:wordWrap/>
                    <w:overflowPunct/>
                    <w:topLinePunct w:val="0"/>
                    <w:autoSpaceDE/>
                    <w:autoSpaceDN/>
                    <w:bidi w:val="0"/>
                    <w:adjustRightInd/>
                    <w:snapToGrid/>
                    <w:spacing w:line="320" w:lineRule="exact"/>
                    <w:jc w:val="center"/>
                    <w:rPr>
                      <w:b/>
                      <w:bCs/>
                      <w:color w:val="auto"/>
                      <w:kern w:val="0"/>
                      <w:sz w:val="21"/>
                      <w:szCs w:val="21"/>
                      <w:highlight w:val="none"/>
                    </w:rPr>
                  </w:pPr>
                  <w:r>
                    <w:rPr>
                      <w:rFonts w:hint="eastAsia"/>
                      <w:b/>
                      <w:bCs/>
                      <w:color w:val="auto"/>
                      <w:kern w:val="0"/>
                      <w:sz w:val="21"/>
                      <w:szCs w:val="21"/>
                      <w:highlight w:val="none"/>
                    </w:rPr>
                    <w:t>保护目标</w:t>
                  </w:r>
                  <w:r>
                    <w:rPr>
                      <w:b/>
                      <w:bCs/>
                      <w:color w:val="auto"/>
                      <w:kern w:val="0"/>
                      <w:sz w:val="21"/>
                      <w:szCs w:val="21"/>
                      <w:highlight w:val="none"/>
                    </w:rPr>
                    <w:t>位置</w:t>
                  </w:r>
                </w:p>
              </w:tc>
              <w:tc>
                <w:tcPr>
                  <w:tcW w:w="644" w:type="pct"/>
                  <w:noWrap w:val="0"/>
                  <w:vAlign w:val="center"/>
                </w:tcPr>
                <w:p w14:paraId="5FD91221">
                  <w:pPr>
                    <w:keepNext w:val="0"/>
                    <w:keepLines w:val="0"/>
                    <w:pageBreakBefore w:val="0"/>
                    <w:kinsoku/>
                    <w:wordWrap/>
                    <w:overflowPunct/>
                    <w:topLinePunct w:val="0"/>
                    <w:autoSpaceDE/>
                    <w:autoSpaceDN/>
                    <w:bidi w:val="0"/>
                    <w:adjustRightInd/>
                    <w:snapToGrid/>
                    <w:spacing w:line="320" w:lineRule="exact"/>
                    <w:jc w:val="center"/>
                    <w:rPr>
                      <w:b/>
                      <w:bCs/>
                      <w:color w:val="auto"/>
                      <w:kern w:val="0"/>
                      <w:sz w:val="21"/>
                      <w:szCs w:val="21"/>
                      <w:highlight w:val="none"/>
                    </w:rPr>
                  </w:pPr>
                  <w:r>
                    <w:rPr>
                      <w:b/>
                      <w:bCs/>
                      <w:color w:val="auto"/>
                      <w:kern w:val="0"/>
                      <w:sz w:val="21"/>
                      <w:szCs w:val="21"/>
                      <w:highlight w:val="none"/>
                    </w:rPr>
                    <w:t>总附加剂量率(µSv/h)</w:t>
                  </w:r>
                </w:p>
              </w:tc>
              <w:tc>
                <w:tcPr>
                  <w:tcW w:w="493" w:type="pct"/>
                  <w:noWrap w:val="0"/>
                  <w:vAlign w:val="center"/>
                </w:tcPr>
                <w:p w14:paraId="4E42283D">
                  <w:pPr>
                    <w:keepNext w:val="0"/>
                    <w:keepLines w:val="0"/>
                    <w:pageBreakBefore w:val="0"/>
                    <w:kinsoku/>
                    <w:wordWrap/>
                    <w:overflowPunct/>
                    <w:topLinePunct w:val="0"/>
                    <w:autoSpaceDE/>
                    <w:autoSpaceDN/>
                    <w:bidi w:val="0"/>
                    <w:adjustRightInd/>
                    <w:snapToGrid/>
                    <w:spacing w:line="320" w:lineRule="exact"/>
                    <w:jc w:val="center"/>
                    <w:rPr>
                      <w:b/>
                      <w:bCs/>
                      <w:color w:val="auto"/>
                      <w:kern w:val="0"/>
                      <w:sz w:val="21"/>
                      <w:szCs w:val="21"/>
                      <w:highlight w:val="none"/>
                    </w:rPr>
                  </w:pPr>
                  <w:r>
                    <w:rPr>
                      <w:b/>
                      <w:bCs/>
                      <w:color w:val="auto"/>
                      <w:kern w:val="0"/>
                      <w:sz w:val="21"/>
                      <w:szCs w:val="21"/>
                      <w:highlight w:val="none"/>
                    </w:rPr>
                    <w:t>年受照时间(h)</w:t>
                  </w:r>
                </w:p>
              </w:tc>
              <w:tc>
                <w:tcPr>
                  <w:tcW w:w="395" w:type="pct"/>
                  <w:noWrap w:val="0"/>
                  <w:vAlign w:val="center"/>
                </w:tcPr>
                <w:p w14:paraId="1E5A111D">
                  <w:pPr>
                    <w:keepNext w:val="0"/>
                    <w:keepLines w:val="0"/>
                    <w:pageBreakBefore w:val="0"/>
                    <w:kinsoku/>
                    <w:wordWrap/>
                    <w:overflowPunct/>
                    <w:topLinePunct w:val="0"/>
                    <w:autoSpaceDE/>
                    <w:autoSpaceDN/>
                    <w:bidi w:val="0"/>
                    <w:adjustRightInd/>
                    <w:snapToGrid/>
                    <w:spacing w:line="320" w:lineRule="exact"/>
                    <w:jc w:val="center"/>
                    <w:rPr>
                      <w:b/>
                      <w:bCs/>
                      <w:color w:val="auto"/>
                      <w:kern w:val="0"/>
                      <w:sz w:val="21"/>
                      <w:szCs w:val="21"/>
                      <w:highlight w:val="none"/>
                    </w:rPr>
                  </w:pPr>
                  <w:r>
                    <w:rPr>
                      <w:b/>
                      <w:bCs/>
                      <w:color w:val="auto"/>
                      <w:kern w:val="0"/>
                      <w:sz w:val="21"/>
                      <w:szCs w:val="21"/>
                      <w:highlight w:val="none"/>
                    </w:rPr>
                    <w:t>居留因子(η)</w:t>
                  </w:r>
                </w:p>
              </w:tc>
              <w:tc>
                <w:tcPr>
                  <w:tcW w:w="1167" w:type="pct"/>
                  <w:gridSpan w:val="2"/>
                  <w:noWrap w:val="0"/>
                  <w:vAlign w:val="center"/>
                </w:tcPr>
                <w:p w14:paraId="2EB048EA">
                  <w:pPr>
                    <w:keepNext w:val="0"/>
                    <w:keepLines w:val="0"/>
                    <w:pageBreakBefore w:val="0"/>
                    <w:kinsoku/>
                    <w:wordWrap/>
                    <w:overflowPunct/>
                    <w:topLinePunct w:val="0"/>
                    <w:autoSpaceDE/>
                    <w:autoSpaceDN/>
                    <w:bidi w:val="0"/>
                    <w:adjustRightInd/>
                    <w:snapToGrid/>
                    <w:spacing w:line="320" w:lineRule="exact"/>
                    <w:jc w:val="center"/>
                    <w:rPr>
                      <w:b/>
                      <w:bCs/>
                      <w:color w:val="auto"/>
                      <w:kern w:val="0"/>
                      <w:sz w:val="21"/>
                      <w:szCs w:val="21"/>
                      <w:highlight w:val="none"/>
                    </w:rPr>
                  </w:pPr>
                  <w:r>
                    <w:rPr>
                      <w:b/>
                      <w:bCs/>
                      <w:color w:val="auto"/>
                      <w:kern w:val="0"/>
                      <w:sz w:val="21"/>
                      <w:szCs w:val="21"/>
                      <w:highlight w:val="none"/>
                    </w:rPr>
                    <w:t>年</w:t>
                  </w:r>
                  <w:r>
                    <w:rPr>
                      <w:rFonts w:hint="eastAsia"/>
                      <w:b/>
                      <w:bCs/>
                      <w:color w:val="auto"/>
                      <w:kern w:val="0"/>
                      <w:sz w:val="21"/>
                      <w:szCs w:val="21"/>
                      <w:highlight w:val="none"/>
                    </w:rPr>
                    <w:t>附加</w:t>
                  </w:r>
                  <w:r>
                    <w:rPr>
                      <w:b/>
                      <w:bCs/>
                      <w:color w:val="auto"/>
                      <w:kern w:val="0"/>
                      <w:sz w:val="21"/>
                      <w:szCs w:val="21"/>
                      <w:highlight w:val="none"/>
                    </w:rPr>
                    <w:t>有效剂量</w:t>
                  </w:r>
                </w:p>
                <w:p w14:paraId="5334A39A">
                  <w:pPr>
                    <w:keepNext w:val="0"/>
                    <w:keepLines w:val="0"/>
                    <w:pageBreakBefore w:val="0"/>
                    <w:kinsoku/>
                    <w:wordWrap/>
                    <w:overflowPunct/>
                    <w:topLinePunct w:val="0"/>
                    <w:autoSpaceDE/>
                    <w:autoSpaceDN/>
                    <w:bidi w:val="0"/>
                    <w:adjustRightInd/>
                    <w:snapToGrid/>
                    <w:spacing w:line="320" w:lineRule="exact"/>
                    <w:jc w:val="center"/>
                    <w:rPr>
                      <w:rFonts w:hint="eastAsia"/>
                      <w:b/>
                      <w:bCs/>
                      <w:color w:val="auto"/>
                      <w:kern w:val="0"/>
                      <w:sz w:val="21"/>
                      <w:szCs w:val="21"/>
                      <w:highlight w:val="none"/>
                    </w:rPr>
                  </w:pPr>
                  <w:r>
                    <w:rPr>
                      <w:b/>
                      <w:bCs/>
                      <w:color w:val="auto"/>
                      <w:kern w:val="0"/>
                      <w:sz w:val="21"/>
                      <w:szCs w:val="21"/>
                      <w:highlight w:val="none"/>
                    </w:rPr>
                    <w:t>（mSv/a）</w:t>
                  </w:r>
                </w:p>
              </w:tc>
            </w:tr>
            <w:tr w14:paraId="1DEE5E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4" w:hRule="atLeast"/>
                <w:jc w:val="center"/>
              </w:trPr>
              <w:tc>
                <w:tcPr>
                  <w:tcW w:w="358" w:type="pct"/>
                  <w:vMerge w:val="restart"/>
                  <w:noWrap w:val="0"/>
                  <w:vAlign w:val="center"/>
                </w:tcPr>
                <w:p w14:paraId="72B40E81">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r>
                    <w:rPr>
                      <w:rFonts w:hint="eastAsia"/>
                      <w:color w:val="auto"/>
                      <w:spacing w:val="-11"/>
                      <w:kern w:val="0"/>
                      <w:sz w:val="21"/>
                      <w:szCs w:val="21"/>
                      <w:highlight w:val="none"/>
                    </w:rPr>
                    <w:t>医院内公众</w:t>
                  </w:r>
                </w:p>
              </w:tc>
              <w:tc>
                <w:tcPr>
                  <w:tcW w:w="1009" w:type="pct"/>
                  <w:vMerge w:val="restart"/>
                  <w:shd w:val="clear" w:color="auto" w:fill="auto"/>
                  <w:noWrap w:val="0"/>
                  <w:vAlign w:val="center"/>
                </w:tcPr>
                <w:p w14:paraId="5E6E9F60">
                  <w:pPr>
                    <w:pStyle w:val="292"/>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pacing w:val="-11"/>
                      <w:kern w:val="0"/>
                      <w:sz w:val="21"/>
                      <w:szCs w:val="21"/>
                      <w:highlight w:val="none"/>
                      <w:lang w:val="en-US" w:eastAsia="zh-CN"/>
                    </w:rPr>
                  </w:pPr>
                  <w:r>
                    <w:rPr>
                      <w:spacing w:val="-11"/>
                      <w:sz w:val="21"/>
                      <w:szCs w:val="21"/>
                    </w:rPr>
                    <w:t>DSA</w:t>
                  </w:r>
                  <w:r>
                    <w:rPr>
                      <w:rFonts w:hint="eastAsia"/>
                      <w:spacing w:val="-11"/>
                      <w:sz w:val="21"/>
                      <w:szCs w:val="21"/>
                      <w:lang w:val="en-US" w:eastAsia="zh-CN"/>
                    </w:rPr>
                    <w:t>+</w:t>
                  </w:r>
                  <w:r>
                    <w:rPr>
                      <w:spacing w:val="-11"/>
                      <w:sz w:val="21"/>
                      <w:szCs w:val="21"/>
                    </w:rPr>
                    <w:t>CT复合手术室</w:t>
                  </w:r>
                  <w:r>
                    <w:rPr>
                      <w:rFonts w:hint="eastAsia"/>
                      <w:spacing w:val="-11"/>
                      <w:sz w:val="21"/>
                      <w:szCs w:val="21"/>
                      <w:lang w:val="en-US" w:eastAsia="zh-CN"/>
                    </w:rPr>
                    <w:t>楼上（5F）</w:t>
                  </w:r>
                </w:p>
              </w:tc>
              <w:tc>
                <w:tcPr>
                  <w:tcW w:w="343" w:type="pct"/>
                  <w:noWrap w:val="0"/>
                  <w:vAlign w:val="center"/>
                </w:tcPr>
                <w:p w14:paraId="2B731514">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介入</w:t>
                  </w:r>
                </w:p>
              </w:tc>
              <w:tc>
                <w:tcPr>
                  <w:tcW w:w="587" w:type="pct"/>
                  <w:vMerge w:val="restart"/>
                  <w:noWrap w:val="0"/>
                  <w:vAlign w:val="center"/>
                </w:tcPr>
                <w:p w14:paraId="7ECF8314">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屋面结构层</w:t>
                  </w:r>
                </w:p>
              </w:tc>
              <w:tc>
                <w:tcPr>
                  <w:tcW w:w="644" w:type="pct"/>
                  <w:shd w:val="clear" w:color="auto" w:fill="auto"/>
                  <w:noWrap w:val="0"/>
                  <w:vAlign w:val="center"/>
                </w:tcPr>
                <w:p w14:paraId="2CD6BD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4.16E-04</w:t>
                  </w:r>
                </w:p>
              </w:tc>
              <w:tc>
                <w:tcPr>
                  <w:tcW w:w="493" w:type="pct"/>
                  <w:shd w:val="clear" w:color="auto" w:fill="auto"/>
                  <w:noWrap w:val="0"/>
                  <w:vAlign w:val="center"/>
                </w:tcPr>
                <w:p w14:paraId="73ECD6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395" w:type="pct"/>
                  <w:noWrap w:val="0"/>
                  <w:vAlign w:val="center"/>
                </w:tcPr>
                <w:p w14:paraId="58019724">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1/16</w:t>
                  </w:r>
                </w:p>
              </w:tc>
              <w:tc>
                <w:tcPr>
                  <w:tcW w:w="1155" w:type="dxa"/>
                  <w:noWrap w:val="0"/>
                  <w:vAlign w:val="center"/>
                </w:tcPr>
                <w:p w14:paraId="3B80AA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5.20E-06</w:t>
                  </w:r>
                </w:p>
              </w:tc>
              <w:tc>
                <w:tcPr>
                  <w:tcW w:w="933" w:type="dxa"/>
                  <w:vMerge w:val="restart"/>
                  <w:noWrap w:val="0"/>
                  <w:vAlign w:val="center"/>
                </w:tcPr>
                <w:p w14:paraId="5E9841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eastAsia="宋体"/>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5.28E-04</w:t>
                  </w:r>
                </w:p>
              </w:tc>
            </w:tr>
            <w:tr w14:paraId="79C1F3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1" w:hRule="atLeast"/>
                <w:jc w:val="center"/>
              </w:trPr>
              <w:tc>
                <w:tcPr>
                  <w:tcW w:w="358" w:type="pct"/>
                  <w:vMerge w:val="continue"/>
                  <w:noWrap w:val="0"/>
                  <w:vAlign w:val="center"/>
                </w:tcPr>
                <w:p w14:paraId="69F92E0F">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40A7BE05">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78B39158">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pacing w:val="-11"/>
                      <w:kern w:val="0"/>
                      <w:sz w:val="21"/>
                      <w:szCs w:val="21"/>
                      <w:highlight w:val="none"/>
                      <w:lang w:eastAsia="zh-CN"/>
                    </w:rPr>
                  </w:pPr>
                  <w:r>
                    <w:rPr>
                      <w:rFonts w:hint="eastAsia"/>
                      <w:color w:val="auto"/>
                      <w:spacing w:val="-11"/>
                      <w:kern w:val="0"/>
                      <w:sz w:val="21"/>
                      <w:szCs w:val="21"/>
                      <w:highlight w:val="none"/>
                      <w:lang w:val="en-US" w:eastAsia="zh-CN"/>
                    </w:rPr>
                    <w:t>影像</w:t>
                  </w:r>
                </w:p>
              </w:tc>
              <w:tc>
                <w:tcPr>
                  <w:tcW w:w="587" w:type="pct"/>
                  <w:vMerge w:val="continue"/>
                  <w:noWrap w:val="0"/>
                  <w:vAlign w:val="center"/>
                </w:tcPr>
                <w:p w14:paraId="380E1775">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0EE82D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1.18E+00</w:t>
                  </w:r>
                </w:p>
              </w:tc>
              <w:tc>
                <w:tcPr>
                  <w:tcW w:w="493" w:type="pct"/>
                  <w:shd w:val="clear" w:color="auto" w:fill="auto"/>
                  <w:noWrap w:val="0"/>
                  <w:vAlign w:val="center"/>
                </w:tcPr>
                <w:p w14:paraId="370537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395" w:type="pct"/>
                  <w:noWrap w:val="0"/>
                  <w:vAlign w:val="center"/>
                </w:tcPr>
                <w:p w14:paraId="2D8B5924">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1/16</w:t>
                  </w:r>
                </w:p>
              </w:tc>
              <w:tc>
                <w:tcPr>
                  <w:tcW w:w="1155" w:type="dxa"/>
                  <w:noWrap w:val="0"/>
                  <w:vAlign w:val="center"/>
                </w:tcPr>
                <w:p w14:paraId="6A7D78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4.94E-04</w:t>
                  </w:r>
                </w:p>
              </w:tc>
              <w:tc>
                <w:tcPr>
                  <w:tcW w:w="521" w:type="pct"/>
                  <w:vMerge w:val="continue"/>
                  <w:noWrap w:val="0"/>
                  <w:vAlign w:val="center"/>
                </w:tcPr>
                <w:p w14:paraId="218B2F13">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4A9704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1" w:hRule="atLeast"/>
                <w:jc w:val="center"/>
              </w:trPr>
              <w:tc>
                <w:tcPr>
                  <w:tcW w:w="358" w:type="pct"/>
                  <w:vMerge w:val="continue"/>
                  <w:noWrap w:val="0"/>
                  <w:vAlign w:val="center"/>
                </w:tcPr>
                <w:p w14:paraId="038AFD73">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6A778164">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431928A3">
                  <w:pPr>
                    <w:keepNext w:val="0"/>
                    <w:keepLines w:val="0"/>
                    <w:pageBreakBefore w:val="0"/>
                    <w:kinsoku/>
                    <w:wordWrap/>
                    <w:overflowPunct/>
                    <w:topLinePunct w:val="0"/>
                    <w:autoSpaceDE/>
                    <w:autoSpaceDN/>
                    <w:bidi w:val="0"/>
                    <w:adjustRightInd/>
                    <w:snapToGrid/>
                    <w:spacing w:line="320" w:lineRule="exact"/>
                    <w:jc w:val="center"/>
                    <w:rPr>
                      <w:rFonts w:hint="default"/>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CT</w:t>
                  </w:r>
                </w:p>
              </w:tc>
              <w:tc>
                <w:tcPr>
                  <w:tcW w:w="587" w:type="pct"/>
                  <w:vMerge w:val="continue"/>
                  <w:noWrap w:val="0"/>
                  <w:vAlign w:val="center"/>
                </w:tcPr>
                <w:p w14:paraId="0A280465">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703279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493" w:type="pct"/>
                  <w:shd w:val="clear" w:color="auto" w:fill="auto"/>
                  <w:noWrap w:val="0"/>
                  <w:vAlign w:val="center"/>
                </w:tcPr>
                <w:p w14:paraId="10966C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395" w:type="pct"/>
                  <w:noWrap w:val="0"/>
                  <w:vAlign w:val="center"/>
                </w:tcPr>
                <w:p w14:paraId="79E8BBA0">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1/16</w:t>
                  </w:r>
                </w:p>
              </w:tc>
              <w:tc>
                <w:tcPr>
                  <w:tcW w:w="1155" w:type="dxa"/>
                  <w:noWrap w:val="0"/>
                  <w:vAlign w:val="center"/>
                </w:tcPr>
                <w:p w14:paraId="3F6400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eastAsia="宋体"/>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2.85E-05</w:t>
                  </w:r>
                </w:p>
              </w:tc>
              <w:tc>
                <w:tcPr>
                  <w:tcW w:w="521" w:type="pct"/>
                  <w:vMerge w:val="continue"/>
                  <w:noWrap w:val="0"/>
                  <w:vAlign w:val="center"/>
                </w:tcPr>
                <w:p w14:paraId="2A4B6BEB">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6451FC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7AB9F11D">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noWrap w:val="0"/>
                  <w:vAlign w:val="center"/>
                </w:tcPr>
                <w:p w14:paraId="72F06114">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spacing w:val="-11"/>
                      <w:kern w:val="0"/>
                      <w:sz w:val="21"/>
                      <w:szCs w:val="21"/>
                      <w:highlight w:val="none"/>
                      <w:lang w:val="en-US" w:eastAsia="zh-CN"/>
                    </w:rPr>
                  </w:pPr>
                  <w:r>
                    <w:rPr>
                      <w:spacing w:val="-11"/>
                      <w:sz w:val="21"/>
                      <w:szCs w:val="21"/>
                    </w:rPr>
                    <w:t>DSA</w:t>
                  </w:r>
                  <w:r>
                    <w:rPr>
                      <w:rFonts w:hint="eastAsia"/>
                      <w:spacing w:val="-11"/>
                      <w:sz w:val="21"/>
                      <w:szCs w:val="21"/>
                      <w:lang w:val="en-US" w:eastAsia="zh-CN"/>
                    </w:rPr>
                    <w:t>+</w:t>
                  </w:r>
                  <w:r>
                    <w:rPr>
                      <w:spacing w:val="-11"/>
                      <w:sz w:val="21"/>
                      <w:szCs w:val="21"/>
                    </w:rPr>
                    <w:t>CT复合手术室</w:t>
                  </w:r>
                  <w:r>
                    <w:rPr>
                      <w:rFonts w:hint="eastAsia"/>
                      <w:spacing w:val="-11"/>
                      <w:sz w:val="21"/>
                      <w:szCs w:val="21"/>
                      <w:lang w:val="en-US" w:eastAsia="zh-CN"/>
                    </w:rPr>
                    <w:t>楼下（3F）</w:t>
                  </w:r>
                </w:p>
              </w:tc>
              <w:tc>
                <w:tcPr>
                  <w:tcW w:w="343" w:type="pct"/>
                  <w:noWrap w:val="0"/>
                  <w:vAlign w:val="center"/>
                </w:tcPr>
                <w:p w14:paraId="7DBCBDC3">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介入</w:t>
                  </w:r>
                </w:p>
              </w:tc>
              <w:tc>
                <w:tcPr>
                  <w:tcW w:w="587" w:type="pct"/>
                  <w:vMerge w:val="restart"/>
                  <w:noWrap w:val="0"/>
                  <w:vAlign w:val="center"/>
                </w:tcPr>
                <w:p w14:paraId="70A8F416">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超声功能检查区彩超室</w:t>
                  </w:r>
                </w:p>
              </w:tc>
              <w:tc>
                <w:tcPr>
                  <w:tcW w:w="644" w:type="pct"/>
                  <w:shd w:val="clear" w:color="auto" w:fill="auto"/>
                  <w:noWrap w:val="0"/>
                  <w:vAlign w:val="center"/>
                </w:tcPr>
                <w:p w14:paraId="2F5167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7.76E-05</w:t>
                  </w:r>
                </w:p>
              </w:tc>
              <w:tc>
                <w:tcPr>
                  <w:tcW w:w="493" w:type="pct"/>
                  <w:shd w:val="clear" w:color="auto" w:fill="auto"/>
                  <w:noWrap w:val="0"/>
                  <w:vAlign w:val="center"/>
                </w:tcPr>
                <w:p w14:paraId="71D923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395" w:type="pct"/>
                  <w:noWrap w:val="0"/>
                  <w:vAlign w:val="center"/>
                </w:tcPr>
                <w:p w14:paraId="3C817769">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r>
                    <w:rPr>
                      <w:rFonts w:hint="eastAsia"/>
                      <w:color w:val="auto"/>
                      <w:kern w:val="0"/>
                      <w:sz w:val="21"/>
                      <w:szCs w:val="21"/>
                      <w:highlight w:val="none"/>
                    </w:rPr>
                    <w:t>1</w:t>
                  </w:r>
                </w:p>
              </w:tc>
              <w:tc>
                <w:tcPr>
                  <w:tcW w:w="1155" w:type="dxa"/>
                  <w:noWrap w:val="0"/>
                  <w:vAlign w:val="center"/>
                </w:tcPr>
                <w:p w14:paraId="245FB0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eastAsia="宋体"/>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1.55E-05</w:t>
                  </w:r>
                </w:p>
              </w:tc>
              <w:tc>
                <w:tcPr>
                  <w:tcW w:w="933" w:type="dxa"/>
                  <w:vMerge w:val="restart"/>
                  <w:noWrap w:val="0"/>
                  <w:vAlign w:val="center"/>
                </w:tcPr>
                <w:p w14:paraId="6605F4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1.09E-03</w:t>
                  </w:r>
                </w:p>
              </w:tc>
            </w:tr>
            <w:tr w14:paraId="12C10E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38E8F00B">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1278980F">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52E3C351">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lang w:val="en-US" w:eastAsia="zh-CN"/>
                    </w:rPr>
                    <w:t>影像</w:t>
                  </w:r>
                </w:p>
              </w:tc>
              <w:tc>
                <w:tcPr>
                  <w:tcW w:w="587" w:type="pct"/>
                  <w:vMerge w:val="continue"/>
                  <w:noWrap w:val="0"/>
                  <w:vAlign w:val="center"/>
                </w:tcPr>
                <w:p w14:paraId="18BDF3B0">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0107AF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9.26E-02</w:t>
                  </w:r>
                </w:p>
              </w:tc>
              <w:tc>
                <w:tcPr>
                  <w:tcW w:w="493" w:type="pct"/>
                  <w:shd w:val="clear" w:color="auto" w:fill="auto"/>
                  <w:noWrap w:val="0"/>
                  <w:vAlign w:val="center"/>
                </w:tcPr>
                <w:p w14:paraId="62A7BD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395" w:type="pct"/>
                  <w:noWrap w:val="0"/>
                  <w:vAlign w:val="center"/>
                </w:tcPr>
                <w:p w14:paraId="4BC55B90">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r>
                    <w:rPr>
                      <w:rFonts w:hint="eastAsia"/>
                      <w:color w:val="auto"/>
                      <w:kern w:val="0"/>
                      <w:sz w:val="21"/>
                      <w:szCs w:val="21"/>
                      <w:highlight w:val="none"/>
                    </w:rPr>
                    <w:t>1</w:t>
                  </w:r>
                </w:p>
              </w:tc>
              <w:tc>
                <w:tcPr>
                  <w:tcW w:w="1155" w:type="dxa"/>
                  <w:noWrap w:val="0"/>
                  <w:vAlign w:val="center"/>
                </w:tcPr>
                <w:p w14:paraId="142E0B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eastAsia="宋体"/>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6.20E-04</w:t>
                  </w:r>
                </w:p>
              </w:tc>
              <w:tc>
                <w:tcPr>
                  <w:tcW w:w="521" w:type="pct"/>
                  <w:vMerge w:val="continue"/>
                  <w:noWrap w:val="0"/>
                  <w:vAlign w:val="center"/>
                </w:tcPr>
                <w:p w14:paraId="2452E03F">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6584E8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334131DB">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4DF5E0CB">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0671A937">
                  <w:pPr>
                    <w:keepNext w:val="0"/>
                    <w:keepLines w:val="0"/>
                    <w:pageBreakBefore w:val="0"/>
                    <w:kinsoku/>
                    <w:wordWrap/>
                    <w:overflowPunct/>
                    <w:topLinePunct w:val="0"/>
                    <w:autoSpaceDE/>
                    <w:autoSpaceDN/>
                    <w:bidi w:val="0"/>
                    <w:adjustRightInd/>
                    <w:snapToGrid/>
                    <w:spacing w:line="320" w:lineRule="exact"/>
                    <w:jc w:val="center"/>
                    <w:rPr>
                      <w:rFonts w:hint="default"/>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CT</w:t>
                  </w:r>
                </w:p>
              </w:tc>
              <w:tc>
                <w:tcPr>
                  <w:tcW w:w="587" w:type="pct"/>
                  <w:vMerge w:val="continue"/>
                  <w:noWrap w:val="0"/>
                  <w:vAlign w:val="center"/>
                </w:tcPr>
                <w:p w14:paraId="5C7B436C">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0CA2BE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5.50E-02</w:t>
                  </w:r>
                </w:p>
              </w:tc>
              <w:tc>
                <w:tcPr>
                  <w:tcW w:w="493" w:type="pct"/>
                  <w:shd w:val="clear" w:color="auto" w:fill="auto"/>
                  <w:noWrap w:val="0"/>
                  <w:vAlign w:val="center"/>
                </w:tcPr>
                <w:p w14:paraId="7AD316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395" w:type="pct"/>
                  <w:noWrap w:val="0"/>
                  <w:vAlign w:val="center"/>
                </w:tcPr>
                <w:p w14:paraId="6AF12A55">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noWrap w:val="0"/>
                  <w:vAlign w:val="center"/>
                </w:tcPr>
                <w:p w14:paraId="6BDF5D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eastAsia="宋体"/>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4.57E-04</w:t>
                  </w:r>
                </w:p>
              </w:tc>
              <w:tc>
                <w:tcPr>
                  <w:tcW w:w="521" w:type="pct"/>
                  <w:vMerge w:val="continue"/>
                  <w:noWrap w:val="0"/>
                  <w:vAlign w:val="center"/>
                </w:tcPr>
                <w:p w14:paraId="57C052E3">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34B19A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473ED818">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noWrap w:val="0"/>
                  <w:vAlign w:val="center"/>
                </w:tcPr>
                <w:p w14:paraId="03168E83">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r>
                    <w:rPr>
                      <w:spacing w:val="-11"/>
                      <w:sz w:val="21"/>
                      <w:szCs w:val="21"/>
                    </w:rPr>
                    <w:t>DSA手术室（</w:t>
                  </w:r>
                  <w:r>
                    <w:rPr>
                      <w:rFonts w:hint="eastAsia"/>
                      <w:spacing w:val="-11"/>
                      <w:sz w:val="21"/>
                      <w:szCs w:val="21"/>
                      <w:lang w:val="en-US" w:eastAsia="zh-CN"/>
                    </w:rPr>
                    <w:t>OR09</w:t>
                  </w:r>
                  <w:r>
                    <w:rPr>
                      <w:spacing w:val="-11"/>
                      <w:sz w:val="21"/>
                      <w:szCs w:val="21"/>
                    </w:rPr>
                    <w:t>）</w:t>
                  </w:r>
                  <w:r>
                    <w:rPr>
                      <w:rFonts w:hint="eastAsia"/>
                      <w:spacing w:val="-11"/>
                      <w:sz w:val="21"/>
                      <w:szCs w:val="21"/>
                      <w:lang w:val="en-US" w:eastAsia="zh-CN"/>
                    </w:rPr>
                    <w:t>楼上（5F）</w:t>
                  </w:r>
                </w:p>
              </w:tc>
              <w:tc>
                <w:tcPr>
                  <w:tcW w:w="343" w:type="pct"/>
                  <w:noWrap w:val="0"/>
                  <w:vAlign w:val="center"/>
                </w:tcPr>
                <w:p w14:paraId="71774AA1">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noWrap w:val="0"/>
                  <w:vAlign w:val="center"/>
                </w:tcPr>
                <w:p w14:paraId="18171D65">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屋面结构层和净化机房</w:t>
                  </w:r>
                </w:p>
              </w:tc>
              <w:tc>
                <w:tcPr>
                  <w:tcW w:w="644" w:type="pct"/>
                  <w:shd w:val="clear" w:color="auto" w:fill="auto"/>
                  <w:noWrap w:val="0"/>
                  <w:vAlign w:val="center"/>
                </w:tcPr>
                <w:p w14:paraId="449AE0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93" w:type="pct"/>
                  <w:shd w:val="clear" w:color="auto" w:fill="auto"/>
                  <w:noWrap w:val="0"/>
                  <w:vAlign w:val="center"/>
                </w:tcPr>
                <w:p w14:paraId="24B6A6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233.3</w:t>
                  </w:r>
                </w:p>
              </w:tc>
              <w:tc>
                <w:tcPr>
                  <w:tcW w:w="395" w:type="pct"/>
                  <w:noWrap w:val="0"/>
                  <w:vAlign w:val="center"/>
                </w:tcPr>
                <w:p w14:paraId="48054D27">
                  <w:pPr>
                    <w:keepNext w:val="0"/>
                    <w:keepLines w:val="0"/>
                    <w:pageBreakBefore w:val="0"/>
                    <w:kinsoku/>
                    <w:wordWrap/>
                    <w:overflowPunct/>
                    <w:topLinePunct w:val="0"/>
                    <w:autoSpaceDE/>
                    <w:autoSpaceDN/>
                    <w:bidi w:val="0"/>
                    <w:adjustRightInd/>
                    <w:snapToGrid/>
                    <w:spacing w:line="320" w:lineRule="exact"/>
                    <w:jc w:val="center"/>
                    <w:rPr>
                      <w:rFonts w:hint="eastAsia"/>
                      <w:color w:val="auto"/>
                      <w:kern w:val="0"/>
                      <w:sz w:val="21"/>
                      <w:szCs w:val="21"/>
                      <w:highlight w:val="none"/>
                    </w:rPr>
                  </w:pPr>
                  <w:r>
                    <w:rPr>
                      <w:rFonts w:hint="eastAsia"/>
                      <w:color w:val="auto"/>
                      <w:kern w:val="0"/>
                      <w:sz w:val="21"/>
                      <w:szCs w:val="21"/>
                      <w:highlight w:val="none"/>
                      <w:lang w:val="en-US" w:eastAsia="zh-CN"/>
                    </w:rPr>
                    <w:t>1/16</w:t>
                  </w:r>
                </w:p>
              </w:tc>
              <w:tc>
                <w:tcPr>
                  <w:tcW w:w="1155" w:type="dxa"/>
                  <w:noWrap w:val="0"/>
                  <w:vAlign w:val="center"/>
                </w:tcPr>
                <w:p w14:paraId="6FE670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1.55E-05</w:t>
                  </w:r>
                </w:p>
              </w:tc>
              <w:tc>
                <w:tcPr>
                  <w:tcW w:w="933" w:type="dxa"/>
                  <w:vMerge w:val="restart"/>
                  <w:noWrap w:val="0"/>
                  <w:vAlign w:val="center"/>
                </w:tcPr>
                <w:p w14:paraId="52986B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1.02E-03</w:t>
                  </w:r>
                </w:p>
              </w:tc>
            </w:tr>
            <w:tr w14:paraId="56F636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5AFD806E">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1EF5F361">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29D46552">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noWrap w:val="0"/>
                  <w:vAlign w:val="center"/>
                </w:tcPr>
                <w:p w14:paraId="6A19F223">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60AC21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493" w:type="pct"/>
                  <w:shd w:val="clear" w:color="auto" w:fill="auto"/>
                  <w:noWrap w:val="0"/>
                  <w:vAlign w:val="center"/>
                </w:tcPr>
                <w:p w14:paraId="25F6BF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395" w:type="pct"/>
                  <w:noWrap w:val="0"/>
                  <w:vAlign w:val="center"/>
                </w:tcPr>
                <w:p w14:paraId="6D69C85D">
                  <w:pPr>
                    <w:keepNext w:val="0"/>
                    <w:keepLines w:val="0"/>
                    <w:pageBreakBefore w:val="0"/>
                    <w:kinsoku/>
                    <w:wordWrap/>
                    <w:overflowPunct/>
                    <w:topLinePunct w:val="0"/>
                    <w:autoSpaceDE/>
                    <w:autoSpaceDN/>
                    <w:bidi w:val="0"/>
                    <w:adjustRightInd/>
                    <w:snapToGrid/>
                    <w:spacing w:line="320" w:lineRule="exact"/>
                    <w:jc w:val="center"/>
                    <w:rPr>
                      <w:rFonts w:hint="eastAsia"/>
                      <w:color w:val="auto"/>
                      <w:kern w:val="0"/>
                      <w:sz w:val="21"/>
                      <w:szCs w:val="21"/>
                      <w:highlight w:val="none"/>
                    </w:rPr>
                  </w:pPr>
                  <w:r>
                    <w:rPr>
                      <w:rFonts w:hint="eastAsia"/>
                      <w:color w:val="auto"/>
                      <w:kern w:val="0"/>
                      <w:sz w:val="21"/>
                      <w:szCs w:val="21"/>
                      <w:highlight w:val="none"/>
                      <w:lang w:val="en-US" w:eastAsia="zh-CN"/>
                    </w:rPr>
                    <w:t>1/16</w:t>
                  </w:r>
                </w:p>
              </w:tc>
              <w:tc>
                <w:tcPr>
                  <w:tcW w:w="1155" w:type="dxa"/>
                  <w:noWrap w:val="0"/>
                  <w:vAlign w:val="center"/>
                </w:tcPr>
                <w:p w14:paraId="12710E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1.01E-03</w:t>
                  </w:r>
                </w:p>
              </w:tc>
              <w:tc>
                <w:tcPr>
                  <w:tcW w:w="521" w:type="pct"/>
                  <w:vMerge w:val="continue"/>
                  <w:noWrap w:val="0"/>
                  <w:vAlign w:val="center"/>
                </w:tcPr>
                <w:p w14:paraId="20D3D22A">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1A3E3C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5F03C708">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shd w:val="clear" w:color="auto" w:fill="auto"/>
                  <w:noWrap w:val="0"/>
                  <w:vAlign w:val="center"/>
                </w:tcPr>
                <w:p w14:paraId="71AC9094">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color w:val="auto"/>
                      <w:spacing w:val="-11"/>
                      <w:kern w:val="0"/>
                      <w:sz w:val="21"/>
                      <w:szCs w:val="21"/>
                      <w:highlight w:val="none"/>
                      <w:lang w:val="en-US" w:eastAsia="zh-CN" w:bidi="ar-SA"/>
                    </w:rPr>
                  </w:pPr>
                  <w:r>
                    <w:rPr>
                      <w:spacing w:val="-11"/>
                      <w:sz w:val="21"/>
                      <w:szCs w:val="21"/>
                    </w:rPr>
                    <w:t>DSA手术室（</w:t>
                  </w:r>
                  <w:r>
                    <w:rPr>
                      <w:rFonts w:hint="eastAsia"/>
                      <w:spacing w:val="-11"/>
                      <w:sz w:val="21"/>
                      <w:szCs w:val="21"/>
                      <w:lang w:val="en-US" w:eastAsia="zh-CN"/>
                    </w:rPr>
                    <w:t>OR09</w:t>
                  </w:r>
                  <w:r>
                    <w:rPr>
                      <w:spacing w:val="-11"/>
                      <w:sz w:val="21"/>
                      <w:szCs w:val="21"/>
                    </w:rPr>
                    <w:t>）</w:t>
                  </w:r>
                  <w:r>
                    <w:rPr>
                      <w:rFonts w:hint="eastAsia"/>
                      <w:spacing w:val="-11"/>
                      <w:sz w:val="21"/>
                      <w:szCs w:val="21"/>
                      <w:lang w:val="en-US" w:eastAsia="zh-CN"/>
                    </w:rPr>
                    <w:t>楼下（3F）</w:t>
                  </w:r>
                </w:p>
              </w:tc>
              <w:tc>
                <w:tcPr>
                  <w:tcW w:w="343" w:type="pct"/>
                  <w:noWrap w:val="0"/>
                  <w:vAlign w:val="center"/>
                </w:tcPr>
                <w:p w14:paraId="541694A7">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noWrap w:val="0"/>
                  <w:vAlign w:val="center"/>
                </w:tcPr>
                <w:p w14:paraId="53188388">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超声功能检查区介入治疗室</w:t>
                  </w:r>
                </w:p>
              </w:tc>
              <w:tc>
                <w:tcPr>
                  <w:tcW w:w="644" w:type="pct"/>
                  <w:shd w:val="clear" w:color="auto" w:fill="auto"/>
                  <w:noWrap w:val="0"/>
                  <w:vAlign w:val="center"/>
                </w:tcPr>
                <w:p w14:paraId="5524AC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493" w:type="pct"/>
                  <w:shd w:val="clear" w:color="auto" w:fill="auto"/>
                  <w:noWrap w:val="0"/>
                  <w:vAlign w:val="center"/>
                </w:tcPr>
                <w:p w14:paraId="747C97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233.3</w:t>
                  </w:r>
                </w:p>
              </w:tc>
              <w:tc>
                <w:tcPr>
                  <w:tcW w:w="395" w:type="pct"/>
                  <w:noWrap w:val="0"/>
                  <w:vAlign w:val="center"/>
                </w:tcPr>
                <w:p w14:paraId="35D16087">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noWrap w:val="0"/>
                  <w:vAlign w:val="center"/>
                </w:tcPr>
                <w:p w14:paraId="54C4A5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8.87E-05</w:t>
                  </w:r>
                </w:p>
              </w:tc>
              <w:tc>
                <w:tcPr>
                  <w:tcW w:w="933" w:type="dxa"/>
                  <w:vMerge w:val="restart"/>
                  <w:noWrap w:val="0"/>
                  <w:vAlign w:val="center"/>
                </w:tcPr>
                <w:p w14:paraId="1FD9B1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2.47E-03</w:t>
                  </w:r>
                </w:p>
              </w:tc>
            </w:tr>
            <w:tr w14:paraId="196387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7E9B82CA">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shd w:val="clear" w:color="auto" w:fill="auto"/>
                  <w:noWrap w:val="0"/>
                  <w:vAlign w:val="center"/>
                </w:tcPr>
                <w:p w14:paraId="4EC36CDF">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spacing w:val="-11"/>
                      <w:sz w:val="21"/>
                      <w:szCs w:val="21"/>
                      <w:lang w:val="en-US" w:eastAsia="zh-CN" w:bidi="ar-SA"/>
                    </w:rPr>
                  </w:pPr>
                </w:p>
              </w:tc>
              <w:tc>
                <w:tcPr>
                  <w:tcW w:w="343" w:type="pct"/>
                  <w:noWrap w:val="0"/>
                  <w:vAlign w:val="center"/>
                </w:tcPr>
                <w:p w14:paraId="486D6B1E">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noWrap w:val="0"/>
                  <w:vAlign w:val="center"/>
                </w:tcPr>
                <w:p w14:paraId="11750E47">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535ABF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493" w:type="pct"/>
                  <w:shd w:val="clear" w:color="auto" w:fill="auto"/>
                  <w:noWrap w:val="0"/>
                  <w:vAlign w:val="center"/>
                </w:tcPr>
                <w:p w14:paraId="2F4C8F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395" w:type="pct"/>
                  <w:noWrap w:val="0"/>
                  <w:vAlign w:val="center"/>
                </w:tcPr>
                <w:p w14:paraId="3B96805E">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noWrap w:val="0"/>
                  <w:vAlign w:val="center"/>
                </w:tcPr>
                <w:p w14:paraId="1EFCB1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2.38E-03</w:t>
                  </w:r>
                </w:p>
              </w:tc>
              <w:tc>
                <w:tcPr>
                  <w:tcW w:w="521" w:type="pct"/>
                  <w:vMerge w:val="continue"/>
                  <w:noWrap w:val="0"/>
                  <w:vAlign w:val="center"/>
                </w:tcPr>
                <w:p w14:paraId="50F08F7A">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09C108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4AAE8893">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noWrap w:val="0"/>
                  <w:vAlign w:val="center"/>
                </w:tcPr>
                <w:p w14:paraId="0F2D0CF0">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r>
                    <w:rPr>
                      <w:spacing w:val="-11"/>
                      <w:sz w:val="21"/>
                      <w:szCs w:val="21"/>
                    </w:rPr>
                    <w:t>DSA手术室（</w:t>
                  </w:r>
                  <w:r>
                    <w:rPr>
                      <w:rFonts w:hint="eastAsia"/>
                      <w:spacing w:val="-11"/>
                      <w:sz w:val="21"/>
                      <w:szCs w:val="21"/>
                      <w:lang w:val="en-US" w:eastAsia="zh-CN"/>
                    </w:rPr>
                    <w:t>OR10</w:t>
                  </w:r>
                  <w:r>
                    <w:rPr>
                      <w:spacing w:val="-11"/>
                      <w:sz w:val="21"/>
                      <w:szCs w:val="21"/>
                    </w:rPr>
                    <w:t>）</w:t>
                  </w:r>
                  <w:r>
                    <w:rPr>
                      <w:rFonts w:hint="eastAsia"/>
                      <w:spacing w:val="-11"/>
                      <w:sz w:val="21"/>
                      <w:szCs w:val="21"/>
                      <w:lang w:val="en-US" w:eastAsia="zh-CN"/>
                    </w:rPr>
                    <w:t>楼上（5F）</w:t>
                  </w:r>
                </w:p>
              </w:tc>
              <w:tc>
                <w:tcPr>
                  <w:tcW w:w="343" w:type="pct"/>
                  <w:noWrap w:val="0"/>
                  <w:vAlign w:val="center"/>
                </w:tcPr>
                <w:p w14:paraId="025556DA">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noWrap w:val="0"/>
                  <w:vAlign w:val="center"/>
                </w:tcPr>
                <w:p w14:paraId="635AA920">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屋面结构层和净化机房</w:t>
                  </w:r>
                </w:p>
              </w:tc>
              <w:tc>
                <w:tcPr>
                  <w:tcW w:w="644" w:type="pct"/>
                  <w:shd w:val="clear" w:color="auto" w:fill="auto"/>
                  <w:noWrap w:val="0"/>
                  <w:vAlign w:val="center"/>
                </w:tcPr>
                <w:p w14:paraId="3AA7C2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93" w:type="pct"/>
                  <w:shd w:val="clear" w:color="auto" w:fill="auto"/>
                  <w:noWrap w:val="0"/>
                  <w:vAlign w:val="center"/>
                </w:tcPr>
                <w:p w14:paraId="780D9B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133.3</w:t>
                  </w:r>
                </w:p>
              </w:tc>
              <w:tc>
                <w:tcPr>
                  <w:tcW w:w="395" w:type="pct"/>
                  <w:noWrap w:val="0"/>
                  <w:vAlign w:val="center"/>
                </w:tcPr>
                <w:p w14:paraId="2B4E73CF">
                  <w:pPr>
                    <w:keepNext w:val="0"/>
                    <w:keepLines w:val="0"/>
                    <w:pageBreakBefore w:val="0"/>
                    <w:kinsoku/>
                    <w:wordWrap/>
                    <w:overflowPunct/>
                    <w:topLinePunct w:val="0"/>
                    <w:autoSpaceDE/>
                    <w:autoSpaceDN/>
                    <w:bidi w:val="0"/>
                    <w:adjustRightInd/>
                    <w:snapToGrid/>
                    <w:spacing w:line="320" w:lineRule="exact"/>
                    <w:jc w:val="center"/>
                    <w:rPr>
                      <w:rFonts w:hint="eastAsia"/>
                      <w:color w:val="auto"/>
                      <w:kern w:val="0"/>
                      <w:sz w:val="21"/>
                      <w:szCs w:val="21"/>
                      <w:highlight w:val="none"/>
                    </w:rPr>
                  </w:pPr>
                  <w:r>
                    <w:rPr>
                      <w:rFonts w:hint="eastAsia"/>
                      <w:color w:val="auto"/>
                      <w:kern w:val="0"/>
                      <w:sz w:val="21"/>
                      <w:szCs w:val="21"/>
                      <w:highlight w:val="none"/>
                      <w:lang w:val="en-US" w:eastAsia="zh-CN"/>
                    </w:rPr>
                    <w:t>1/16</w:t>
                  </w:r>
                </w:p>
              </w:tc>
              <w:tc>
                <w:tcPr>
                  <w:tcW w:w="1155" w:type="dxa"/>
                  <w:noWrap w:val="0"/>
                  <w:vAlign w:val="center"/>
                </w:tcPr>
                <w:p w14:paraId="49DB99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8.83E-06</w:t>
                  </w:r>
                </w:p>
              </w:tc>
              <w:tc>
                <w:tcPr>
                  <w:tcW w:w="933" w:type="dxa"/>
                  <w:vMerge w:val="restart"/>
                  <w:noWrap w:val="0"/>
                  <w:vAlign w:val="center"/>
                </w:tcPr>
                <w:p w14:paraId="747A4B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5.78E-04</w:t>
                  </w:r>
                </w:p>
              </w:tc>
            </w:tr>
            <w:tr w14:paraId="5F83AF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5F0E6319">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41CD35CF">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1B53A545">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noWrap w:val="0"/>
                  <w:vAlign w:val="center"/>
                </w:tcPr>
                <w:p w14:paraId="683F3547">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0FB003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493" w:type="pct"/>
                  <w:shd w:val="clear" w:color="auto" w:fill="auto"/>
                  <w:noWrap w:val="0"/>
                  <w:vAlign w:val="center"/>
                </w:tcPr>
                <w:p w14:paraId="356A9E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395" w:type="pct"/>
                  <w:noWrap w:val="0"/>
                  <w:vAlign w:val="center"/>
                </w:tcPr>
                <w:p w14:paraId="4C65CB37">
                  <w:pPr>
                    <w:keepNext w:val="0"/>
                    <w:keepLines w:val="0"/>
                    <w:pageBreakBefore w:val="0"/>
                    <w:kinsoku/>
                    <w:wordWrap/>
                    <w:overflowPunct/>
                    <w:topLinePunct w:val="0"/>
                    <w:autoSpaceDE/>
                    <w:autoSpaceDN/>
                    <w:bidi w:val="0"/>
                    <w:adjustRightInd/>
                    <w:snapToGrid/>
                    <w:spacing w:line="320" w:lineRule="exact"/>
                    <w:jc w:val="center"/>
                    <w:rPr>
                      <w:rFonts w:hint="eastAsia"/>
                      <w:color w:val="auto"/>
                      <w:kern w:val="0"/>
                      <w:sz w:val="21"/>
                      <w:szCs w:val="21"/>
                      <w:highlight w:val="none"/>
                    </w:rPr>
                  </w:pPr>
                  <w:r>
                    <w:rPr>
                      <w:rFonts w:hint="eastAsia"/>
                      <w:color w:val="auto"/>
                      <w:kern w:val="0"/>
                      <w:sz w:val="21"/>
                      <w:szCs w:val="21"/>
                      <w:highlight w:val="none"/>
                      <w:lang w:val="en-US" w:eastAsia="zh-CN"/>
                    </w:rPr>
                    <w:t>1/16</w:t>
                  </w:r>
                </w:p>
              </w:tc>
              <w:tc>
                <w:tcPr>
                  <w:tcW w:w="1155" w:type="dxa"/>
                  <w:noWrap w:val="0"/>
                  <w:vAlign w:val="center"/>
                </w:tcPr>
                <w:p w14:paraId="5788F7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5.69E-04</w:t>
                  </w:r>
                </w:p>
              </w:tc>
              <w:tc>
                <w:tcPr>
                  <w:tcW w:w="521" w:type="pct"/>
                  <w:vMerge w:val="continue"/>
                  <w:noWrap w:val="0"/>
                  <w:vAlign w:val="center"/>
                </w:tcPr>
                <w:p w14:paraId="32EE6B30">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6FAA37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546BDC57">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noWrap w:val="0"/>
                  <w:vAlign w:val="center"/>
                </w:tcPr>
                <w:p w14:paraId="10C2479A">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r>
                    <w:rPr>
                      <w:spacing w:val="-11"/>
                      <w:sz w:val="21"/>
                      <w:szCs w:val="21"/>
                    </w:rPr>
                    <w:t>DSA手术室（</w:t>
                  </w:r>
                  <w:r>
                    <w:rPr>
                      <w:rFonts w:hint="eastAsia"/>
                      <w:spacing w:val="-11"/>
                      <w:sz w:val="21"/>
                      <w:szCs w:val="21"/>
                      <w:lang w:val="en-US" w:eastAsia="zh-CN"/>
                    </w:rPr>
                    <w:t>OR10</w:t>
                  </w:r>
                  <w:r>
                    <w:rPr>
                      <w:spacing w:val="-11"/>
                      <w:sz w:val="21"/>
                      <w:szCs w:val="21"/>
                    </w:rPr>
                    <w:t>）</w:t>
                  </w:r>
                  <w:r>
                    <w:rPr>
                      <w:rFonts w:hint="eastAsia"/>
                      <w:spacing w:val="-11"/>
                      <w:sz w:val="21"/>
                      <w:szCs w:val="21"/>
                      <w:lang w:val="en-US" w:eastAsia="zh-CN"/>
                    </w:rPr>
                    <w:t>楼下（3F）</w:t>
                  </w:r>
                </w:p>
              </w:tc>
              <w:tc>
                <w:tcPr>
                  <w:tcW w:w="343" w:type="pct"/>
                  <w:noWrap w:val="0"/>
                  <w:vAlign w:val="center"/>
                </w:tcPr>
                <w:p w14:paraId="02570433">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noWrap w:val="0"/>
                  <w:vAlign w:val="center"/>
                </w:tcPr>
                <w:p w14:paraId="5B576C03">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超声功能检查区食道超声室</w:t>
                  </w:r>
                </w:p>
              </w:tc>
              <w:tc>
                <w:tcPr>
                  <w:tcW w:w="644" w:type="pct"/>
                  <w:shd w:val="clear" w:color="auto" w:fill="auto"/>
                  <w:noWrap w:val="0"/>
                  <w:vAlign w:val="center"/>
                </w:tcPr>
                <w:p w14:paraId="536A40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493" w:type="pct"/>
                  <w:shd w:val="clear" w:color="auto" w:fill="auto"/>
                  <w:noWrap w:val="0"/>
                  <w:vAlign w:val="center"/>
                </w:tcPr>
                <w:p w14:paraId="3B13F2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133.3</w:t>
                  </w:r>
                </w:p>
              </w:tc>
              <w:tc>
                <w:tcPr>
                  <w:tcW w:w="395" w:type="pct"/>
                  <w:noWrap w:val="0"/>
                  <w:vAlign w:val="center"/>
                </w:tcPr>
                <w:p w14:paraId="4899BE3D">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noWrap w:val="0"/>
                  <w:vAlign w:val="center"/>
                </w:tcPr>
                <w:p w14:paraId="21138D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5.07E-05</w:t>
                  </w:r>
                </w:p>
              </w:tc>
              <w:tc>
                <w:tcPr>
                  <w:tcW w:w="933" w:type="dxa"/>
                  <w:vMerge w:val="restart"/>
                  <w:noWrap w:val="0"/>
                  <w:vAlign w:val="center"/>
                </w:tcPr>
                <w:p w14:paraId="5022A1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1.39E-03</w:t>
                  </w:r>
                </w:p>
              </w:tc>
            </w:tr>
            <w:tr w14:paraId="396702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4E39FDA8">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79095E67">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6E2C6E06">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noWrap w:val="0"/>
                  <w:vAlign w:val="center"/>
                </w:tcPr>
                <w:p w14:paraId="706CD96C">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469E81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493" w:type="pct"/>
                  <w:shd w:val="clear" w:color="auto" w:fill="auto"/>
                  <w:noWrap w:val="0"/>
                  <w:vAlign w:val="center"/>
                </w:tcPr>
                <w:p w14:paraId="24EFB3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395" w:type="pct"/>
                  <w:noWrap w:val="0"/>
                  <w:vAlign w:val="center"/>
                </w:tcPr>
                <w:p w14:paraId="3B9EE35A">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noWrap w:val="0"/>
                  <w:vAlign w:val="center"/>
                </w:tcPr>
                <w:p w14:paraId="64CCBB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1.34E-03</w:t>
                  </w:r>
                </w:p>
              </w:tc>
              <w:tc>
                <w:tcPr>
                  <w:tcW w:w="521" w:type="pct"/>
                  <w:vMerge w:val="continue"/>
                  <w:noWrap w:val="0"/>
                  <w:vAlign w:val="center"/>
                </w:tcPr>
                <w:p w14:paraId="14779C1D">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4740C0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122460A5">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shd w:val="clear" w:color="auto" w:fill="auto"/>
                  <w:noWrap w:val="0"/>
                  <w:vAlign w:val="center"/>
                </w:tcPr>
                <w:p w14:paraId="5E076091">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spacing w:val="-11"/>
                      <w:sz w:val="21"/>
                      <w:szCs w:val="21"/>
                      <w:lang w:val="en-US" w:eastAsia="zh-CN" w:bidi="ar-SA"/>
                    </w:rPr>
                  </w:pPr>
                  <w:r>
                    <w:rPr>
                      <w:spacing w:val="-11"/>
                      <w:sz w:val="21"/>
                      <w:szCs w:val="21"/>
                    </w:rPr>
                    <w:t>DSA手术室（</w:t>
                  </w:r>
                  <w:r>
                    <w:rPr>
                      <w:rFonts w:hint="eastAsia"/>
                      <w:spacing w:val="-11"/>
                      <w:sz w:val="21"/>
                      <w:szCs w:val="21"/>
                      <w:lang w:val="en-US" w:eastAsia="zh-CN"/>
                    </w:rPr>
                    <w:t>OR11</w:t>
                  </w:r>
                  <w:r>
                    <w:rPr>
                      <w:spacing w:val="-11"/>
                      <w:sz w:val="21"/>
                      <w:szCs w:val="21"/>
                    </w:rPr>
                    <w:t>）</w:t>
                  </w:r>
                  <w:r>
                    <w:rPr>
                      <w:rFonts w:hint="eastAsia"/>
                      <w:spacing w:val="-11"/>
                      <w:sz w:val="21"/>
                      <w:szCs w:val="21"/>
                      <w:lang w:val="en-US" w:eastAsia="zh-CN"/>
                    </w:rPr>
                    <w:t>楼上（5F）</w:t>
                  </w:r>
                </w:p>
              </w:tc>
              <w:tc>
                <w:tcPr>
                  <w:tcW w:w="343" w:type="pct"/>
                  <w:noWrap w:val="0"/>
                  <w:vAlign w:val="center"/>
                </w:tcPr>
                <w:p w14:paraId="25CDC9AD">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noWrap w:val="0"/>
                  <w:vAlign w:val="center"/>
                </w:tcPr>
                <w:p w14:paraId="54446AE7">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屋面结构层和净化机房</w:t>
                  </w:r>
                </w:p>
              </w:tc>
              <w:tc>
                <w:tcPr>
                  <w:tcW w:w="644" w:type="pct"/>
                  <w:shd w:val="clear" w:color="auto" w:fill="auto"/>
                  <w:noWrap w:val="0"/>
                  <w:vAlign w:val="center"/>
                </w:tcPr>
                <w:p w14:paraId="017FB8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93" w:type="pct"/>
                  <w:shd w:val="clear" w:color="auto" w:fill="auto"/>
                  <w:noWrap w:val="0"/>
                  <w:vAlign w:val="center"/>
                </w:tcPr>
                <w:p w14:paraId="51539B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183.3</w:t>
                  </w:r>
                </w:p>
              </w:tc>
              <w:tc>
                <w:tcPr>
                  <w:tcW w:w="395" w:type="pct"/>
                  <w:noWrap w:val="0"/>
                  <w:vAlign w:val="center"/>
                </w:tcPr>
                <w:p w14:paraId="3FE7EB49">
                  <w:pPr>
                    <w:keepNext w:val="0"/>
                    <w:keepLines w:val="0"/>
                    <w:pageBreakBefore w:val="0"/>
                    <w:kinsoku/>
                    <w:wordWrap/>
                    <w:overflowPunct/>
                    <w:topLinePunct w:val="0"/>
                    <w:autoSpaceDE/>
                    <w:autoSpaceDN/>
                    <w:bidi w:val="0"/>
                    <w:adjustRightInd/>
                    <w:snapToGrid/>
                    <w:spacing w:line="320" w:lineRule="exact"/>
                    <w:jc w:val="center"/>
                    <w:rPr>
                      <w:rFonts w:hint="eastAsia"/>
                      <w:color w:val="auto"/>
                      <w:kern w:val="0"/>
                      <w:sz w:val="21"/>
                      <w:szCs w:val="21"/>
                      <w:highlight w:val="none"/>
                    </w:rPr>
                  </w:pPr>
                  <w:r>
                    <w:rPr>
                      <w:rFonts w:hint="eastAsia"/>
                      <w:color w:val="auto"/>
                      <w:kern w:val="0"/>
                      <w:sz w:val="21"/>
                      <w:szCs w:val="21"/>
                      <w:highlight w:val="none"/>
                      <w:lang w:val="en-US" w:eastAsia="zh-CN"/>
                    </w:rPr>
                    <w:t>1/16</w:t>
                  </w:r>
                </w:p>
              </w:tc>
              <w:tc>
                <w:tcPr>
                  <w:tcW w:w="1155" w:type="dxa"/>
                  <w:noWrap w:val="0"/>
                  <w:vAlign w:val="center"/>
                </w:tcPr>
                <w:p w14:paraId="3B5741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1.21E-05</w:t>
                  </w:r>
                </w:p>
              </w:tc>
              <w:tc>
                <w:tcPr>
                  <w:tcW w:w="933" w:type="dxa"/>
                  <w:vMerge w:val="restart"/>
                  <w:noWrap w:val="0"/>
                  <w:vAlign w:val="center"/>
                </w:tcPr>
                <w:p w14:paraId="5E6BE5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8.01E-04</w:t>
                  </w:r>
                </w:p>
              </w:tc>
            </w:tr>
            <w:tr w14:paraId="292D0E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noWrap w:val="0"/>
                  <w:vAlign w:val="center"/>
                </w:tcPr>
                <w:p w14:paraId="0CF9E4D2">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noWrap w:val="0"/>
                  <w:vAlign w:val="center"/>
                </w:tcPr>
                <w:p w14:paraId="1F1CB194">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noWrap w:val="0"/>
                  <w:vAlign w:val="center"/>
                </w:tcPr>
                <w:p w14:paraId="094FA0EA">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noWrap w:val="0"/>
                  <w:vAlign w:val="center"/>
                </w:tcPr>
                <w:p w14:paraId="65388FEA">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644" w:type="pct"/>
                  <w:shd w:val="clear" w:color="auto" w:fill="auto"/>
                  <w:noWrap w:val="0"/>
                  <w:vAlign w:val="center"/>
                </w:tcPr>
                <w:p w14:paraId="240365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493" w:type="pct"/>
                  <w:shd w:val="clear" w:color="auto" w:fill="auto"/>
                  <w:noWrap w:val="0"/>
                  <w:vAlign w:val="center"/>
                </w:tcPr>
                <w:p w14:paraId="35AFDA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395" w:type="pct"/>
                  <w:noWrap w:val="0"/>
                  <w:vAlign w:val="center"/>
                </w:tcPr>
                <w:p w14:paraId="40A0E3DE">
                  <w:pPr>
                    <w:keepNext w:val="0"/>
                    <w:keepLines w:val="0"/>
                    <w:pageBreakBefore w:val="0"/>
                    <w:kinsoku/>
                    <w:wordWrap/>
                    <w:overflowPunct/>
                    <w:topLinePunct w:val="0"/>
                    <w:autoSpaceDE/>
                    <w:autoSpaceDN/>
                    <w:bidi w:val="0"/>
                    <w:adjustRightInd/>
                    <w:snapToGrid/>
                    <w:spacing w:line="320" w:lineRule="exact"/>
                    <w:jc w:val="center"/>
                    <w:rPr>
                      <w:rFonts w:hint="eastAsia"/>
                      <w:color w:val="auto"/>
                      <w:kern w:val="0"/>
                      <w:sz w:val="21"/>
                      <w:szCs w:val="21"/>
                      <w:highlight w:val="none"/>
                    </w:rPr>
                  </w:pPr>
                  <w:r>
                    <w:rPr>
                      <w:rFonts w:hint="eastAsia"/>
                      <w:color w:val="auto"/>
                      <w:kern w:val="0"/>
                      <w:sz w:val="21"/>
                      <w:szCs w:val="21"/>
                      <w:highlight w:val="none"/>
                      <w:lang w:val="en-US" w:eastAsia="zh-CN"/>
                    </w:rPr>
                    <w:t>1/16</w:t>
                  </w:r>
                </w:p>
              </w:tc>
              <w:tc>
                <w:tcPr>
                  <w:tcW w:w="1155" w:type="dxa"/>
                  <w:noWrap w:val="0"/>
                  <w:vAlign w:val="center"/>
                </w:tcPr>
                <w:p w14:paraId="11834A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7.89E-04</w:t>
                  </w:r>
                </w:p>
              </w:tc>
              <w:tc>
                <w:tcPr>
                  <w:tcW w:w="521" w:type="pct"/>
                  <w:vMerge w:val="continue"/>
                  <w:noWrap w:val="0"/>
                  <w:vAlign w:val="center"/>
                </w:tcPr>
                <w:p w14:paraId="4EF7F4F7">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0DD243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vAlign w:val="center"/>
                </w:tcPr>
                <w:p w14:paraId="67C93278">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vAlign w:val="center"/>
                </w:tcPr>
                <w:p w14:paraId="3FCC1A9D">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r>
                    <w:rPr>
                      <w:spacing w:val="-11"/>
                      <w:sz w:val="21"/>
                      <w:szCs w:val="21"/>
                    </w:rPr>
                    <w:t>DSA手术室（</w:t>
                  </w:r>
                  <w:r>
                    <w:rPr>
                      <w:rFonts w:hint="eastAsia"/>
                      <w:spacing w:val="-11"/>
                      <w:sz w:val="21"/>
                      <w:szCs w:val="21"/>
                      <w:lang w:val="en-US" w:eastAsia="zh-CN"/>
                    </w:rPr>
                    <w:t>OR11</w:t>
                  </w:r>
                  <w:r>
                    <w:rPr>
                      <w:spacing w:val="-11"/>
                      <w:sz w:val="21"/>
                      <w:szCs w:val="21"/>
                    </w:rPr>
                    <w:t>）</w:t>
                  </w:r>
                  <w:r>
                    <w:rPr>
                      <w:rFonts w:hint="eastAsia"/>
                      <w:spacing w:val="-11"/>
                      <w:sz w:val="21"/>
                      <w:szCs w:val="21"/>
                      <w:lang w:val="en-US" w:eastAsia="zh-CN"/>
                    </w:rPr>
                    <w:t>楼下（3F）</w:t>
                  </w:r>
                </w:p>
              </w:tc>
              <w:tc>
                <w:tcPr>
                  <w:tcW w:w="343" w:type="pct"/>
                  <w:vAlign w:val="center"/>
                </w:tcPr>
                <w:p w14:paraId="71968F01">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vAlign w:val="center"/>
                </w:tcPr>
                <w:p w14:paraId="602A5D29">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超声功能检查区彩超室</w:t>
                  </w:r>
                </w:p>
              </w:tc>
              <w:tc>
                <w:tcPr>
                  <w:tcW w:w="0" w:type="auto"/>
                  <w:shd w:val="clear" w:color="auto" w:fill="auto"/>
                  <w:vAlign w:val="center"/>
                </w:tcPr>
                <w:p w14:paraId="25FD5D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0" w:type="auto"/>
                  <w:shd w:val="clear" w:color="auto" w:fill="auto"/>
                  <w:vAlign w:val="center"/>
                </w:tcPr>
                <w:p w14:paraId="0A7F9F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183.3</w:t>
                  </w:r>
                </w:p>
              </w:tc>
              <w:tc>
                <w:tcPr>
                  <w:tcW w:w="0" w:type="auto"/>
                  <w:vAlign w:val="center"/>
                </w:tcPr>
                <w:p w14:paraId="68772BCF">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vAlign w:val="center"/>
                </w:tcPr>
                <w:p w14:paraId="4A7E65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6.97E-05</w:t>
                  </w:r>
                </w:p>
              </w:tc>
              <w:tc>
                <w:tcPr>
                  <w:tcW w:w="933" w:type="dxa"/>
                  <w:vMerge w:val="restart"/>
                  <w:vAlign w:val="center"/>
                </w:tcPr>
                <w:p w14:paraId="610CAB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1.93E-03</w:t>
                  </w:r>
                </w:p>
              </w:tc>
            </w:tr>
            <w:tr w14:paraId="6B02BB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vAlign w:val="center"/>
                </w:tcPr>
                <w:p w14:paraId="4D5F39B0">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vAlign w:val="center"/>
                </w:tcPr>
                <w:p w14:paraId="48942BBE">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vAlign w:val="center"/>
                </w:tcPr>
                <w:p w14:paraId="7B7649BE">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vAlign w:val="center"/>
                </w:tcPr>
                <w:p w14:paraId="7C470F2C">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0" w:type="auto"/>
                  <w:shd w:val="clear" w:color="auto" w:fill="auto"/>
                  <w:vAlign w:val="center"/>
                </w:tcPr>
                <w:p w14:paraId="5DBDD6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0" w:type="auto"/>
                  <w:shd w:val="clear" w:color="auto" w:fill="auto"/>
                  <w:vAlign w:val="center"/>
                </w:tcPr>
                <w:p w14:paraId="30CA5C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0" w:type="auto"/>
                  <w:vAlign w:val="center"/>
                </w:tcPr>
                <w:p w14:paraId="04F52028">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vAlign w:val="center"/>
                </w:tcPr>
                <w:p w14:paraId="269881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1.86E-03</w:t>
                  </w:r>
                </w:p>
              </w:tc>
              <w:tc>
                <w:tcPr>
                  <w:tcW w:w="521" w:type="pct"/>
                  <w:vMerge w:val="continue"/>
                  <w:vAlign w:val="center"/>
                </w:tcPr>
                <w:p w14:paraId="08E78272">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078A4E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vAlign w:val="center"/>
                </w:tcPr>
                <w:p w14:paraId="44B28CD9">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vAlign w:val="center"/>
                </w:tcPr>
                <w:p w14:paraId="6576580D">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r>
                    <w:rPr>
                      <w:rFonts w:hint="eastAsia"/>
                      <w:spacing w:val="-11"/>
                      <w:sz w:val="21"/>
                      <w:szCs w:val="21"/>
                      <w:lang w:val="en-US" w:eastAsia="zh-CN"/>
                    </w:rPr>
                    <w:t>ERCP</w:t>
                  </w:r>
                  <w:r>
                    <w:rPr>
                      <w:spacing w:val="-11"/>
                      <w:sz w:val="21"/>
                      <w:szCs w:val="21"/>
                    </w:rPr>
                    <w:t>室</w:t>
                  </w:r>
                  <w:r>
                    <w:rPr>
                      <w:rFonts w:hint="eastAsia"/>
                      <w:spacing w:val="-11"/>
                      <w:sz w:val="21"/>
                      <w:szCs w:val="21"/>
                      <w:lang w:val="en-US" w:eastAsia="zh-CN"/>
                    </w:rPr>
                    <w:t>楼上（5F）</w:t>
                  </w:r>
                </w:p>
              </w:tc>
              <w:tc>
                <w:tcPr>
                  <w:tcW w:w="343" w:type="pct"/>
                  <w:vAlign w:val="center"/>
                </w:tcPr>
                <w:p w14:paraId="2A31D435">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vAlign w:val="center"/>
                </w:tcPr>
                <w:p w14:paraId="50998370">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屋面结构层</w:t>
                  </w:r>
                </w:p>
              </w:tc>
              <w:tc>
                <w:tcPr>
                  <w:tcW w:w="0" w:type="auto"/>
                  <w:shd w:val="clear" w:color="auto" w:fill="auto"/>
                  <w:vAlign w:val="center"/>
                </w:tcPr>
                <w:p w14:paraId="329819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1.06E-03</w:t>
                  </w:r>
                </w:p>
              </w:tc>
              <w:tc>
                <w:tcPr>
                  <w:tcW w:w="493" w:type="pct"/>
                  <w:shd w:val="clear" w:color="auto" w:fill="auto"/>
                  <w:vAlign w:val="center"/>
                </w:tcPr>
                <w:p w14:paraId="6513A1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62.5</w:t>
                  </w:r>
                </w:p>
              </w:tc>
              <w:tc>
                <w:tcPr>
                  <w:tcW w:w="0" w:type="auto"/>
                  <w:vAlign w:val="center"/>
                </w:tcPr>
                <w:p w14:paraId="1D90BB00">
                  <w:pPr>
                    <w:keepNext w:val="0"/>
                    <w:keepLines w:val="0"/>
                    <w:pageBreakBefore w:val="0"/>
                    <w:kinsoku/>
                    <w:wordWrap/>
                    <w:overflowPunct/>
                    <w:topLinePunct w:val="0"/>
                    <w:autoSpaceDE/>
                    <w:autoSpaceDN/>
                    <w:bidi w:val="0"/>
                    <w:adjustRightInd/>
                    <w:snapToGrid/>
                    <w:spacing w:line="320" w:lineRule="exact"/>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1/16</w:t>
                  </w:r>
                </w:p>
              </w:tc>
              <w:tc>
                <w:tcPr>
                  <w:tcW w:w="1155" w:type="dxa"/>
                  <w:vAlign w:val="center"/>
                </w:tcPr>
                <w:p w14:paraId="380ACC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4.14E-06</w:t>
                  </w:r>
                </w:p>
              </w:tc>
              <w:tc>
                <w:tcPr>
                  <w:tcW w:w="933" w:type="dxa"/>
                  <w:vMerge w:val="restart"/>
                  <w:vAlign w:val="center"/>
                </w:tcPr>
                <w:p w14:paraId="61B16A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2.76E-04</w:t>
                  </w:r>
                </w:p>
              </w:tc>
            </w:tr>
            <w:tr w14:paraId="37FDF1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vAlign w:val="center"/>
                </w:tcPr>
                <w:p w14:paraId="343C2199">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shd w:val="clear" w:color="auto" w:fill="auto"/>
                  <w:vAlign w:val="center"/>
                </w:tcPr>
                <w:p w14:paraId="4BB08EEB">
                  <w:pPr>
                    <w:keepNext w:val="0"/>
                    <w:keepLines w:val="0"/>
                    <w:pageBreakBefore w:val="0"/>
                    <w:kinsoku/>
                    <w:wordWrap/>
                    <w:overflowPunct/>
                    <w:topLinePunct w:val="0"/>
                    <w:autoSpaceDE/>
                    <w:autoSpaceDN/>
                    <w:bidi w:val="0"/>
                    <w:adjustRightInd/>
                    <w:snapToGrid/>
                    <w:spacing w:line="320" w:lineRule="exact"/>
                    <w:jc w:val="center"/>
                    <w:rPr>
                      <w:rFonts w:hint="eastAsia" w:ascii="Times New Roman" w:hAnsi="Times New Roman" w:eastAsia="宋体" w:cs="Times New Roman"/>
                      <w:spacing w:val="-11"/>
                      <w:sz w:val="21"/>
                      <w:szCs w:val="21"/>
                      <w:lang w:val="en-US" w:eastAsia="zh-CN" w:bidi="ar-SA"/>
                    </w:rPr>
                  </w:pPr>
                </w:p>
              </w:tc>
              <w:tc>
                <w:tcPr>
                  <w:tcW w:w="343" w:type="pct"/>
                  <w:vAlign w:val="center"/>
                </w:tcPr>
                <w:p w14:paraId="2CE47F63">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vAlign w:val="center"/>
                </w:tcPr>
                <w:p w14:paraId="0C400FE7">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0" w:type="auto"/>
                  <w:shd w:val="clear" w:color="auto" w:fill="auto"/>
                  <w:vAlign w:val="center"/>
                </w:tcPr>
                <w:p w14:paraId="2E7E33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2.07E+00</w:t>
                  </w:r>
                </w:p>
              </w:tc>
              <w:tc>
                <w:tcPr>
                  <w:tcW w:w="0" w:type="auto"/>
                  <w:shd w:val="clear" w:color="auto" w:fill="auto"/>
                  <w:vAlign w:val="center"/>
                </w:tcPr>
                <w:p w14:paraId="0C2334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0" w:type="auto"/>
                  <w:vAlign w:val="center"/>
                </w:tcPr>
                <w:p w14:paraId="48463D1E">
                  <w:pPr>
                    <w:keepNext w:val="0"/>
                    <w:keepLines w:val="0"/>
                    <w:pageBreakBefore w:val="0"/>
                    <w:kinsoku/>
                    <w:wordWrap/>
                    <w:overflowPunct/>
                    <w:topLinePunct w:val="0"/>
                    <w:autoSpaceDE/>
                    <w:autoSpaceDN/>
                    <w:bidi w:val="0"/>
                    <w:adjustRightInd/>
                    <w:snapToGrid/>
                    <w:spacing w:line="320" w:lineRule="exact"/>
                    <w:jc w:val="center"/>
                    <w:rPr>
                      <w:rFonts w:hint="eastAsia"/>
                      <w:color w:val="auto"/>
                      <w:kern w:val="0"/>
                      <w:sz w:val="21"/>
                      <w:szCs w:val="21"/>
                      <w:highlight w:val="none"/>
                    </w:rPr>
                  </w:pPr>
                  <w:r>
                    <w:rPr>
                      <w:rFonts w:hint="eastAsia"/>
                      <w:color w:val="auto"/>
                      <w:kern w:val="0"/>
                      <w:sz w:val="21"/>
                      <w:szCs w:val="21"/>
                      <w:highlight w:val="none"/>
                      <w:lang w:val="en-US" w:eastAsia="zh-CN"/>
                    </w:rPr>
                    <w:t>1/16</w:t>
                  </w:r>
                </w:p>
              </w:tc>
              <w:tc>
                <w:tcPr>
                  <w:tcW w:w="1155" w:type="dxa"/>
                  <w:vAlign w:val="center"/>
                </w:tcPr>
                <w:p w14:paraId="3D2C43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2.72E-04</w:t>
                  </w:r>
                </w:p>
              </w:tc>
              <w:tc>
                <w:tcPr>
                  <w:tcW w:w="521" w:type="pct"/>
                  <w:vMerge w:val="continue"/>
                  <w:vAlign w:val="center"/>
                </w:tcPr>
                <w:p w14:paraId="637158BA">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r w14:paraId="2892E3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vAlign w:val="center"/>
                </w:tcPr>
                <w:p w14:paraId="75AE0A64">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restart"/>
                  <w:vAlign w:val="center"/>
                </w:tcPr>
                <w:p w14:paraId="2C64C331">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r>
                    <w:rPr>
                      <w:rFonts w:hint="eastAsia"/>
                      <w:spacing w:val="-11"/>
                      <w:sz w:val="21"/>
                      <w:szCs w:val="21"/>
                      <w:lang w:val="en-US" w:eastAsia="zh-CN"/>
                    </w:rPr>
                    <w:t>ERCP</w:t>
                  </w:r>
                  <w:r>
                    <w:rPr>
                      <w:spacing w:val="-11"/>
                      <w:sz w:val="21"/>
                      <w:szCs w:val="21"/>
                    </w:rPr>
                    <w:t>室</w:t>
                  </w:r>
                  <w:r>
                    <w:rPr>
                      <w:rFonts w:hint="eastAsia"/>
                      <w:spacing w:val="-11"/>
                      <w:sz w:val="21"/>
                      <w:szCs w:val="21"/>
                      <w:lang w:val="en-US" w:eastAsia="zh-CN"/>
                    </w:rPr>
                    <w:t>楼下（3F）</w:t>
                  </w:r>
                </w:p>
              </w:tc>
              <w:tc>
                <w:tcPr>
                  <w:tcW w:w="343" w:type="pct"/>
                  <w:vAlign w:val="center"/>
                </w:tcPr>
                <w:p w14:paraId="38C0CF4E">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介入</w:t>
                  </w:r>
                </w:p>
              </w:tc>
              <w:tc>
                <w:tcPr>
                  <w:tcW w:w="587" w:type="pct"/>
                  <w:vMerge w:val="restart"/>
                  <w:vAlign w:val="center"/>
                </w:tcPr>
                <w:p w14:paraId="1016F40E">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r>
                    <w:rPr>
                      <w:rFonts w:hint="eastAsia"/>
                      <w:color w:val="auto"/>
                      <w:spacing w:val="-11"/>
                      <w:kern w:val="0"/>
                      <w:sz w:val="21"/>
                      <w:szCs w:val="21"/>
                      <w:highlight w:val="none"/>
                    </w:rPr>
                    <w:t>妇产科盆底治疗区域</w:t>
                  </w:r>
                </w:p>
              </w:tc>
              <w:tc>
                <w:tcPr>
                  <w:tcW w:w="0" w:type="auto"/>
                  <w:shd w:val="clear" w:color="auto" w:fill="auto"/>
                  <w:vAlign w:val="center"/>
                </w:tcPr>
                <w:p w14:paraId="2DBFD3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3.80E-04</w:t>
                  </w:r>
                </w:p>
              </w:tc>
              <w:tc>
                <w:tcPr>
                  <w:tcW w:w="0" w:type="auto"/>
                  <w:shd w:val="clear" w:color="auto" w:fill="auto"/>
                  <w:vAlign w:val="center"/>
                </w:tcPr>
                <w:p w14:paraId="28FA1E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62.5</w:t>
                  </w:r>
                </w:p>
              </w:tc>
              <w:tc>
                <w:tcPr>
                  <w:tcW w:w="0" w:type="auto"/>
                  <w:vAlign w:val="center"/>
                </w:tcPr>
                <w:p w14:paraId="63B9188F">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vAlign w:val="center"/>
                </w:tcPr>
                <w:p w14:paraId="1B2875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2.38E-05</w:t>
                  </w:r>
                </w:p>
              </w:tc>
              <w:tc>
                <w:tcPr>
                  <w:tcW w:w="933" w:type="dxa"/>
                  <w:vMerge w:val="restart"/>
                  <w:vAlign w:val="center"/>
                </w:tcPr>
                <w:p w14:paraId="5D842C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color w:val="auto"/>
                      <w:kern w:val="0"/>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6.64E-04</w:t>
                  </w:r>
                </w:p>
              </w:tc>
            </w:tr>
            <w:tr w14:paraId="71FECD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58" w:type="pct"/>
                  <w:vMerge w:val="continue"/>
                  <w:vAlign w:val="center"/>
                </w:tcPr>
                <w:p w14:paraId="2E917367">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1009" w:type="pct"/>
                  <w:vMerge w:val="continue"/>
                  <w:vAlign w:val="center"/>
                </w:tcPr>
                <w:p w14:paraId="60020D88">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rPr>
                  </w:pPr>
                </w:p>
              </w:tc>
              <w:tc>
                <w:tcPr>
                  <w:tcW w:w="343" w:type="pct"/>
                  <w:vAlign w:val="center"/>
                </w:tcPr>
                <w:p w14:paraId="72B23ADB">
                  <w:pPr>
                    <w:keepNext w:val="0"/>
                    <w:keepLines w:val="0"/>
                    <w:pageBreakBefore w:val="0"/>
                    <w:kinsoku/>
                    <w:wordWrap/>
                    <w:overflowPunct/>
                    <w:topLinePunct w:val="0"/>
                    <w:autoSpaceDE/>
                    <w:autoSpaceDN/>
                    <w:bidi w:val="0"/>
                    <w:adjustRightInd/>
                    <w:snapToGrid/>
                    <w:spacing w:line="320" w:lineRule="exact"/>
                    <w:jc w:val="center"/>
                    <w:rPr>
                      <w:rFonts w:hint="eastAsia"/>
                      <w:color w:val="auto"/>
                      <w:spacing w:val="-11"/>
                      <w:kern w:val="0"/>
                      <w:sz w:val="21"/>
                      <w:szCs w:val="21"/>
                      <w:highlight w:val="none"/>
                      <w:lang w:val="en-US" w:eastAsia="zh-CN"/>
                    </w:rPr>
                  </w:pPr>
                  <w:r>
                    <w:rPr>
                      <w:rFonts w:hint="eastAsia"/>
                      <w:color w:val="auto"/>
                      <w:spacing w:val="-11"/>
                      <w:kern w:val="0"/>
                      <w:sz w:val="21"/>
                      <w:szCs w:val="21"/>
                      <w:highlight w:val="none"/>
                      <w:lang w:val="en-US" w:eastAsia="zh-CN"/>
                    </w:rPr>
                    <w:t>影像</w:t>
                  </w:r>
                </w:p>
              </w:tc>
              <w:tc>
                <w:tcPr>
                  <w:tcW w:w="587" w:type="pct"/>
                  <w:vMerge w:val="continue"/>
                  <w:vAlign w:val="center"/>
                </w:tcPr>
                <w:p w14:paraId="34399130">
                  <w:pPr>
                    <w:keepNext w:val="0"/>
                    <w:keepLines w:val="0"/>
                    <w:pageBreakBefore w:val="0"/>
                    <w:kinsoku/>
                    <w:wordWrap/>
                    <w:overflowPunct/>
                    <w:topLinePunct w:val="0"/>
                    <w:autoSpaceDE/>
                    <w:autoSpaceDN/>
                    <w:bidi w:val="0"/>
                    <w:adjustRightInd/>
                    <w:snapToGrid/>
                    <w:spacing w:line="320" w:lineRule="exact"/>
                    <w:jc w:val="center"/>
                    <w:rPr>
                      <w:color w:val="auto"/>
                      <w:spacing w:val="-11"/>
                      <w:kern w:val="0"/>
                      <w:sz w:val="21"/>
                      <w:szCs w:val="21"/>
                      <w:highlight w:val="none"/>
                    </w:rPr>
                  </w:pPr>
                </w:p>
              </w:tc>
              <w:tc>
                <w:tcPr>
                  <w:tcW w:w="0" w:type="auto"/>
                  <w:shd w:val="clear" w:color="auto" w:fill="auto"/>
                  <w:vAlign w:val="center"/>
                </w:tcPr>
                <w:p w14:paraId="0A7136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3.05E-01</w:t>
                  </w:r>
                </w:p>
              </w:tc>
              <w:tc>
                <w:tcPr>
                  <w:tcW w:w="0" w:type="auto"/>
                  <w:shd w:val="clear" w:color="auto" w:fill="auto"/>
                  <w:vAlign w:val="center"/>
                </w:tcPr>
                <w:p w14:paraId="588E16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0" w:type="auto"/>
                  <w:vAlign w:val="center"/>
                </w:tcPr>
                <w:p w14:paraId="34A11FDB">
                  <w:pPr>
                    <w:keepNext w:val="0"/>
                    <w:keepLines w:val="0"/>
                    <w:pageBreakBefore w:val="0"/>
                    <w:kinsoku/>
                    <w:wordWrap/>
                    <w:overflowPunct/>
                    <w:topLinePunct w:val="0"/>
                    <w:autoSpaceDE/>
                    <w:autoSpaceDN/>
                    <w:bidi w:val="0"/>
                    <w:adjustRightInd/>
                    <w:snapToGrid/>
                    <w:spacing w:line="320" w:lineRule="exact"/>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1</w:t>
                  </w:r>
                </w:p>
              </w:tc>
              <w:tc>
                <w:tcPr>
                  <w:tcW w:w="1155" w:type="dxa"/>
                  <w:vAlign w:val="center"/>
                </w:tcPr>
                <w:p w14:paraId="469354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6.41E-04</w:t>
                  </w:r>
                </w:p>
              </w:tc>
              <w:tc>
                <w:tcPr>
                  <w:tcW w:w="521" w:type="pct"/>
                  <w:vMerge w:val="continue"/>
                  <w:vAlign w:val="center"/>
                </w:tcPr>
                <w:p w14:paraId="52C42CB3">
                  <w:pPr>
                    <w:keepNext w:val="0"/>
                    <w:keepLines w:val="0"/>
                    <w:pageBreakBefore w:val="0"/>
                    <w:kinsoku/>
                    <w:wordWrap/>
                    <w:overflowPunct/>
                    <w:topLinePunct w:val="0"/>
                    <w:autoSpaceDE/>
                    <w:autoSpaceDN/>
                    <w:bidi w:val="0"/>
                    <w:adjustRightInd/>
                    <w:snapToGrid/>
                    <w:spacing w:line="320" w:lineRule="exact"/>
                    <w:jc w:val="center"/>
                    <w:rPr>
                      <w:color w:val="auto"/>
                      <w:kern w:val="0"/>
                      <w:sz w:val="21"/>
                      <w:szCs w:val="21"/>
                      <w:highlight w:val="none"/>
                    </w:rPr>
                  </w:pPr>
                </w:p>
              </w:tc>
            </w:tr>
          </w:tbl>
          <w:p w14:paraId="77C8FC97">
            <w:pPr>
              <w:ind w:firstLine="480" w:firstLineChars="200"/>
              <w:rPr>
                <w:iCs/>
                <w:color w:val="auto"/>
                <w:highlight w:val="none"/>
              </w:rPr>
            </w:pPr>
            <w:r>
              <w:rPr>
                <w:color w:val="auto"/>
                <w:highlight w:val="none"/>
              </w:rPr>
              <w:t>根据上表，</w:t>
            </w:r>
            <w:r>
              <w:rPr>
                <w:iCs/>
                <w:color w:val="auto"/>
                <w:highlight w:val="none"/>
              </w:rPr>
              <w:t>本项目</w:t>
            </w:r>
            <w:r>
              <w:rPr>
                <w:rFonts w:hint="eastAsia"/>
                <w:iCs/>
                <w:color w:val="auto"/>
                <w:highlight w:val="none"/>
                <w:lang w:val="en-US" w:eastAsia="zh-CN"/>
              </w:rPr>
              <w:t>四层各涉放机房</w:t>
            </w:r>
            <w:r>
              <w:rPr>
                <w:iCs/>
                <w:color w:val="auto"/>
                <w:highlight w:val="none"/>
              </w:rPr>
              <w:t>周围</w:t>
            </w:r>
            <w:r>
              <w:rPr>
                <w:rFonts w:hint="eastAsia"/>
                <w:iCs/>
                <w:color w:val="auto"/>
                <w:highlight w:val="none"/>
              </w:rPr>
              <w:t>保护目标受到的</w:t>
            </w:r>
            <w:r>
              <w:rPr>
                <w:color w:val="auto"/>
                <w:highlight w:val="none"/>
              </w:rPr>
              <w:t>年附加有效剂量最大为</w:t>
            </w:r>
            <w:r>
              <w:rPr>
                <w:rFonts w:hint="eastAsia"/>
                <w:color w:val="auto"/>
                <w:highlight w:val="none"/>
                <w:lang w:val="en-US" w:eastAsia="zh-CN"/>
              </w:rPr>
              <w:t>2.47</w:t>
            </w:r>
            <w:r>
              <w:rPr>
                <w:rFonts w:eastAsia="仿宋"/>
                <w:color w:val="auto"/>
                <w:highlight w:val="none"/>
              </w:rPr>
              <w:t>×10</w:t>
            </w:r>
            <w:r>
              <w:rPr>
                <w:rFonts w:eastAsia="仿宋"/>
                <w:color w:val="auto"/>
                <w:highlight w:val="none"/>
                <w:vertAlign w:val="superscript"/>
              </w:rPr>
              <w:t>-</w:t>
            </w:r>
            <w:r>
              <w:rPr>
                <w:rFonts w:hint="eastAsia" w:eastAsia="仿宋"/>
                <w:color w:val="auto"/>
                <w:highlight w:val="none"/>
                <w:vertAlign w:val="superscript"/>
              </w:rPr>
              <w:t>3</w:t>
            </w:r>
            <w:r>
              <w:rPr>
                <w:color w:val="auto"/>
                <w:highlight w:val="none"/>
              </w:rPr>
              <w:t>mSv，满足公众照射年有效剂量0.1mSv的约束</w:t>
            </w:r>
            <w:r>
              <w:rPr>
                <w:rFonts w:hint="eastAsia"/>
                <w:color w:val="auto"/>
                <w:highlight w:val="none"/>
              </w:rPr>
              <w:t>限</w:t>
            </w:r>
            <w:r>
              <w:rPr>
                <w:color w:val="auto"/>
                <w:highlight w:val="none"/>
              </w:rPr>
              <w:t>值要求。</w:t>
            </w:r>
          </w:p>
          <w:p w14:paraId="3EA2B7FA">
            <w:pPr>
              <w:pStyle w:val="55"/>
            </w:pPr>
          </w:p>
        </w:tc>
      </w:tr>
    </w:tbl>
    <w:p w14:paraId="569BD7B1">
      <w:r>
        <w:rPr/>
        <w:br w:type="page" w:clear="all"/>
      </w:r>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7"/>
      </w:tblGrid>
      <w:tr w14:paraId="54CA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903D132">
            <w:pPr>
              <w:ind w:firstLine="480"/>
              <w:rPr>
                <w:rFonts w:eastAsia="黑体"/>
                <w:bCs/>
                <w:sz w:val="21"/>
                <w:szCs w:val="21"/>
              </w:rPr>
            </w:pPr>
            <w:r>
              <w:rPr>
                <w:rFonts w:eastAsia="黑体"/>
                <w:bCs/>
              </w:rPr>
              <w:t>（八）环境保护目标受照剂量小结</w:t>
            </w:r>
          </w:p>
          <w:p w14:paraId="127D2A42">
            <w:pPr>
              <w:ind w:firstLine="480"/>
              <w:rPr>
                <w:lang w:bidi="ar"/>
              </w:rPr>
            </w:pPr>
            <w:r>
              <w:rPr>
                <w:lang w:bidi="ar"/>
              </w:rPr>
              <w:t>综上所述，本项目环境保护目标年受照剂量汇总见表11-</w:t>
            </w:r>
            <w:r>
              <w:rPr>
                <w:rFonts w:hint="eastAsia"/>
                <w:lang w:val="en-US" w:eastAsia="zh-CN" w:bidi="ar"/>
              </w:rPr>
              <w:t>19</w:t>
            </w:r>
            <w:r>
              <w:rPr>
                <w:lang w:bidi="ar"/>
              </w:rPr>
              <w:t>。</w:t>
            </w:r>
          </w:p>
          <w:p w14:paraId="66CAD734">
            <w:pPr>
              <w:widowControl/>
              <w:spacing w:before="163" w:line="240" w:lineRule="auto"/>
              <w:jc w:val="center"/>
              <w:rPr>
                <w:rFonts w:eastAsia="黑体"/>
                <w:bCs/>
                <w:sz w:val="21"/>
                <w:szCs w:val="21"/>
                <w:lang w:bidi="ar"/>
              </w:rPr>
            </w:pPr>
            <w:r>
              <w:rPr>
                <w:rFonts w:eastAsia="黑体"/>
                <w:bCs/>
                <w:sz w:val="21"/>
                <w:szCs w:val="21"/>
              </w:rPr>
              <w:t>表11-</w:t>
            </w:r>
            <w:r>
              <w:rPr>
                <w:rFonts w:hint="eastAsia" w:eastAsia="黑体"/>
                <w:bCs/>
                <w:sz w:val="21"/>
                <w:szCs w:val="21"/>
                <w:lang w:val="en-US" w:eastAsia="zh-CN"/>
              </w:rPr>
              <w:t>19</w:t>
            </w:r>
            <w:r>
              <w:rPr>
                <w:rFonts w:eastAsia="黑体"/>
                <w:bCs/>
                <w:sz w:val="21"/>
                <w:szCs w:val="21"/>
              </w:rPr>
              <w:t>-1 本项目环境保护目标一览表（职业人员）</w:t>
            </w:r>
          </w:p>
          <w:tbl>
            <w:tblPr>
              <w:tblStyle w:val="58"/>
              <w:tblW w:w="4997"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66"/>
              <w:gridCol w:w="2562"/>
              <w:gridCol w:w="2126"/>
              <w:gridCol w:w="2882"/>
            </w:tblGrid>
            <w:tr w14:paraId="2B14455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8" w:hRule="atLeast"/>
                <w:jc w:val="center"/>
              </w:trPr>
              <w:tc>
                <w:tcPr>
                  <w:tcW w:w="2031" w:type="pct"/>
                  <w:gridSpan w:val="2"/>
                  <w:vAlign w:val="center"/>
                </w:tcPr>
                <w:p w14:paraId="0EAECCB2">
                  <w:pPr>
                    <w:spacing w:line="360" w:lineRule="exact"/>
                    <w:jc w:val="center"/>
                    <w:rPr>
                      <w:sz w:val="21"/>
                      <w:szCs w:val="21"/>
                    </w:rPr>
                  </w:pPr>
                  <w:r>
                    <w:rPr>
                      <w:sz w:val="21"/>
                      <w:szCs w:val="21"/>
                    </w:rPr>
                    <w:t>场所</w:t>
                  </w:r>
                </w:p>
              </w:tc>
              <w:tc>
                <w:tcPr>
                  <w:tcW w:w="1260" w:type="pct"/>
                  <w:vAlign w:val="center"/>
                </w:tcPr>
                <w:p w14:paraId="62EF843B">
                  <w:pPr>
                    <w:spacing w:line="360" w:lineRule="exact"/>
                    <w:jc w:val="center"/>
                    <w:rPr>
                      <w:spacing w:val="-11"/>
                      <w:sz w:val="21"/>
                      <w:szCs w:val="21"/>
                    </w:rPr>
                  </w:pPr>
                  <w:r>
                    <w:rPr>
                      <w:spacing w:val="-11"/>
                      <w:sz w:val="21"/>
                      <w:szCs w:val="21"/>
                    </w:rPr>
                    <w:t>职业人员人数（人）</w:t>
                  </w:r>
                </w:p>
              </w:tc>
              <w:tc>
                <w:tcPr>
                  <w:tcW w:w="1708" w:type="pct"/>
                  <w:vAlign w:val="center"/>
                </w:tcPr>
                <w:p w14:paraId="19B0B4C9">
                  <w:pPr>
                    <w:spacing w:line="360" w:lineRule="exact"/>
                    <w:jc w:val="center"/>
                    <w:rPr>
                      <w:spacing w:val="-11"/>
                      <w:sz w:val="21"/>
                      <w:szCs w:val="21"/>
                    </w:rPr>
                  </w:pPr>
                  <w:r>
                    <w:rPr>
                      <w:spacing w:val="-11"/>
                      <w:sz w:val="21"/>
                      <w:szCs w:val="21"/>
                    </w:rPr>
                    <w:t>人均最大年受照剂量（mSv/a）</w:t>
                  </w:r>
                </w:p>
              </w:tc>
            </w:tr>
            <w:tr w14:paraId="35F4A67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13" w:type="pct"/>
                  <w:vAlign w:val="center"/>
                </w:tcPr>
                <w:p w14:paraId="650B7D3D">
                  <w:pPr>
                    <w:spacing w:line="360" w:lineRule="exact"/>
                    <w:jc w:val="center"/>
                    <w:rPr>
                      <w:sz w:val="21"/>
                      <w:szCs w:val="21"/>
                    </w:rPr>
                  </w:pPr>
                  <w:r>
                    <w:rPr>
                      <w:sz w:val="21"/>
                      <w:szCs w:val="21"/>
                    </w:rPr>
                    <w:t>负一层</w:t>
                  </w:r>
                </w:p>
              </w:tc>
              <w:tc>
                <w:tcPr>
                  <w:tcW w:w="1518" w:type="pct"/>
                  <w:vAlign w:val="center"/>
                </w:tcPr>
                <w:p w14:paraId="04D07D7C">
                  <w:pPr>
                    <w:spacing w:line="360" w:lineRule="exact"/>
                    <w:jc w:val="center"/>
                    <w:rPr>
                      <w:rFonts w:hint="eastAsia" w:eastAsia="宋体"/>
                      <w:sz w:val="21"/>
                      <w:szCs w:val="21"/>
                      <w:lang w:eastAsia="zh-CN"/>
                    </w:rPr>
                  </w:pPr>
                  <w:r>
                    <w:rPr>
                      <w:rFonts w:hint="eastAsia"/>
                      <w:sz w:val="21"/>
                      <w:szCs w:val="21"/>
                      <w:lang w:val="en-US" w:eastAsia="zh-CN"/>
                    </w:rPr>
                    <w:t>核医学科</w:t>
                  </w:r>
                </w:p>
              </w:tc>
              <w:tc>
                <w:tcPr>
                  <w:tcW w:w="1260" w:type="pct"/>
                  <w:vAlign w:val="center"/>
                </w:tcPr>
                <w:p w14:paraId="4D6AA443">
                  <w:pPr>
                    <w:spacing w:line="360" w:lineRule="exact"/>
                    <w:jc w:val="center"/>
                    <w:rPr>
                      <w:rFonts w:hint="eastAsia" w:eastAsia="宋体"/>
                      <w:sz w:val="21"/>
                      <w:szCs w:val="21"/>
                      <w:lang w:eastAsia="zh-CN"/>
                    </w:rPr>
                  </w:pPr>
                  <w:r>
                    <w:rPr>
                      <w:rFonts w:hint="eastAsia"/>
                      <w:sz w:val="21"/>
                      <w:szCs w:val="21"/>
                      <w:lang w:val="en-US" w:eastAsia="zh-CN"/>
                    </w:rPr>
                    <w:t>9</w:t>
                  </w:r>
                </w:p>
              </w:tc>
              <w:tc>
                <w:tcPr>
                  <w:tcW w:w="1708" w:type="pct"/>
                  <w:vAlign w:val="center"/>
                </w:tcPr>
                <w:p w14:paraId="0F2C6A3F">
                  <w:pPr>
                    <w:spacing w:line="360" w:lineRule="exact"/>
                    <w:jc w:val="center"/>
                    <w:rPr>
                      <w:sz w:val="21"/>
                      <w:szCs w:val="21"/>
                    </w:rPr>
                  </w:pPr>
                  <w:r>
                    <w:rPr>
                      <w:sz w:val="21"/>
                      <w:szCs w:val="21"/>
                    </w:rPr>
                    <w:t>4.0</w:t>
                  </w:r>
                </w:p>
              </w:tc>
            </w:tr>
            <w:tr w14:paraId="49D06E8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13" w:type="pct"/>
                  <w:vAlign w:val="center"/>
                </w:tcPr>
                <w:p w14:paraId="64589754">
                  <w:pPr>
                    <w:spacing w:line="360" w:lineRule="exact"/>
                    <w:jc w:val="center"/>
                    <w:rPr>
                      <w:sz w:val="21"/>
                      <w:szCs w:val="21"/>
                    </w:rPr>
                  </w:pPr>
                  <w:r>
                    <w:rPr>
                      <w:sz w:val="21"/>
                      <w:szCs w:val="21"/>
                    </w:rPr>
                    <w:t>四层</w:t>
                  </w:r>
                </w:p>
              </w:tc>
              <w:tc>
                <w:tcPr>
                  <w:tcW w:w="1518" w:type="pct"/>
                  <w:vAlign w:val="center"/>
                </w:tcPr>
                <w:p w14:paraId="35B26F9F">
                  <w:pPr>
                    <w:spacing w:line="360" w:lineRule="exact"/>
                    <w:jc w:val="center"/>
                    <w:rPr>
                      <w:rFonts w:hint="default" w:eastAsia="宋体"/>
                      <w:sz w:val="21"/>
                      <w:szCs w:val="21"/>
                      <w:lang w:val="en-US" w:eastAsia="zh-CN"/>
                    </w:rPr>
                  </w:pPr>
                  <w:r>
                    <w:rPr>
                      <w:rFonts w:hint="eastAsia"/>
                      <w:sz w:val="21"/>
                      <w:szCs w:val="21"/>
                      <w:lang w:val="en-US" w:eastAsia="zh-CN"/>
                    </w:rPr>
                    <w:t>手术部和内镜中心</w:t>
                  </w:r>
                </w:p>
              </w:tc>
              <w:tc>
                <w:tcPr>
                  <w:tcW w:w="1260" w:type="pct"/>
                  <w:vAlign w:val="center"/>
                </w:tcPr>
                <w:p w14:paraId="1970F524">
                  <w:pPr>
                    <w:spacing w:line="360" w:lineRule="exact"/>
                    <w:jc w:val="center"/>
                    <w:rPr>
                      <w:rFonts w:hint="default" w:eastAsia="宋体"/>
                      <w:sz w:val="21"/>
                      <w:szCs w:val="21"/>
                      <w:lang w:val="en-US" w:eastAsia="zh-CN"/>
                    </w:rPr>
                  </w:pPr>
                  <w:r>
                    <w:rPr>
                      <w:rFonts w:hint="eastAsia"/>
                      <w:sz w:val="21"/>
                      <w:szCs w:val="21"/>
                      <w:lang w:val="en-US" w:eastAsia="zh-CN"/>
                    </w:rPr>
                    <w:t>41</w:t>
                  </w:r>
                </w:p>
              </w:tc>
              <w:tc>
                <w:tcPr>
                  <w:tcW w:w="1708" w:type="pct"/>
                  <w:vAlign w:val="center"/>
                </w:tcPr>
                <w:p w14:paraId="1D791968">
                  <w:pPr>
                    <w:spacing w:line="360" w:lineRule="exact"/>
                    <w:jc w:val="center"/>
                    <w:rPr>
                      <w:rFonts w:hint="default" w:eastAsia="宋体"/>
                      <w:sz w:val="21"/>
                      <w:szCs w:val="21"/>
                      <w:lang w:val="en-US" w:eastAsia="zh-CN"/>
                    </w:rPr>
                  </w:pPr>
                  <w:r>
                    <w:rPr>
                      <w:rFonts w:hint="eastAsia"/>
                      <w:sz w:val="21"/>
                      <w:szCs w:val="21"/>
                      <w:lang w:val="en-US" w:eastAsia="zh-CN"/>
                    </w:rPr>
                    <w:t>4.51</w:t>
                  </w:r>
                </w:p>
              </w:tc>
            </w:tr>
          </w:tbl>
          <w:p w14:paraId="5C2C9F95">
            <w:pPr>
              <w:spacing w:line="240" w:lineRule="auto"/>
              <w:jc w:val="left"/>
              <w:rPr>
                <w:rFonts w:eastAsia="黑体"/>
                <w:bCs/>
                <w:sz w:val="21"/>
                <w:szCs w:val="21"/>
              </w:rPr>
            </w:pPr>
          </w:p>
          <w:p w14:paraId="36F30AF8">
            <w:pPr>
              <w:widowControl/>
              <w:spacing w:before="163" w:line="240" w:lineRule="auto"/>
              <w:jc w:val="center"/>
              <w:rPr>
                <w:rFonts w:eastAsia="黑体"/>
                <w:bCs/>
                <w:sz w:val="21"/>
                <w:szCs w:val="21"/>
              </w:rPr>
            </w:pPr>
            <w:r>
              <w:rPr>
                <w:rFonts w:eastAsia="黑体"/>
                <w:bCs/>
                <w:sz w:val="21"/>
                <w:szCs w:val="21"/>
              </w:rPr>
              <w:t>表11-</w:t>
            </w:r>
            <w:r>
              <w:rPr>
                <w:rFonts w:hint="eastAsia" w:eastAsia="黑体"/>
                <w:bCs/>
                <w:sz w:val="21"/>
                <w:szCs w:val="21"/>
                <w:lang w:val="en-US" w:eastAsia="zh-CN"/>
              </w:rPr>
              <w:t>19</w:t>
            </w:r>
            <w:r>
              <w:rPr>
                <w:rFonts w:eastAsia="黑体"/>
                <w:bCs/>
                <w:sz w:val="21"/>
                <w:szCs w:val="21"/>
              </w:rPr>
              <w:t>-2 本项目环境保护目标一览表（公众）</w:t>
            </w:r>
          </w:p>
          <w:tbl>
            <w:tblPr>
              <w:tblStyle w:val="58"/>
              <w:tblW w:w="4950"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737"/>
              <w:gridCol w:w="3780"/>
              <w:gridCol w:w="2840"/>
            </w:tblGrid>
            <w:tr w14:paraId="12A2BE4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3300" w:type="pct"/>
                  <w:gridSpan w:val="2"/>
                  <w:vAlign w:val="center"/>
                </w:tcPr>
                <w:p w14:paraId="24F89EE4">
                  <w:pPr>
                    <w:spacing w:line="360" w:lineRule="exact"/>
                    <w:jc w:val="center"/>
                    <w:rPr>
                      <w:sz w:val="21"/>
                      <w:szCs w:val="21"/>
                    </w:rPr>
                  </w:pPr>
                  <w:r>
                    <w:rPr>
                      <w:sz w:val="21"/>
                      <w:szCs w:val="21"/>
                    </w:rPr>
                    <w:t>保护目标</w:t>
                  </w:r>
                </w:p>
              </w:tc>
              <w:tc>
                <w:tcPr>
                  <w:tcW w:w="1699" w:type="pct"/>
                  <w:vAlign w:val="center"/>
                </w:tcPr>
                <w:p w14:paraId="6A0666CD">
                  <w:pPr>
                    <w:spacing w:line="360" w:lineRule="exact"/>
                    <w:jc w:val="center"/>
                    <w:rPr>
                      <w:sz w:val="21"/>
                      <w:szCs w:val="21"/>
                    </w:rPr>
                  </w:pPr>
                  <w:r>
                    <w:rPr>
                      <w:sz w:val="21"/>
                      <w:szCs w:val="21"/>
                    </w:rPr>
                    <w:t>最大年受照剂量（mSv/a）</w:t>
                  </w:r>
                </w:p>
              </w:tc>
            </w:tr>
            <w:tr w14:paraId="7BA9BA0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7" w:hRule="atLeast"/>
                <w:jc w:val="center"/>
              </w:trPr>
              <w:tc>
                <w:tcPr>
                  <w:tcW w:w="1039" w:type="pct"/>
                  <w:vMerge w:val="restart"/>
                  <w:vAlign w:val="center"/>
                </w:tcPr>
                <w:p w14:paraId="086ABB02">
                  <w:pPr>
                    <w:spacing w:line="360" w:lineRule="exact"/>
                    <w:jc w:val="center"/>
                    <w:rPr>
                      <w:sz w:val="21"/>
                      <w:szCs w:val="21"/>
                    </w:rPr>
                  </w:pPr>
                  <w:r>
                    <w:rPr>
                      <w:rFonts w:hint="eastAsia"/>
                      <w:sz w:val="21"/>
                      <w:szCs w:val="21"/>
                      <w:lang w:eastAsia="zh-CN"/>
                    </w:rPr>
                    <w:t>门诊医技楼</w:t>
                  </w:r>
                  <w:r>
                    <w:rPr>
                      <w:sz w:val="21"/>
                      <w:szCs w:val="21"/>
                    </w:rPr>
                    <w:t>楼内公众</w:t>
                  </w:r>
                </w:p>
              </w:tc>
              <w:tc>
                <w:tcPr>
                  <w:tcW w:w="2261" w:type="pct"/>
                  <w:vAlign w:val="center"/>
                </w:tcPr>
                <w:p w14:paraId="0194EFF5">
                  <w:pPr>
                    <w:spacing w:line="360" w:lineRule="exact"/>
                    <w:jc w:val="center"/>
                    <w:rPr>
                      <w:rFonts w:hint="default" w:eastAsia="宋体"/>
                      <w:sz w:val="21"/>
                      <w:szCs w:val="21"/>
                      <w:lang w:val="en-US" w:eastAsia="zh-CN"/>
                    </w:rPr>
                  </w:pPr>
                  <w:r>
                    <w:rPr>
                      <w:rFonts w:hint="eastAsia"/>
                      <w:sz w:val="21"/>
                      <w:szCs w:val="21"/>
                      <w:lang w:val="en-US" w:eastAsia="zh-CN"/>
                    </w:rPr>
                    <w:t>核医学科</w:t>
                  </w:r>
                  <w:r>
                    <w:rPr>
                      <w:rFonts w:hint="default" w:ascii="Times New Roman" w:hAnsi="Times New Roman" w:eastAsia="宋体" w:cs="Times New Roman"/>
                      <w:i w:val="0"/>
                      <w:iCs w:val="0"/>
                      <w:color w:val="000000"/>
                      <w:kern w:val="0"/>
                      <w:sz w:val="21"/>
                      <w:szCs w:val="21"/>
                      <w:u w:val="none"/>
                      <w:lang w:val="en-US" w:eastAsia="zh-CN" w:bidi="ar"/>
                    </w:rPr>
                    <w:t>楼上一层放射科机房控制室</w:t>
                  </w:r>
                </w:p>
              </w:tc>
              <w:tc>
                <w:tcPr>
                  <w:tcW w:w="1699" w:type="pct"/>
                  <w:vAlign w:val="center"/>
                </w:tcPr>
                <w:p w14:paraId="71CDB51B">
                  <w:pPr>
                    <w:spacing w:line="360" w:lineRule="exact"/>
                    <w:jc w:val="center"/>
                    <w:rPr>
                      <w:sz w:val="21"/>
                      <w:szCs w:val="21"/>
                      <w:lang w:bidi="ar"/>
                    </w:rPr>
                  </w:pPr>
                  <w:r>
                    <w:rPr>
                      <w:spacing w:val="-6"/>
                      <w:sz w:val="21"/>
                      <w:szCs w:val="21"/>
                    </w:rPr>
                    <w:t>7.</w:t>
                  </w:r>
                  <w:r>
                    <w:rPr>
                      <w:rFonts w:hint="eastAsia"/>
                      <w:spacing w:val="-6"/>
                      <w:sz w:val="21"/>
                      <w:szCs w:val="21"/>
                      <w:lang w:val="en-US" w:eastAsia="zh-CN"/>
                    </w:rPr>
                    <w:t>86</w:t>
                  </w:r>
                  <w:r>
                    <w:rPr>
                      <w:spacing w:val="-6"/>
                      <w:sz w:val="21"/>
                      <w:szCs w:val="21"/>
                    </w:rPr>
                    <w:t>×10</w:t>
                  </w:r>
                  <w:r>
                    <w:rPr>
                      <w:spacing w:val="-6"/>
                      <w:sz w:val="21"/>
                      <w:szCs w:val="21"/>
                      <w:vertAlign w:val="superscript"/>
                    </w:rPr>
                    <w:t>-2</w:t>
                  </w:r>
                </w:p>
              </w:tc>
            </w:tr>
            <w:tr w14:paraId="345CE36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9" w:hRule="atLeast"/>
                <w:jc w:val="center"/>
              </w:trPr>
              <w:tc>
                <w:tcPr>
                  <w:tcW w:w="1039" w:type="pct"/>
                  <w:vMerge w:val="continue"/>
                  <w:vAlign w:val="center"/>
                </w:tcPr>
                <w:p w14:paraId="4CB44524">
                  <w:pPr>
                    <w:spacing w:line="360" w:lineRule="exact"/>
                    <w:jc w:val="center"/>
                    <w:rPr>
                      <w:rFonts w:hint="eastAsia"/>
                      <w:sz w:val="21"/>
                      <w:szCs w:val="21"/>
                      <w:lang w:eastAsia="zh-CN"/>
                    </w:rPr>
                  </w:pPr>
                </w:p>
              </w:tc>
              <w:tc>
                <w:tcPr>
                  <w:tcW w:w="2261" w:type="pct"/>
                  <w:vAlign w:val="center"/>
                </w:tcPr>
                <w:p w14:paraId="4F7037CC">
                  <w:pPr>
                    <w:spacing w:line="360" w:lineRule="exact"/>
                    <w:jc w:val="center"/>
                    <w:rPr>
                      <w:sz w:val="21"/>
                      <w:szCs w:val="21"/>
                    </w:rPr>
                  </w:pPr>
                  <w:r>
                    <w:rPr>
                      <w:spacing w:val="-11"/>
                      <w:sz w:val="21"/>
                      <w:szCs w:val="21"/>
                    </w:rPr>
                    <w:t>DSA手术室（</w:t>
                  </w:r>
                  <w:r>
                    <w:rPr>
                      <w:rFonts w:hint="eastAsia"/>
                      <w:spacing w:val="-11"/>
                      <w:sz w:val="21"/>
                      <w:szCs w:val="21"/>
                      <w:lang w:val="en-US" w:eastAsia="zh-CN"/>
                    </w:rPr>
                    <w:t>OR09</w:t>
                  </w:r>
                  <w:r>
                    <w:rPr>
                      <w:spacing w:val="-11"/>
                      <w:sz w:val="21"/>
                      <w:szCs w:val="21"/>
                    </w:rPr>
                    <w:t>）</w:t>
                  </w:r>
                  <w:r>
                    <w:rPr>
                      <w:rFonts w:hint="eastAsia"/>
                      <w:spacing w:val="-11"/>
                      <w:sz w:val="21"/>
                      <w:szCs w:val="21"/>
                      <w:lang w:val="en-US" w:eastAsia="zh-CN"/>
                    </w:rPr>
                    <w:t>楼下三层</w:t>
                  </w:r>
                  <w:r>
                    <w:rPr>
                      <w:rFonts w:hint="eastAsia"/>
                      <w:color w:val="auto"/>
                      <w:spacing w:val="-11"/>
                      <w:kern w:val="0"/>
                      <w:sz w:val="21"/>
                      <w:szCs w:val="21"/>
                      <w:highlight w:val="none"/>
                    </w:rPr>
                    <w:t>超声功能检查区介入治疗室</w:t>
                  </w:r>
                </w:p>
              </w:tc>
              <w:tc>
                <w:tcPr>
                  <w:tcW w:w="1699" w:type="pct"/>
                  <w:vAlign w:val="center"/>
                </w:tcPr>
                <w:p w14:paraId="4A34A360">
                  <w:pPr>
                    <w:spacing w:line="360" w:lineRule="exact"/>
                    <w:jc w:val="center"/>
                    <w:rPr>
                      <w:rFonts w:hint="eastAsia" w:eastAsia="宋体"/>
                      <w:sz w:val="21"/>
                      <w:szCs w:val="21"/>
                      <w:lang w:eastAsia="zh-CN" w:bidi="ar"/>
                    </w:rPr>
                  </w:pPr>
                  <w:r>
                    <w:rPr>
                      <w:rFonts w:hint="default" w:ascii="Times New Roman" w:hAnsi="Times New Roman" w:eastAsia="宋体" w:cs="Times New Roman"/>
                      <w:i w:val="0"/>
                      <w:iCs w:val="0"/>
                      <w:color w:val="000000"/>
                      <w:kern w:val="0"/>
                      <w:sz w:val="21"/>
                      <w:szCs w:val="21"/>
                      <w:u w:val="none"/>
                      <w:lang w:val="en-US" w:eastAsia="zh-CN" w:bidi="ar"/>
                    </w:rPr>
                    <w:t>2.47</w:t>
                  </w:r>
                  <w:r>
                    <w:rPr>
                      <w:spacing w:val="-6"/>
                      <w:sz w:val="21"/>
                      <w:szCs w:val="21"/>
                    </w:rPr>
                    <w:t>×10</w:t>
                  </w:r>
                  <w:r>
                    <w:rPr>
                      <w:spacing w:val="-6"/>
                      <w:sz w:val="21"/>
                      <w:szCs w:val="21"/>
                      <w:vertAlign w:val="superscript"/>
                    </w:rPr>
                    <w:t>-</w:t>
                  </w:r>
                  <w:r>
                    <w:rPr>
                      <w:rFonts w:hint="eastAsia"/>
                      <w:spacing w:val="-6"/>
                      <w:sz w:val="21"/>
                      <w:szCs w:val="21"/>
                      <w:vertAlign w:val="superscript"/>
                      <w:lang w:val="en-US" w:eastAsia="zh-CN"/>
                    </w:rPr>
                    <w:t>3</w:t>
                  </w:r>
                </w:p>
              </w:tc>
            </w:tr>
          </w:tbl>
          <w:p w14:paraId="4BF19D2F">
            <w:pPr>
              <w:ind w:firstLine="480" w:firstLineChars="200"/>
            </w:pPr>
            <w:r>
              <w:rPr>
                <w:lang w:bidi="ar"/>
              </w:rPr>
              <w:t>根据表11-</w:t>
            </w:r>
            <w:r>
              <w:rPr>
                <w:rFonts w:hint="eastAsia"/>
                <w:lang w:val="en-US" w:eastAsia="zh-CN" w:bidi="ar"/>
              </w:rPr>
              <w:t>19</w:t>
            </w:r>
            <w:r>
              <w:rPr>
                <w:lang w:bidi="ar"/>
              </w:rPr>
              <w:t>，本项目</w:t>
            </w:r>
            <w:r>
              <w:rPr>
                <w:rFonts w:hint="eastAsia"/>
                <w:lang w:eastAsia="zh-CN" w:bidi="ar"/>
              </w:rPr>
              <w:t>门诊医技楼</w:t>
            </w:r>
            <w:r>
              <w:rPr>
                <w:lang w:bidi="ar"/>
              </w:rPr>
              <w:t>职业人员</w:t>
            </w:r>
            <w:r>
              <w:t>年受照有效剂量最大为4.</w:t>
            </w:r>
            <w:r>
              <w:rPr>
                <w:rFonts w:hint="eastAsia"/>
                <w:lang w:val="en-US" w:eastAsia="zh-CN"/>
              </w:rPr>
              <w:t>5</w:t>
            </w:r>
            <w:r>
              <w:t>1mSv/a，满足职业人员5mSv/a约束值要求；</w:t>
            </w:r>
            <w:r>
              <w:rPr>
                <w:rFonts w:hint="eastAsia"/>
                <w:lang w:eastAsia="zh-CN" w:bidi="ar"/>
              </w:rPr>
              <w:t>门诊医技楼</w:t>
            </w:r>
            <w:r>
              <w:t>周围公众年受照有效剂量</w:t>
            </w:r>
            <w:r>
              <w:rPr>
                <w:spacing w:val="-6"/>
              </w:rPr>
              <w:t>最大为7.</w:t>
            </w:r>
            <w:r>
              <w:rPr>
                <w:rFonts w:hint="eastAsia"/>
                <w:spacing w:val="-6"/>
                <w:lang w:val="en-US" w:eastAsia="zh-CN"/>
              </w:rPr>
              <w:t>86</w:t>
            </w:r>
            <w:r>
              <w:rPr>
                <w:spacing w:val="-6"/>
              </w:rPr>
              <w:t>×10</w:t>
            </w:r>
            <w:r>
              <w:rPr>
                <w:spacing w:val="-6"/>
                <w:vertAlign w:val="superscript"/>
              </w:rPr>
              <w:t>-2</w:t>
            </w:r>
            <w:r>
              <w:rPr>
                <w:spacing w:val="-6"/>
              </w:rPr>
              <w:t>mSv/a，满足公众0.1mSv/a</w:t>
            </w:r>
            <w:r>
              <w:t>的剂量约束值要求。</w:t>
            </w:r>
          </w:p>
          <w:p w14:paraId="0F27EBAB">
            <w:pPr>
              <w:pStyle w:val="55"/>
              <w:spacing w:after="0"/>
              <w:ind w:firstLine="480" w:firstLineChars="200"/>
            </w:pPr>
            <w:r>
              <w:t>实际运行中，</w:t>
            </w:r>
            <w:r>
              <w:rPr>
                <w:bCs/>
              </w:rPr>
              <w:t>医院应严格落实辐射安全防护的各项规章制度，</w:t>
            </w:r>
            <w:r>
              <w:t>应结合实际工作负荷和职业人员个人剂量检测结果等因素，合理分摊职业人员的工作量，确保职业人员个人剂量满足1.25mSv/季度和5mSv/a的剂量约束值要求。</w:t>
            </w:r>
          </w:p>
          <w:p w14:paraId="0988BF90">
            <w:pPr>
              <w:rPr>
                <w:rFonts w:eastAsia="黑体"/>
              </w:rPr>
            </w:pPr>
            <w:r>
              <w:rPr>
                <w:rFonts w:eastAsia="黑体"/>
              </w:rPr>
              <w:t>四、大气环境影响分析</w:t>
            </w:r>
          </w:p>
          <w:p w14:paraId="5E29B2E1">
            <w:pPr>
              <w:ind w:firstLine="482" w:firstLineChars="200"/>
              <w:rPr>
                <w:b/>
                <w:bCs/>
                <w:lang w:bidi="ar"/>
              </w:rPr>
            </w:pPr>
            <w:r>
              <w:rPr>
                <w:b/>
                <w:bCs/>
                <w:lang w:bidi="ar"/>
              </w:rPr>
              <w:t>1、放射性废气</w:t>
            </w:r>
          </w:p>
          <w:p w14:paraId="00C04B17">
            <w:pPr>
              <w:ind w:firstLine="480" w:firstLineChars="200"/>
            </w:pPr>
            <w:r>
              <w:rPr>
                <w:bCs/>
                <w:lang w:bidi="ar"/>
              </w:rPr>
              <w:t>根据表9项目工程</w:t>
            </w:r>
            <w:r>
              <w:rPr>
                <w:rFonts w:hint="eastAsia"/>
                <w:bCs/>
                <w:lang w:bidi="ar"/>
              </w:rPr>
              <w:t>分析</w:t>
            </w:r>
            <w:r>
              <w:rPr>
                <w:bCs/>
                <w:lang w:bidi="ar"/>
              </w:rPr>
              <w:t>与源项，</w:t>
            </w:r>
            <w:r>
              <w:rPr>
                <w:lang w:bidi="ar"/>
              </w:rPr>
              <w:t>本项目放射性废气主要考虑碘-131</w:t>
            </w:r>
            <w:r>
              <w:rPr>
                <w:rFonts w:hint="eastAsia"/>
                <w:bCs/>
              </w:rPr>
              <w:t>，</w:t>
            </w:r>
            <w:r>
              <w:rPr>
                <w:lang w:bidi="ar"/>
              </w:rPr>
              <w:t>碘-131日最大排放量为3.70×10</w:t>
            </w:r>
            <w:r>
              <w:rPr>
                <w:vertAlign w:val="superscript"/>
                <w:lang w:bidi="ar"/>
              </w:rPr>
              <w:t>6</w:t>
            </w:r>
            <w:r>
              <w:rPr>
                <w:lang w:bidi="ar"/>
              </w:rPr>
              <w:t>Bq</w:t>
            </w:r>
            <w:r>
              <w:rPr>
                <w:bCs/>
              </w:rPr>
              <w:t>。</w:t>
            </w:r>
          </w:p>
          <w:p w14:paraId="6C0D73AA">
            <w:pPr>
              <w:ind w:firstLine="480" w:firstLineChars="200"/>
              <w:rPr>
                <w:lang w:bidi="ar"/>
              </w:rPr>
            </w:pPr>
            <w:r>
              <w:rPr>
                <w:lang w:bidi="ar"/>
              </w:rPr>
              <w:t>碘-131</w:t>
            </w:r>
            <w:r>
              <w:rPr>
                <w:bCs/>
                <w:lang w:bidi="ar"/>
              </w:rPr>
              <w:t>放射性废气排放时，</w:t>
            </w:r>
            <w:r>
              <w:rPr>
                <w:lang w:bidi="ar"/>
              </w:rPr>
              <w:t>采用</w:t>
            </w:r>
            <w:r>
              <w:t>初中效过滤器+高效过滤器（除碘）</w:t>
            </w:r>
            <w:r>
              <w:rPr>
                <w:lang w:bidi="ar"/>
              </w:rPr>
              <w:t>+独立排风管道的处理措施，过滤效率大于99%</w:t>
            </w:r>
            <w:r>
              <w:rPr>
                <w:bCs/>
                <w:lang w:bidi="ar"/>
              </w:rPr>
              <w:t>。因此经过滤后，</w:t>
            </w:r>
            <w:r>
              <w:rPr>
                <w:lang w:bidi="ar"/>
              </w:rPr>
              <w:t>碘-1</w:t>
            </w:r>
            <w:r>
              <w:rPr>
                <w:rFonts w:hint="eastAsia"/>
                <w:lang w:val="en-US" w:eastAsia="zh-CN" w:bidi="ar"/>
              </w:rPr>
              <w:t>31</w:t>
            </w:r>
            <w:r>
              <w:rPr>
                <w:lang w:bidi="ar"/>
              </w:rPr>
              <w:t>日最大排放量为3.70×10</w:t>
            </w:r>
            <w:r>
              <w:rPr>
                <w:vertAlign w:val="superscript"/>
                <w:lang w:bidi="ar"/>
              </w:rPr>
              <w:t>4</w:t>
            </w:r>
            <w:r>
              <w:rPr>
                <w:lang w:bidi="ar"/>
              </w:rPr>
              <w:t>Bq，不考虑净化效率。楼顶排气口核素排放浓度见下表。</w:t>
            </w:r>
          </w:p>
          <w:p w14:paraId="5B1B3772">
            <w:pPr>
              <w:widowControl/>
              <w:spacing w:before="120" w:beforeLines="50" w:line="240" w:lineRule="auto"/>
              <w:jc w:val="center"/>
              <w:rPr>
                <w:rFonts w:eastAsia="黑体"/>
                <w:bCs/>
                <w:sz w:val="21"/>
                <w:szCs w:val="21"/>
                <w:lang w:bidi="ar"/>
              </w:rPr>
            </w:pPr>
            <w:r>
              <w:rPr>
                <w:rFonts w:eastAsia="黑体"/>
                <w:bCs/>
                <w:sz w:val="21"/>
                <w:szCs w:val="21"/>
                <w:lang w:bidi="ar"/>
              </w:rPr>
              <w:t>表11-</w:t>
            </w:r>
            <w:r>
              <w:rPr>
                <w:rFonts w:hint="eastAsia" w:eastAsia="黑体"/>
                <w:bCs/>
                <w:sz w:val="21"/>
                <w:szCs w:val="21"/>
                <w:lang w:val="en-US" w:eastAsia="zh-CN" w:bidi="ar"/>
              </w:rPr>
              <w:t>20</w:t>
            </w:r>
            <w:r>
              <w:rPr>
                <w:rFonts w:eastAsia="黑体"/>
                <w:bCs/>
                <w:sz w:val="21"/>
                <w:szCs w:val="21"/>
                <w:lang w:bidi="ar"/>
              </w:rPr>
              <w:t xml:space="preserve">  核素排放浓度计算表</w:t>
            </w:r>
          </w:p>
          <w:tbl>
            <w:tblPr>
              <w:tblStyle w:val="57"/>
              <w:tblW w:w="849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2280"/>
              <w:gridCol w:w="1620"/>
              <w:gridCol w:w="1710"/>
              <w:gridCol w:w="2171"/>
            </w:tblGrid>
            <w:tr w14:paraId="6AED3A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16" w:type="dxa"/>
                  <w:vAlign w:val="center"/>
                </w:tcPr>
                <w:p w14:paraId="3E2AEB01">
                  <w:pPr>
                    <w:spacing w:line="360" w:lineRule="exact"/>
                    <w:contextualSpacing/>
                    <w:jc w:val="center"/>
                    <w:rPr>
                      <w:sz w:val="21"/>
                      <w:szCs w:val="21"/>
                    </w:rPr>
                  </w:pPr>
                  <w:r>
                    <w:rPr>
                      <w:sz w:val="21"/>
                      <w:szCs w:val="21"/>
                      <w:lang w:bidi="ar"/>
                    </w:rPr>
                    <w:t>核素</w:t>
                  </w:r>
                </w:p>
              </w:tc>
              <w:tc>
                <w:tcPr>
                  <w:tcW w:w="2280" w:type="dxa"/>
                  <w:vAlign w:val="center"/>
                </w:tcPr>
                <w:p w14:paraId="0F864FFF">
                  <w:pPr>
                    <w:spacing w:line="360" w:lineRule="exact"/>
                    <w:contextualSpacing/>
                    <w:jc w:val="center"/>
                    <w:rPr>
                      <w:rFonts w:hint="eastAsia" w:eastAsia="宋体"/>
                      <w:sz w:val="21"/>
                      <w:szCs w:val="21"/>
                      <w:lang w:val="en-US" w:eastAsia="zh-CN"/>
                    </w:rPr>
                  </w:pPr>
                  <w:r>
                    <w:rPr>
                      <w:sz w:val="21"/>
                      <w:szCs w:val="21"/>
                      <w:lang w:bidi="ar"/>
                    </w:rPr>
                    <w:t>日最大排放量</w:t>
                  </w:r>
                  <w:r>
                    <w:rPr>
                      <w:rFonts w:hint="eastAsia"/>
                      <w:sz w:val="21"/>
                      <w:szCs w:val="21"/>
                      <w:lang w:val="en-US" w:eastAsia="zh-CN" w:bidi="ar"/>
                    </w:rPr>
                    <w:t>(</w:t>
                  </w:r>
                  <w:r>
                    <w:rPr>
                      <w:sz w:val="21"/>
                      <w:szCs w:val="21"/>
                      <w:lang w:bidi="ar"/>
                    </w:rPr>
                    <w:t>Bq</w:t>
                  </w:r>
                  <w:r>
                    <w:rPr>
                      <w:rFonts w:hint="eastAsia"/>
                      <w:sz w:val="21"/>
                      <w:szCs w:val="21"/>
                      <w:lang w:val="en-US" w:eastAsia="zh-CN" w:bidi="ar"/>
                    </w:rPr>
                    <w:t>)</w:t>
                  </w:r>
                </w:p>
              </w:tc>
              <w:tc>
                <w:tcPr>
                  <w:tcW w:w="1620" w:type="dxa"/>
                  <w:vAlign w:val="center"/>
                </w:tcPr>
                <w:p w14:paraId="5494B8E5">
                  <w:pPr>
                    <w:widowControl/>
                    <w:spacing w:line="360" w:lineRule="exact"/>
                    <w:contextualSpacing/>
                    <w:jc w:val="center"/>
                    <w:rPr>
                      <w:sz w:val="21"/>
                      <w:szCs w:val="21"/>
                      <w:lang w:bidi="ar"/>
                    </w:rPr>
                  </w:pPr>
                  <w:r>
                    <w:rPr>
                      <w:spacing w:val="-6"/>
                      <w:sz w:val="21"/>
                      <w:szCs w:val="21"/>
                    </w:rPr>
                    <w:t>排风量(m</w:t>
                  </w:r>
                  <w:r>
                    <w:rPr>
                      <w:spacing w:val="-6"/>
                      <w:sz w:val="21"/>
                      <w:szCs w:val="21"/>
                      <w:vertAlign w:val="superscript"/>
                    </w:rPr>
                    <w:t>3</w:t>
                  </w:r>
                  <w:r>
                    <w:rPr>
                      <w:spacing w:val="-6"/>
                      <w:sz w:val="21"/>
                      <w:szCs w:val="21"/>
                    </w:rPr>
                    <w:t>/h)</w:t>
                  </w:r>
                </w:p>
              </w:tc>
              <w:tc>
                <w:tcPr>
                  <w:tcW w:w="1710" w:type="dxa"/>
                  <w:vAlign w:val="center"/>
                </w:tcPr>
                <w:p w14:paraId="68861E74">
                  <w:pPr>
                    <w:spacing w:line="360" w:lineRule="exact"/>
                    <w:contextualSpacing/>
                    <w:jc w:val="center"/>
                    <w:rPr>
                      <w:rFonts w:hint="eastAsia" w:eastAsia="宋体"/>
                      <w:sz w:val="21"/>
                      <w:szCs w:val="21"/>
                      <w:lang w:val="en-US" w:eastAsia="zh-CN"/>
                    </w:rPr>
                  </w:pPr>
                  <w:r>
                    <w:rPr>
                      <w:sz w:val="21"/>
                      <w:szCs w:val="21"/>
                    </w:rPr>
                    <w:t>日排放时间</w:t>
                  </w:r>
                  <w:r>
                    <w:rPr>
                      <w:rFonts w:hint="eastAsia"/>
                      <w:sz w:val="21"/>
                      <w:szCs w:val="21"/>
                      <w:lang w:val="en-US" w:eastAsia="zh-CN"/>
                    </w:rPr>
                    <w:t>(</w:t>
                  </w:r>
                  <w:r>
                    <w:rPr>
                      <w:sz w:val="21"/>
                      <w:szCs w:val="21"/>
                    </w:rPr>
                    <w:t>h</w:t>
                  </w:r>
                  <w:r>
                    <w:rPr>
                      <w:rFonts w:hint="eastAsia"/>
                      <w:sz w:val="21"/>
                      <w:szCs w:val="21"/>
                      <w:lang w:val="en-US" w:eastAsia="zh-CN"/>
                    </w:rPr>
                    <w:t>)</w:t>
                  </w:r>
                </w:p>
              </w:tc>
              <w:tc>
                <w:tcPr>
                  <w:tcW w:w="2171" w:type="dxa"/>
                  <w:vAlign w:val="center"/>
                </w:tcPr>
                <w:p w14:paraId="7C4B2C3E">
                  <w:pPr>
                    <w:spacing w:line="360" w:lineRule="exact"/>
                    <w:contextualSpacing/>
                    <w:jc w:val="center"/>
                    <w:rPr>
                      <w:rFonts w:hint="eastAsia" w:eastAsia="宋体"/>
                      <w:sz w:val="21"/>
                      <w:szCs w:val="21"/>
                      <w:lang w:val="en-US" w:eastAsia="zh-CN"/>
                    </w:rPr>
                  </w:pPr>
                  <w:r>
                    <w:rPr>
                      <w:sz w:val="21"/>
                      <w:szCs w:val="21"/>
                    </w:rPr>
                    <w:t>核素排放浓度</w:t>
                  </w:r>
                  <w:r>
                    <w:rPr>
                      <w:rFonts w:hint="eastAsia"/>
                      <w:sz w:val="21"/>
                      <w:szCs w:val="21"/>
                      <w:lang w:val="en-US" w:eastAsia="zh-CN"/>
                    </w:rPr>
                    <w:t>(</w:t>
                  </w:r>
                  <w:r>
                    <w:rPr>
                      <w:sz w:val="21"/>
                      <w:szCs w:val="21"/>
                      <w:lang w:bidi="ar"/>
                    </w:rPr>
                    <w:t>Bq/</w:t>
                  </w:r>
                  <w:r>
                    <w:rPr>
                      <w:spacing w:val="-6"/>
                      <w:sz w:val="21"/>
                      <w:szCs w:val="21"/>
                    </w:rPr>
                    <w:t>m</w:t>
                  </w:r>
                  <w:r>
                    <w:rPr>
                      <w:spacing w:val="-6"/>
                      <w:sz w:val="21"/>
                      <w:szCs w:val="21"/>
                      <w:vertAlign w:val="superscript"/>
                    </w:rPr>
                    <w:t>3</w:t>
                  </w:r>
                  <w:r>
                    <w:rPr>
                      <w:rFonts w:hint="eastAsia"/>
                      <w:spacing w:val="-6"/>
                      <w:sz w:val="21"/>
                      <w:szCs w:val="21"/>
                      <w:vertAlign w:val="baseline"/>
                      <w:lang w:val="en-US" w:eastAsia="zh-CN"/>
                    </w:rPr>
                    <w:t>)</w:t>
                  </w:r>
                </w:p>
              </w:tc>
            </w:tr>
            <w:tr w14:paraId="430DE4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16" w:type="dxa"/>
                  <w:vAlign w:val="center"/>
                </w:tcPr>
                <w:p w14:paraId="29DC350C">
                  <w:pPr>
                    <w:spacing w:line="360" w:lineRule="exact"/>
                    <w:contextualSpacing/>
                    <w:jc w:val="center"/>
                    <w:rPr>
                      <w:sz w:val="21"/>
                      <w:szCs w:val="21"/>
                    </w:rPr>
                  </w:pPr>
                  <w:r>
                    <w:rPr>
                      <w:sz w:val="21"/>
                      <w:szCs w:val="21"/>
                      <w:vertAlign w:val="superscript"/>
                      <w:lang w:bidi="ar"/>
                    </w:rPr>
                    <w:t>1</w:t>
                  </w:r>
                  <w:r>
                    <w:rPr>
                      <w:rFonts w:hint="eastAsia"/>
                      <w:sz w:val="21"/>
                      <w:szCs w:val="21"/>
                      <w:vertAlign w:val="superscript"/>
                      <w:lang w:val="en-US" w:eastAsia="zh-CN" w:bidi="ar"/>
                    </w:rPr>
                    <w:t>31</w:t>
                  </w:r>
                  <w:r>
                    <w:rPr>
                      <w:sz w:val="21"/>
                      <w:szCs w:val="21"/>
                      <w:lang w:bidi="ar"/>
                    </w:rPr>
                    <w:t>I</w:t>
                  </w:r>
                </w:p>
              </w:tc>
              <w:tc>
                <w:tcPr>
                  <w:tcW w:w="2280" w:type="dxa"/>
                  <w:vAlign w:val="center"/>
                </w:tcPr>
                <w:p w14:paraId="7FEBC939">
                  <w:pPr>
                    <w:spacing w:line="360" w:lineRule="exact"/>
                    <w:contextualSpacing/>
                    <w:jc w:val="center"/>
                    <w:rPr>
                      <w:sz w:val="21"/>
                      <w:szCs w:val="21"/>
                    </w:rPr>
                  </w:pPr>
                  <w:r>
                    <w:rPr>
                      <w:sz w:val="21"/>
                      <w:szCs w:val="21"/>
                      <w:lang w:bidi="ar"/>
                    </w:rPr>
                    <w:t>3.70E+04</w:t>
                  </w:r>
                </w:p>
              </w:tc>
              <w:tc>
                <w:tcPr>
                  <w:tcW w:w="1620" w:type="dxa"/>
                  <w:vAlign w:val="center"/>
                </w:tcPr>
                <w:p w14:paraId="139394EF">
                  <w:pPr>
                    <w:spacing w:line="360" w:lineRule="exact"/>
                    <w:contextualSpacing/>
                    <w:jc w:val="center"/>
                    <w:rPr>
                      <w:rFonts w:hint="default"/>
                      <w:sz w:val="21"/>
                      <w:szCs w:val="21"/>
                      <w:lang w:val="en-US" w:bidi="ar"/>
                    </w:rPr>
                  </w:pPr>
                  <w:r>
                    <w:rPr>
                      <w:rFonts w:hint="eastAsia"/>
                      <w:sz w:val="21"/>
                      <w:szCs w:val="21"/>
                      <w:highlight w:val="none"/>
                      <w:lang w:val="en-US" w:eastAsia="zh-CN" w:bidi="ar"/>
                    </w:rPr>
                    <w:t>2400</w:t>
                  </w:r>
                </w:p>
              </w:tc>
              <w:tc>
                <w:tcPr>
                  <w:tcW w:w="1710" w:type="dxa"/>
                  <w:vAlign w:val="center"/>
                </w:tcPr>
                <w:p w14:paraId="1FC546CE">
                  <w:pPr>
                    <w:spacing w:line="360" w:lineRule="exact"/>
                    <w:contextualSpacing/>
                    <w:jc w:val="center"/>
                    <w:rPr>
                      <w:rFonts w:hint="eastAsia" w:eastAsia="宋体"/>
                      <w:sz w:val="21"/>
                      <w:szCs w:val="21"/>
                      <w:lang w:eastAsia="zh-CN"/>
                    </w:rPr>
                  </w:pPr>
                  <w:r>
                    <w:rPr>
                      <w:rFonts w:hint="eastAsia"/>
                      <w:sz w:val="21"/>
                      <w:szCs w:val="21"/>
                      <w:lang w:val="en-US" w:eastAsia="zh-CN" w:bidi="ar"/>
                    </w:rPr>
                    <w:t>8</w:t>
                  </w:r>
                </w:p>
              </w:tc>
              <w:tc>
                <w:tcPr>
                  <w:tcW w:w="2171" w:type="dxa"/>
                  <w:vAlign w:val="center"/>
                </w:tcPr>
                <w:p w14:paraId="6E3A063B">
                  <w:pPr>
                    <w:widowControl/>
                    <w:spacing w:line="360" w:lineRule="exact"/>
                    <w:contextualSpacing/>
                    <w:jc w:val="center"/>
                    <w:textAlignment w:val="center"/>
                    <w:rPr>
                      <w:rFonts w:hint="eastAsia" w:eastAsia="宋体"/>
                      <w:sz w:val="21"/>
                      <w:szCs w:val="21"/>
                      <w:lang w:eastAsia="zh-CN" w:bidi="ar"/>
                    </w:rPr>
                  </w:pPr>
                  <w:r>
                    <w:rPr>
                      <w:sz w:val="21"/>
                      <w:szCs w:val="21"/>
                      <w:lang w:bidi="ar"/>
                    </w:rPr>
                    <w:t>1.</w:t>
                  </w:r>
                  <w:r>
                    <w:rPr>
                      <w:rFonts w:hint="eastAsia"/>
                      <w:sz w:val="21"/>
                      <w:szCs w:val="21"/>
                      <w:lang w:val="en-US" w:eastAsia="zh-CN" w:bidi="ar"/>
                    </w:rPr>
                    <w:t>93</w:t>
                  </w:r>
                  <w:r>
                    <w:rPr>
                      <w:sz w:val="21"/>
                      <w:szCs w:val="21"/>
                      <w:lang w:bidi="ar"/>
                    </w:rPr>
                    <w:t>E+0</w:t>
                  </w:r>
                  <w:r>
                    <w:rPr>
                      <w:rFonts w:hint="eastAsia"/>
                      <w:sz w:val="21"/>
                      <w:szCs w:val="21"/>
                      <w:lang w:val="en-US" w:eastAsia="zh-CN" w:bidi="ar"/>
                    </w:rPr>
                    <w:t>0</w:t>
                  </w:r>
                </w:p>
              </w:tc>
            </w:tr>
          </w:tbl>
          <w:p w14:paraId="62228948">
            <w:pPr>
              <w:ind w:firstLine="504"/>
              <w:rPr>
                <w:spacing w:val="6"/>
                <w:lang w:val="pl"/>
              </w:rPr>
            </w:pPr>
            <w:r>
              <w:rPr>
                <w:spacing w:val="6"/>
                <w:lang w:val="pl" w:bidi="ar"/>
              </w:rPr>
              <w:t>根据《Federal Guidance Report No. 15: External Exposure to Radionuclides in Air, Water and Soil》，</w:t>
            </w:r>
            <w:r>
              <w:rPr>
                <w:lang w:bidi="ar"/>
              </w:rPr>
              <w:t>碘-131</w:t>
            </w:r>
            <w:r>
              <w:rPr>
                <w:spacing w:val="6"/>
                <w:lang w:val="pl" w:bidi="ar"/>
              </w:rPr>
              <w:t>的关键照射</w:t>
            </w:r>
            <w:r>
              <w:rPr>
                <w:spacing w:val="6"/>
                <w:lang w:bidi="ar"/>
              </w:rPr>
              <w:t>途径</w:t>
            </w:r>
            <w:r>
              <w:rPr>
                <w:spacing w:val="6"/>
                <w:lang w:val="pl" w:bidi="ar"/>
              </w:rPr>
              <w:t>包括：吸入内照射和浸没外照射，各</w:t>
            </w:r>
            <w:r>
              <w:rPr>
                <w:spacing w:val="6"/>
                <w:lang w:bidi="ar"/>
              </w:rPr>
              <w:t>途径</w:t>
            </w:r>
            <w:r>
              <w:rPr>
                <w:spacing w:val="6"/>
                <w:lang w:val="pl" w:bidi="ar"/>
              </w:rPr>
              <w:t>待积有效剂量由下式计算。</w:t>
            </w:r>
          </w:p>
          <w:p w14:paraId="61F986E4">
            <w:pPr>
              <w:ind w:firstLine="482"/>
              <w:rPr>
                <w:b/>
                <w:bCs/>
                <w:sz w:val="24"/>
                <w:szCs w:val="24"/>
                <w:lang w:val="pl" w:bidi="ar"/>
              </w:rPr>
            </w:pPr>
            <w:r>
              <w:rPr>
                <w:b/>
                <w:bCs/>
                <w:sz w:val="24"/>
                <w:szCs w:val="24"/>
                <w:lang w:val="pl" w:bidi="ar"/>
              </w:rPr>
              <w:t>（1）吸入内照射</w:t>
            </w:r>
            <w:r>
              <w:rPr>
                <w:b/>
                <w:bCs/>
                <w:sz w:val="24"/>
                <w:szCs w:val="24"/>
                <w:lang w:bidi="ar"/>
              </w:rPr>
              <w:t>待积有效剂量计算</w:t>
            </w:r>
          </w:p>
          <w:p w14:paraId="3CB8BCB5">
            <w:pPr>
              <w:ind w:firstLine="480"/>
              <w:jc w:val="right"/>
              <w:rPr>
                <w:rFonts w:hint="eastAsia" w:eastAsia="宋体"/>
                <w:bCs/>
                <w:sz w:val="24"/>
                <w:szCs w:val="24"/>
                <w:lang w:eastAsia="zh-CN"/>
              </w:rPr>
            </w:pPr>
            <w:r>
              <w:rPr>
                <w:bCs/>
                <w:i/>
                <w:sz w:val="24"/>
                <w:szCs w:val="24"/>
                <w:lang w:bidi="ar"/>
              </w:rPr>
              <w:t>H</w:t>
            </w:r>
            <w:r>
              <w:rPr>
                <w:bCs/>
                <w:i/>
                <w:sz w:val="24"/>
                <w:szCs w:val="24"/>
                <w:vertAlign w:val="subscript"/>
                <w:lang w:bidi="ar"/>
              </w:rPr>
              <w:t>h·i</w:t>
            </w:r>
            <w:r>
              <w:rPr>
                <w:bCs/>
                <w:sz w:val="24"/>
                <w:szCs w:val="24"/>
                <w:lang w:bidi="ar"/>
              </w:rPr>
              <w:t>=</w:t>
            </w:r>
            <w:r>
              <w:rPr>
                <w:bCs/>
                <w:i/>
                <w:sz w:val="24"/>
                <w:szCs w:val="24"/>
                <w:lang w:bidi="ar"/>
              </w:rPr>
              <w:t>T</w:t>
            </w:r>
            <w:r>
              <w:rPr>
                <w:bCs/>
                <w:sz w:val="24"/>
                <w:szCs w:val="24"/>
                <w:lang w:bidi="ar"/>
              </w:rPr>
              <w:t>·</w:t>
            </w:r>
            <w:r>
              <w:rPr>
                <w:bCs/>
                <w:i/>
                <w:sz w:val="24"/>
                <w:szCs w:val="24"/>
                <w:lang w:bidi="ar"/>
              </w:rPr>
              <w:t>C</w:t>
            </w:r>
            <w:r>
              <w:rPr>
                <w:bCs/>
                <w:i/>
                <w:sz w:val="24"/>
                <w:szCs w:val="24"/>
                <w:vertAlign w:val="subscript"/>
                <w:lang w:bidi="ar"/>
              </w:rPr>
              <w:t>a·i</w:t>
            </w:r>
            <w:r>
              <w:rPr>
                <w:bCs/>
                <w:sz w:val="24"/>
                <w:szCs w:val="24"/>
                <w:lang w:bidi="ar"/>
              </w:rPr>
              <w:t>·</w:t>
            </w:r>
            <w:r>
              <w:rPr>
                <w:bCs/>
                <w:i/>
                <w:sz w:val="24"/>
                <w:szCs w:val="24"/>
                <w:lang w:bidi="ar"/>
              </w:rPr>
              <w:t>u</w:t>
            </w:r>
            <w:r>
              <w:rPr>
                <w:bCs/>
                <w:sz w:val="24"/>
                <w:szCs w:val="24"/>
                <w:lang w:bidi="ar"/>
              </w:rPr>
              <w:t>·</w:t>
            </w:r>
            <w:r>
              <w:rPr>
                <w:bCs/>
                <w:i/>
                <w:sz w:val="24"/>
                <w:szCs w:val="24"/>
                <w:lang w:bidi="ar"/>
              </w:rPr>
              <w:t>f</w:t>
            </w:r>
            <w:r>
              <w:rPr>
                <w:bCs/>
                <w:sz w:val="24"/>
                <w:szCs w:val="24"/>
                <w:lang w:bidi="ar"/>
              </w:rPr>
              <w:t>·</w:t>
            </w:r>
            <w:r>
              <w:rPr>
                <w:bCs/>
                <w:i/>
                <w:sz w:val="24"/>
                <w:szCs w:val="24"/>
                <w:lang w:bidi="ar"/>
              </w:rPr>
              <w:t>g</w:t>
            </w:r>
            <w:r>
              <w:rPr>
                <w:bCs/>
                <w:i/>
                <w:sz w:val="24"/>
                <w:szCs w:val="24"/>
                <w:vertAlign w:val="subscript"/>
                <w:lang w:bidi="ar"/>
              </w:rPr>
              <w:t>h</w:t>
            </w:r>
            <w:r>
              <w:rPr>
                <w:bCs/>
                <w:sz w:val="24"/>
                <w:szCs w:val="24"/>
                <w:vertAlign w:val="subscript"/>
                <w:lang w:bidi="ar"/>
              </w:rPr>
              <w:t>·</w:t>
            </w:r>
            <w:r>
              <w:rPr>
                <w:bCs/>
                <w:i/>
                <w:sz w:val="24"/>
                <w:szCs w:val="24"/>
                <w:vertAlign w:val="subscript"/>
                <w:lang w:bidi="ar"/>
              </w:rPr>
              <w:t>I</w:t>
            </w:r>
            <w:r>
              <w:rPr>
                <w:sz w:val="24"/>
                <w:szCs w:val="24"/>
                <w:lang w:bidi="ar"/>
              </w:rPr>
              <w:t>…………….....…………式11-1</w:t>
            </w:r>
            <w:r>
              <w:rPr>
                <w:rFonts w:hint="eastAsia"/>
                <w:sz w:val="24"/>
                <w:szCs w:val="24"/>
                <w:lang w:val="en-US" w:eastAsia="zh-CN" w:bidi="ar"/>
              </w:rPr>
              <w:t>5</w:t>
            </w:r>
          </w:p>
          <w:p w14:paraId="162C4A77">
            <w:pPr>
              <w:ind w:firstLine="525"/>
              <w:rPr>
                <w:sz w:val="24"/>
                <w:szCs w:val="24"/>
              </w:rPr>
            </w:pPr>
            <w:r>
              <w:rPr>
                <w:sz w:val="24"/>
                <w:szCs w:val="24"/>
                <w:lang w:bidi="ar"/>
              </w:rPr>
              <w:t>式中：</w:t>
            </w:r>
            <w:r>
              <w:rPr>
                <w:i/>
                <w:sz w:val="24"/>
                <w:szCs w:val="24"/>
                <w:lang w:bidi="ar"/>
              </w:rPr>
              <w:t>H</w:t>
            </w:r>
            <w:r>
              <w:rPr>
                <w:i/>
                <w:sz w:val="24"/>
                <w:szCs w:val="24"/>
                <w:vertAlign w:val="subscript"/>
                <w:lang w:bidi="ar"/>
              </w:rPr>
              <w:t xml:space="preserve">h·I </w:t>
            </w:r>
            <w:r>
              <w:rPr>
                <w:sz w:val="24"/>
                <w:szCs w:val="24"/>
                <w:lang w:bidi="ar"/>
              </w:rPr>
              <w:t>—年吸入内照射待积有效剂量，Sv/a；</w:t>
            </w:r>
          </w:p>
          <w:p w14:paraId="3C31817C">
            <w:pPr>
              <w:ind w:firstLine="1155"/>
              <w:rPr>
                <w:sz w:val="24"/>
                <w:szCs w:val="24"/>
              </w:rPr>
            </w:pPr>
            <w:r>
              <w:rPr>
                <w:i/>
                <w:sz w:val="24"/>
                <w:szCs w:val="24"/>
                <w:lang w:bidi="ar"/>
              </w:rPr>
              <w:t>c</w:t>
            </w:r>
            <w:r>
              <w:rPr>
                <w:sz w:val="24"/>
                <w:szCs w:val="24"/>
                <w:lang w:bidi="ar"/>
              </w:rPr>
              <w:t>—受照时间，h；建设单位拟将楼顶废气排风口划为管控区域，并进行封闭管理，平时无人，仅需设备检修时有工作人员会上楼顶，时间取1h/a；</w:t>
            </w:r>
          </w:p>
          <w:p w14:paraId="52414C1C">
            <w:pPr>
              <w:ind w:firstLine="1155"/>
              <w:rPr>
                <w:sz w:val="24"/>
                <w:szCs w:val="24"/>
              </w:rPr>
            </w:pPr>
            <w:r>
              <w:rPr>
                <w:i/>
                <w:sz w:val="24"/>
                <w:szCs w:val="24"/>
                <w:lang w:bidi="ar"/>
              </w:rPr>
              <w:t>u</w:t>
            </w:r>
            <w:r>
              <w:rPr>
                <w:sz w:val="24"/>
                <w:szCs w:val="24"/>
                <w:lang w:bidi="ar"/>
              </w:rPr>
              <w:t>—为个人轻体力劳动下的呼吸率；</w:t>
            </w:r>
          </w:p>
          <w:p w14:paraId="2E11B4C0">
            <w:pPr>
              <w:ind w:firstLine="1155"/>
              <w:rPr>
                <w:sz w:val="24"/>
                <w:szCs w:val="24"/>
              </w:rPr>
            </w:pPr>
            <w:r>
              <w:rPr>
                <w:i/>
                <w:sz w:val="24"/>
                <w:szCs w:val="24"/>
                <w:lang w:bidi="ar"/>
              </w:rPr>
              <w:t>C</w:t>
            </w:r>
            <w:r>
              <w:rPr>
                <w:i/>
                <w:sz w:val="24"/>
                <w:szCs w:val="24"/>
                <w:vertAlign w:val="subscript"/>
                <w:lang w:bidi="ar"/>
              </w:rPr>
              <w:t>a·i</w:t>
            </w:r>
            <w:r>
              <w:rPr>
                <w:sz w:val="24"/>
                <w:szCs w:val="24"/>
                <w:lang w:bidi="ar"/>
              </w:rPr>
              <w:t>—预测点核素活度浓度，Bq/m</w:t>
            </w:r>
            <w:r>
              <w:rPr>
                <w:sz w:val="24"/>
                <w:szCs w:val="24"/>
                <w:vertAlign w:val="superscript"/>
                <w:lang w:bidi="ar"/>
              </w:rPr>
              <w:t>3</w:t>
            </w:r>
            <w:r>
              <w:rPr>
                <w:sz w:val="24"/>
                <w:szCs w:val="24"/>
                <w:lang w:bidi="ar"/>
              </w:rPr>
              <w:t>；</w:t>
            </w:r>
          </w:p>
          <w:p w14:paraId="784FF6C6">
            <w:pPr>
              <w:ind w:firstLine="1155"/>
              <w:rPr>
                <w:bCs/>
                <w:sz w:val="24"/>
                <w:szCs w:val="24"/>
              </w:rPr>
            </w:pPr>
            <w:r>
              <w:rPr>
                <w:bCs/>
                <w:i/>
                <w:sz w:val="24"/>
                <w:szCs w:val="24"/>
                <w:lang w:bidi="ar"/>
              </w:rPr>
              <w:t>g</w:t>
            </w:r>
            <w:r>
              <w:rPr>
                <w:bCs/>
                <w:i/>
                <w:sz w:val="24"/>
                <w:szCs w:val="24"/>
                <w:vertAlign w:val="subscript"/>
                <w:lang w:bidi="ar"/>
              </w:rPr>
              <w:t>h·I</w:t>
            </w:r>
            <w:r>
              <w:rPr>
                <w:sz w:val="24"/>
                <w:szCs w:val="24"/>
                <w:lang w:bidi="ar"/>
              </w:rPr>
              <w:t>—为吸入放射性核素</w:t>
            </w:r>
            <w:r>
              <w:rPr>
                <w:i/>
                <w:sz w:val="24"/>
                <w:szCs w:val="24"/>
                <w:lang w:bidi="ar"/>
              </w:rPr>
              <w:t>i</w:t>
            </w:r>
            <w:r>
              <w:rPr>
                <w:sz w:val="24"/>
                <w:szCs w:val="24"/>
                <w:lang w:bidi="ar"/>
              </w:rPr>
              <w:t>产生的待积有效剂量转换因子</w:t>
            </w:r>
            <w:r>
              <w:rPr>
                <w:bCs/>
                <w:sz w:val="24"/>
                <w:szCs w:val="24"/>
                <w:lang w:bidi="ar"/>
              </w:rPr>
              <w:t xml:space="preserve">，；          </w:t>
            </w:r>
          </w:p>
          <w:p w14:paraId="2EBAFFA5">
            <w:pPr>
              <w:ind w:firstLine="1155"/>
              <w:rPr>
                <w:bCs/>
                <w:sz w:val="24"/>
                <w:szCs w:val="24"/>
                <w:lang w:bidi="ar"/>
              </w:rPr>
            </w:pPr>
            <w:r>
              <w:rPr>
                <w:bCs/>
                <w:i/>
                <w:sz w:val="24"/>
                <w:szCs w:val="24"/>
                <w:lang w:bidi="ar"/>
              </w:rPr>
              <w:t>f</w:t>
            </w:r>
            <w:r>
              <w:rPr>
                <w:bCs/>
                <w:sz w:val="24"/>
                <w:szCs w:val="24"/>
                <w:lang w:bidi="ar"/>
              </w:rPr>
              <w:t>—转换因子，取1。</w:t>
            </w:r>
          </w:p>
          <w:p w14:paraId="56EE1E34">
            <w:pPr>
              <w:autoSpaceDE w:val="0"/>
              <w:autoSpaceDN w:val="0"/>
              <w:ind w:firstLine="482" w:firstLineChars="200"/>
              <w:rPr>
                <w:b/>
                <w:bCs/>
                <w:sz w:val="24"/>
                <w:szCs w:val="24"/>
                <w:lang w:val="pl" w:bidi="ar"/>
              </w:rPr>
            </w:pPr>
            <w:r>
              <w:rPr>
                <w:b/>
                <w:bCs/>
                <w:sz w:val="24"/>
                <w:szCs w:val="24"/>
                <w:lang w:val="pl" w:bidi="ar"/>
              </w:rPr>
              <w:t>（2）浸没外照射所致全身剂量当量计算</w:t>
            </w:r>
          </w:p>
          <w:p w14:paraId="080992C0">
            <w:pPr>
              <w:ind w:firstLine="480" w:firstLineChars="200"/>
              <w:jc w:val="right"/>
              <w:rPr>
                <w:rFonts w:hint="eastAsia" w:eastAsia="宋体"/>
                <w:bCs/>
                <w:sz w:val="24"/>
                <w:szCs w:val="24"/>
                <w:lang w:val="fr" w:eastAsia="zh-CN"/>
              </w:rPr>
            </w:pPr>
            <w:r>
              <w:rPr>
                <w:bCs/>
                <w:i/>
                <w:sz w:val="24"/>
                <w:szCs w:val="24"/>
                <w:lang w:val="fr" w:bidi="ar"/>
              </w:rPr>
              <w:t>H</w:t>
            </w:r>
            <w:r>
              <w:rPr>
                <w:bCs/>
                <w:i/>
                <w:sz w:val="24"/>
                <w:szCs w:val="24"/>
                <w:vertAlign w:val="subscript"/>
                <w:lang w:val="fr" w:bidi="ar"/>
              </w:rPr>
              <w:t xml:space="preserve">A </w:t>
            </w:r>
            <w:r>
              <w:rPr>
                <w:bCs/>
                <w:i/>
                <w:sz w:val="24"/>
                <w:szCs w:val="24"/>
                <w:lang w:val="fr" w:bidi="ar"/>
              </w:rPr>
              <w:t>= t·C</w:t>
            </w:r>
            <w:r>
              <w:rPr>
                <w:bCs/>
                <w:i/>
                <w:sz w:val="24"/>
                <w:szCs w:val="24"/>
                <w:vertAlign w:val="subscript"/>
                <w:lang w:val="fr" w:bidi="ar"/>
              </w:rPr>
              <w:t>i</w:t>
            </w:r>
            <w:r>
              <w:rPr>
                <w:bCs/>
                <w:i/>
                <w:sz w:val="24"/>
                <w:szCs w:val="24"/>
                <w:lang w:val="fr" w:bidi="ar"/>
              </w:rPr>
              <w:t>·G</w:t>
            </w:r>
            <w:r>
              <w:rPr>
                <w:bCs/>
                <w:i/>
                <w:sz w:val="24"/>
                <w:szCs w:val="24"/>
                <w:vertAlign w:val="subscript"/>
                <w:lang w:val="fr" w:bidi="ar"/>
              </w:rPr>
              <w:t xml:space="preserve">A </w:t>
            </w:r>
            <w:r>
              <w:rPr>
                <w:bCs/>
                <w:position w:val="-10"/>
                <w:sz w:val="24"/>
                <w:szCs w:val="24"/>
                <w:lang w:bidi="ar"/>
              </w:rPr>
              <w:t>…………….......………………</w:t>
            </w:r>
            <w:r>
              <w:rPr>
                <w:sz w:val="24"/>
                <w:szCs w:val="24"/>
                <w:lang w:bidi="ar"/>
              </w:rPr>
              <w:t>式11-1</w:t>
            </w:r>
            <w:r>
              <w:rPr>
                <w:rFonts w:hint="eastAsia"/>
                <w:sz w:val="24"/>
                <w:szCs w:val="24"/>
                <w:lang w:val="en-US" w:eastAsia="zh-CN" w:bidi="ar"/>
              </w:rPr>
              <w:t>6</w:t>
            </w:r>
          </w:p>
          <w:p w14:paraId="724F8BC4">
            <w:pPr>
              <w:ind w:firstLine="600" w:firstLineChars="250"/>
              <w:rPr>
                <w:bCs/>
                <w:sz w:val="24"/>
                <w:szCs w:val="24"/>
              </w:rPr>
            </w:pPr>
            <w:r>
              <w:rPr>
                <w:bCs/>
                <w:sz w:val="24"/>
                <w:szCs w:val="24"/>
                <w:lang w:bidi="ar"/>
              </w:rPr>
              <w:t>式中：</w:t>
            </w:r>
            <w:r>
              <w:rPr>
                <w:bCs/>
                <w:i/>
                <w:sz w:val="24"/>
                <w:szCs w:val="24"/>
                <w:lang w:bidi="ar"/>
              </w:rPr>
              <w:t>H</w:t>
            </w:r>
            <w:r>
              <w:rPr>
                <w:bCs/>
                <w:i/>
                <w:sz w:val="24"/>
                <w:szCs w:val="24"/>
                <w:vertAlign w:val="subscript"/>
                <w:lang w:bidi="ar"/>
              </w:rPr>
              <w:t>A</w:t>
            </w:r>
            <w:r>
              <w:rPr>
                <w:bCs/>
                <w:sz w:val="24"/>
                <w:szCs w:val="24"/>
                <w:lang w:bidi="ar"/>
              </w:rPr>
              <w:t>—</w:t>
            </w:r>
            <w:r>
              <w:rPr>
                <w:sz w:val="24"/>
                <w:szCs w:val="24"/>
                <w:lang w:bidi="ar"/>
              </w:rPr>
              <w:t>年空气浸没全身剂量当量</w:t>
            </w:r>
            <w:r>
              <w:rPr>
                <w:bCs/>
                <w:sz w:val="24"/>
                <w:szCs w:val="24"/>
                <w:lang w:bidi="ar"/>
              </w:rPr>
              <w:t>，Sv/a；</w:t>
            </w:r>
          </w:p>
          <w:p w14:paraId="70B1CAFF">
            <w:pPr>
              <w:ind w:firstLine="1320" w:firstLineChars="550"/>
              <w:rPr>
                <w:bCs/>
                <w:sz w:val="24"/>
                <w:szCs w:val="24"/>
              </w:rPr>
            </w:pPr>
            <w:r>
              <w:rPr>
                <w:bCs/>
                <w:i/>
                <w:sz w:val="24"/>
                <w:szCs w:val="24"/>
                <w:lang w:bidi="ar"/>
              </w:rPr>
              <w:t>t</w:t>
            </w:r>
            <w:r>
              <w:rPr>
                <w:sz w:val="24"/>
                <w:szCs w:val="24"/>
                <w:lang w:bidi="ar"/>
              </w:rPr>
              <w:t>—年受照时间，s；取3600s/a；</w:t>
            </w:r>
          </w:p>
          <w:p w14:paraId="6FC58EF2">
            <w:pPr>
              <w:ind w:firstLine="1320" w:firstLineChars="550"/>
              <w:rPr>
                <w:bCs/>
                <w:sz w:val="24"/>
                <w:szCs w:val="24"/>
              </w:rPr>
            </w:pPr>
            <w:r>
              <w:rPr>
                <w:bCs/>
                <w:i/>
                <w:sz w:val="24"/>
                <w:szCs w:val="24"/>
                <w:lang w:bidi="ar"/>
              </w:rPr>
              <w:t>C</w:t>
            </w:r>
            <w:r>
              <w:rPr>
                <w:bCs/>
                <w:i/>
                <w:sz w:val="24"/>
                <w:szCs w:val="24"/>
                <w:vertAlign w:val="subscript"/>
                <w:lang w:bidi="ar"/>
              </w:rPr>
              <w:t>i</w:t>
            </w:r>
            <w:r>
              <w:rPr>
                <w:bCs/>
                <w:sz w:val="24"/>
                <w:szCs w:val="24"/>
                <w:lang w:bidi="ar"/>
              </w:rPr>
              <w:t>—预测点</w:t>
            </w:r>
            <w:r>
              <w:rPr>
                <w:sz w:val="24"/>
                <w:szCs w:val="24"/>
                <w:lang w:bidi="ar"/>
              </w:rPr>
              <w:t>核素活度浓度</w:t>
            </w:r>
            <w:r>
              <w:rPr>
                <w:bCs/>
                <w:sz w:val="24"/>
                <w:szCs w:val="24"/>
                <w:lang w:bidi="ar"/>
              </w:rPr>
              <w:t>，Bq/m</w:t>
            </w:r>
            <w:r>
              <w:rPr>
                <w:bCs/>
                <w:sz w:val="24"/>
                <w:szCs w:val="24"/>
                <w:vertAlign w:val="superscript"/>
                <w:lang w:bidi="ar"/>
              </w:rPr>
              <w:t>3</w:t>
            </w:r>
            <w:r>
              <w:rPr>
                <w:bCs/>
                <w:sz w:val="24"/>
                <w:szCs w:val="24"/>
                <w:lang w:bidi="ar"/>
              </w:rPr>
              <w:t>；</w:t>
            </w:r>
          </w:p>
          <w:p w14:paraId="0909D2ED">
            <w:pPr>
              <w:ind w:firstLine="1320" w:firstLineChars="550"/>
              <w:rPr>
                <w:bCs/>
                <w:sz w:val="24"/>
                <w:szCs w:val="24"/>
              </w:rPr>
            </w:pPr>
            <w:r>
              <w:rPr>
                <w:bCs/>
                <w:i/>
                <w:sz w:val="24"/>
                <w:szCs w:val="24"/>
                <w:lang w:bidi="ar"/>
              </w:rPr>
              <w:t>G</w:t>
            </w:r>
            <w:r>
              <w:rPr>
                <w:bCs/>
                <w:i/>
                <w:sz w:val="24"/>
                <w:szCs w:val="24"/>
                <w:vertAlign w:val="subscript"/>
                <w:lang w:bidi="ar"/>
              </w:rPr>
              <w:t>A</w:t>
            </w:r>
            <w:r>
              <w:rPr>
                <w:sz w:val="24"/>
                <w:szCs w:val="24"/>
                <w:lang w:bidi="ar"/>
              </w:rPr>
              <w:t>—烟云浸没照射剂量当量转换因子</w:t>
            </w:r>
            <w:r>
              <w:rPr>
                <w:bCs/>
                <w:sz w:val="24"/>
                <w:szCs w:val="24"/>
                <w:lang w:bidi="ar"/>
              </w:rPr>
              <w:t>，。</w:t>
            </w:r>
          </w:p>
          <w:p w14:paraId="58ED8F0F">
            <w:pPr>
              <w:widowControl/>
              <w:spacing w:before="120" w:beforeLines="50" w:line="240" w:lineRule="auto"/>
              <w:jc w:val="center"/>
              <w:rPr>
                <w:rFonts w:eastAsia="黑体"/>
                <w:bCs/>
                <w:sz w:val="21"/>
                <w:szCs w:val="21"/>
              </w:rPr>
            </w:pPr>
            <w:r>
              <w:rPr>
                <w:rFonts w:eastAsia="黑体"/>
                <w:bCs/>
                <w:sz w:val="21"/>
                <w:szCs w:val="21"/>
              </w:rPr>
              <w:t>表11-</w:t>
            </w:r>
            <w:r>
              <w:rPr>
                <w:rFonts w:hint="eastAsia" w:eastAsia="黑体"/>
                <w:bCs/>
                <w:sz w:val="21"/>
                <w:szCs w:val="21"/>
                <w:lang w:val="en-US" w:eastAsia="zh-CN"/>
              </w:rPr>
              <w:t>21</w:t>
            </w:r>
            <w:r>
              <w:rPr>
                <w:rFonts w:eastAsia="黑体"/>
                <w:bCs/>
                <w:sz w:val="21"/>
                <w:szCs w:val="21"/>
              </w:rPr>
              <w:t xml:space="preserve">  放射性废气受照剂量计算结果</w:t>
            </w:r>
          </w:p>
          <w:tbl>
            <w:tblPr>
              <w:tblStyle w:val="57"/>
              <w:tblW w:w="845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2750"/>
              <w:gridCol w:w="2353"/>
              <w:gridCol w:w="1629"/>
            </w:tblGrid>
            <w:tr w14:paraId="54423B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020" w:type="pct"/>
                  <w:noWrap/>
                  <w:vAlign w:val="center"/>
                </w:tcPr>
                <w:p w14:paraId="2C961ECC">
                  <w:pPr>
                    <w:keepNext w:val="0"/>
                    <w:keepLines w:val="0"/>
                    <w:pageBreakBefore w:val="0"/>
                    <w:kinsoku/>
                    <w:wordWrap/>
                    <w:overflowPunct/>
                    <w:topLinePunct w:val="0"/>
                    <w:autoSpaceDE/>
                    <w:autoSpaceDN/>
                    <w:bidi w:val="0"/>
                    <w:adjustRightInd/>
                    <w:snapToGrid/>
                    <w:spacing w:line="360" w:lineRule="exact"/>
                    <w:jc w:val="center"/>
                    <w:rPr>
                      <w:bCs/>
                      <w:spacing w:val="-11"/>
                      <w:sz w:val="21"/>
                      <w:szCs w:val="21"/>
                    </w:rPr>
                  </w:pPr>
                  <w:r>
                    <w:rPr>
                      <w:sz w:val="21"/>
                      <w:szCs w:val="21"/>
                      <w:lang w:bidi="ar"/>
                    </w:rPr>
                    <w:t>核素</w:t>
                  </w:r>
                </w:p>
              </w:tc>
              <w:tc>
                <w:tcPr>
                  <w:tcW w:w="1625" w:type="pct"/>
                  <w:vAlign w:val="center"/>
                </w:tcPr>
                <w:p w14:paraId="1628449D">
                  <w:pPr>
                    <w:keepNext w:val="0"/>
                    <w:keepLines w:val="0"/>
                    <w:pageBreakBefore w:val="0"/>
                    <w:widowControl/>
                    <w:kinsoku/>
                    <w:wordWrap/>
                    <w:overflowPunct/>
                    <w:topLinePunct w:val="0"/>
                    <w:autoSpaceDE/>
                    <w:autoSpaceDN/>
                    <w:bidi w:val="0"/>
                    <w:adjustRightInd/>
                    <w:snapToGrid/>
                    <w:spacing w:line="360" w:lineRule="exact"/>
                    <w:jc w:val="center"/>
                    <w:rPr>
                      <w:bCs/>
                      <w:spacing w:val="-11"/>
                      <w:sz w:val="21"/>
                      <w:szCs w:val="21"/>
                    </w:rPr>
                  </w:pPr>
                  <w:r>
                    <w:rPr>
                      <w:bCs/>
                      <w:spacing w:val="-11"/>
                      <w:sz w:val="21"/>
                      <w:szCs w:val="21"/>
                      <w:lang w:bidi="ar"/>
                    </w:rPr>
                    <w:t>吸入内照射待积年有效剂量（mSv/a）</w:t>
                  </w:r>
                </w:p>
              </w:tc>
              <w:tc>
                <w:tcPr>
                  <w:tcW w:w="1390" w:type="pct"/>
                  <w:vAlign w:val="center"/>
                </w:tcPr>
                <w:p w14:paraId="21DCFFF9">
                  <w:pPr>
                    <w:keepNext w:val="0"/>
                    <w:keepLines w:val="0"/>
                    <w:pageBreakBefore w:val="0"/>
                    <w:widowControl/>
                    <w:kinsoku/>
                    <w:wordWrap/>
                    <w:overflowPunct/>
                    <w:topLinePunct w:val="0"/>
                    <w:autoSpaceDE/>
                    <w:autoSpaceDN/>
                    <w:bidi w:val="0"/>
                    <w:adjustRightInd/>
                    <w:snapToGrid/>
                    <w:spacing w:line="360" w:lineRule="exact"/>
                    <w:jc w:val="center"/>
                    <w:rPr>
                      <w:bCs/>
                      <w:spacing w:val="-11"/>
                      <w:sz w:val="21"/>
                      <w:szCs w:val="21"/>
                    </w:rPr>
                  </w:pPr>
                  <w:r>
                    <w:rPr>
                      <w:bCs/>
                      <w:spacing w:val="-11"/>
                      <w:sz w:val="21"/>
                      <w:szCs w:val="21"/>
                      <w:lang w:bidi="ar"/>
                    </w:rPr>
                    <w:t>年空气浸没外照射全身剂量（mSv/a）</w:t>
                  </w:r>
                </w:p>
              </w:tc>
              <w:tc>
                <w:tcPr>
                  <w:tcW w:w="962" w:type="pct"/>
                  <w:vAlign w:val="center"/>
                </w:tcPr>
                <w:p w14:paraId="3654AB21">
                  <w:pPr>
                    <w:keepNext w:val="0"/>
                    <w:keepLines w:val="0"/>
                    <w:pageBreakBefore w:val="0"/>
                    <w:widowControl/>
                    <w:kinsoku/>
                    <w:wordWrap/>
                    <w:overflowPunct/>
                    <w:topLinePunct w:val="0"/>
                    <w:autoSpaceDE/>
                    <w:autoSpaceDN/>
                    <w:bidi w:val="0"/>
                    <w:adjustRightInd/>
                    <w:snapToGrid/>
                    <w:spacing w:line="360" w:lineRule="exact"/>
                    <w:jc w:val="center"/>
                    <w:rPr>
                      <w:bCs/>
                      <w:spacing w:val="-11"/>
                      <w:sz w:val="21"/>
                      <w:szCs w:val="21"/>
                    </w:rPr>
                  </w:pPr>
                  <w:r>
                    <w:rPr>
                      <w:bCs/>
                      <w:spacing w:val="-11"/>
                      <w:sz w:val="21"/>
                      <w:szCs w:val="21"/>
                      <w:lang w:bidi="ar"/>
                    </w:rPr>
                    <w:t>合计（mSv/a）</w:t>
                  </w:r>
                </w:p>
              </w:tc>
            </w:tr>
            <w:tr w14:paraId="548AAD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020" w:type="pct"/>
                  <w:noWrap/>
                  <w:vAlign w:val="center"/>
                </w:tcPr>
                <w:p w14:paraId="0BEDC1A0">
                  <w:pPr>
                    <w:keepNext w:val="0"/>
                    <w:keepLines w:val="0"/>
                    <w:pageBreakBefore w:val="0"/>
                    <w:kinsoku/>
                    <w:wordWrap/>
                    <w:overflowPunct/>
                    <w:topLinePunct w:val="0"/>
                    <w:autoSpaceDE/>
                    <w:autoSpaceDN/>
                    <w:bidi w:val="0"/>
                    <w:adjustRightInd/>
                    <w:snapToGrid/>
                    <w:spacing w:line="360" w:lineRule="exact"/>
                    <w:jc w:val="center"/>
                    <w:rPr>
                      <w:bCs/>
                      <w:sz w:val="21"/>
                      <w:szCs w:val="21"/>
                      <w:highlight w:val="none"/>
                    </w:rPr>
                  </w:pPr>
                  <w:r>
                    <w:rPr>
                      <w:sz w:val="21"/>
                      <w:szCs w:val="21"/>
                      <w:highlight w:val="none"/>
                      <w:vertAlign w:val="superscript"/>
                      <w:lang w:bidi="ar"/>
                    </w:rPr>
                    <w:t>1</w:t>
                  </w:r>
                  <w:r>
                    <w:rPr>
                      <w:rFonts w:hint="eastAsia"/>
                      <w:sz w:val="21"/>
                      <w:szCs w:val="21"/>
                      <w:highlight w:val="none"/>
                      <w:vertAlign w:val="superscript"/>
                      <w:lang w:val="en-US" w:eastAsia="zh-CN" w:bidi="ar"/>
                    </w:rPr>
                    <w:t>31</w:t>
                  </w:r>
                  <w:r>
                    <w:rPr>
                      <w:sz w:val="21"/>
                      <w:szCs w:val="21"/>
                      <w:highlight w:val="none"/>
                      <w:lang w:bidi="ar"/>
                    </w:rPr>
                    <w:t>I</w:t>
                  </w:r>
                </w:p>
              </w:tc>
              <w:tc>
                <w:tcPr>
                  <w:tcW w:w="1625" w:type="pct"/>
                  <w:vAlign w:val="center"/>
                </w:tcPr>
                <w:p w14:paraId="3B29DD7C">
                  <w:pPr>
                    <w:keepNext w:val="0"/>
                    <w:keepLines w:val="0"/>
                    <w:pageBreakBefore w:val="0"/>
                    <w:widowControl/>
                    <w:kinsoku/>
                    <w:wordWrap/>
                    <w:overflowPunct/>
                    <w:topLinePunct w:val="0"/>
                    <w:autoSpaceDE/>
                    <w:autoSpaceDN/>
                    <w:bidi w:val="0"/>
                    <w:adjustRightInd/>
                    <w:snapToGrid/>
                    <w:spacing w:line="360" w:lineRule="exact"/>
                    <w:jc w:val="center"/>
                    <w:textAlignment w:val="center"/>
                    <w:rPr>
                      <w:bCs/>
                      <w:sz w:val="21"/>
                      <w:szCs w:val="21"/>
                      <w:highlight w:val="none"/>
                    </w:rPr>
                  </w:pPr>
                  <w:r>
                    <w:rPr>
                      <w:rFonts w:hint="eastAsia"/>
                      <w:sz w:val="21"/>
                      <w:szCs w:val="21"/>
                      <w:highlight w:val="none"/>
                      <w:lang w:val="en-US" w:eastAsia="zh-CN" w:bidi="ar"/>
                    </w:rPr>
                    <w:t>1.67</w:t>
                  </w:r>
                  <w:r>
                    <w:rPr>
                      <w:sz w:val="21"/>
                      <w:szCs w:val="21"/>
                      <w:highlight w:val="none"/>
                      <w:lang w:bidi="ar"/>
                    </w:rPr>
                    <w:t>E-04</w:t>
                  </w:r>
                </w:p>
              </w:tc>
              <w:tc>
                <w:tcPr>
                  <w:tcW w:w="1390" w:type="pct"/>
                  <w:vAlign w:val="center"/>
                </w:tcPr>
                <w:p w14:paraId="5022A707">
                  <w:pPr>
                    <w:keepNext w:val="0"/>
                    <w:keepLines w:val="0"/>
                    <w:pageBreakBefore w:val="0"/>
                    <w:widowControl/>
                    <w:kinsoku/>
                    <w:wordWrap/>
                    <w:overflowPunct/>
                    <w:topLinePunct w:val="0"/>
                    <w:autoSpaceDE/>
                    <w:autoSpaceDN/>
                    <w:bidi w:val="0"/>
                    <w:adjustRightInd/>
                    <w:snapToGrid/>
                    <w:spacing w:line="360" w:lineRule="exact"/>
                    <w:jc w:val="center"/>
                    <w:textAlignment w:val="center"/>
                    <w:rPr>
                      <w:bCs/>
                      <w:sz w:val="21"/>
                      <w:szCs w:val="21"/>
                      <w:highlight w:val="none"/>
                    </w:rPr>
                  </w:pPr>
                  <w:r>
                    <w:rPr>
                      <w:rFonts w:hint="eastAsia"/>
                      <w:sz w:val="21"/>
                      <w:szCs w:val="21"/>
                      <w:highlight w:val="none"/>
                      <w:lang w:val="en-US" w:eastAsia="zh-CN" w:bidi="ar"/>
                    </w:rPr>
                    <w:t>1.61</w:t>
                  </w:r>
                  <w:r>
                    <w:rPr>
                      <w:sz w:val="21"/>
                      <w:szCs w:val="21"/>
                      <w:highlight w:val="none"/>
                      <w:lang w:bidi="ar"/>
                    </w:rPr>
                    <w:t>E-06</w:t>
                  </w:r>
                </w:p>
              </w:tc>
              <w:tc>
                <w:tcPr>
                  <w:tcW w:w="962" w:type="pct"/>
                  <w:vAlign w:val="center"/>
                </w:tcPr>
                <w:p w14:paraId="5C6E8E3C">
                  <w:pPr>
                    <w:keepNext w:val="0"/>
                    <w:keepLines w:val="0"/>
                    <w:pageBreakBefore w:val="0"/>
                    <w:widowControl/>
                    <w:kinsoku/>
                    <w:wordWrap/>
                    <w:overflowPunct/>
                    <w:topLinePunct w:val="0"/>
                    <w:autoSpaceDE/>
                    <w:autoSpaceDN/>
                    <w:bidi w:val="0"/>
                    <w:adjustRightInd/>
                    <w:snapToGrid/>
                    <w:spacing w:line="360" w:lineRule="exact"/>
                    <w:jc w:val="center"/>
                    <w:textAlignment w:val="center"/>
                    <w:rPr>
                      <w:bCs/>
                      <w:sz w:val="21"/>
                      <w:szCs w:val="21"/>
                      <w:highlight w:val="none"/>
                    </w:rPr>
                  </w:pPr>
                  <w:r>
                    <w:rPr>
                      <w:rFonts w:hint="eastAsia"/>
                      <w:sz w:val="21"/>
                      <w:szCs w:val="21"/>
                      <w:highlight w:val="none"/>
                      <w:lang w:val="en-US" w:eastAsia="zh-CN" w:bidi="ar"/>
                    </w:rPr>
                    <w:t>1.69</w:t>
                  </w:r>
                  <w:r>
                    <w:rPr>
                      <w:sz w:val="21"/>
                      <w:szCs w:val="21"/>
                      <w:highlight w:val="none"/>
                      <w:lang w:bidi="ar"/>
                    </w:rPr>
                    <w:t>E-04</w:t>
                  </w:r>
                </w:p>
              </w:tc>
            </w:tr>
          </w:tbl>
          <w:p w14:paraId="4A708805">
            <w:pPr>
              <w:ind w:firstLine="505"/>
              <w:rPr>
                <w:lang w:bidi="ar"/>
              </w:rPr>
            </w:pPr>
            <w:r>
              <w:rPr>
                <w:spacing w:val="6"/>
                <w:highlight w:val="none"/>
                <w:lang w:val="pl" w:bidi="ar"/>
              </w:rPr>
              <w:t>根据</w:t>
            </w:r>
            <w:r>
              <w:rPr>
                <w:spacing w:val="6"/>
                <w:highlight w:val="none"/>
                <w:lang w:bidi="ar"/>
              </w:rPr>
              <w:t>计算</w:t>
            </w:r>
            <w:r>
              <w:rPr>
                <w:spacing w:val="6"/>
                <w:highlight w:val="none"/>
                <w:lang w:val="pl" w:bidi="ar"/>
              </w:rPr>
              <w:t>，</w:t>
            </w:r>
            <w:r>
              <w:rPr>
                <w:spacing w:val="6"/>
                <w:highlight w:val="none"/>
                <w:lang w:bidi="ar"/>
              </w:rPr>
              <w:t>本项目</w:t>
            </w:r>
            <w:r>
              <w:rPr>
                <w:spacing w:val="6"/>
                <w:highlight w:val="none"/>
                <w:lang w:val="pl" w:bidi="ar"/>
              </w:rPr>
              <w:t>放射性</w:t>
            </w:r>
            <w:r>
              <w:rPr>
                <w:spacing w:val="6"/>
                <w:highlight w:val="none"/>
                <w:lang w:bidi="ar"/>
              </w:rPr>
              <w:t>废气</w:t>
            </w:r>
            <w:r>
              <w:rPr>
                <w:spacing w:val="6"/>
                <w:highlight w:val="none"/>
                <w:lang w:val="pl" w:bidi="ar"/>
              </w:rPr>
              <w:t>所致公众最大受照剂量为</w:t>
            </w:r>
            <w:r>
              <w:rPr>
                <w:rFonts w:hint="eastAsia"/>
                <w:spacing w:val="6"/>
                <w:highlight w:val="none"/>
                <w:lang w:val="en-US" w:eastAsia="zh-CN" w:bidi="ar"/>
              </w:rPr>
              <w:t>1.69</w:t>
            </w:r>
            <w:r>
              <w:rPr>
                <w:spacing w:val="6"/>
                <w:highlight w:val="none"/>
                <w:lang w:val="pl" w:bidi="ar"/>
              </w:rPr>
              <w:t>×10</w:t>
            </w:r>
            <w:r>
              <w:rPr>
                <w:spacing w:val="6"/>
                <w:highlight w:val="none"/>
                <w:vertAlign w:val="superscript"/>
                <w:lang w:val="pl" w:bidi="ar"/>
              </w:rPr>
              <w:t>-</w:t>
            </w:r>
            <w:r>
              <w:rPr>
                <w:rFonts w:hint="eastAsia"/>
                <w:spacing w:val="6"/>
                <w:highlight w:val="none"/>
                <w:vertAlign w:val="superscript"/>
                <w:lang w:val="en-US" w:eastAsia="zh-CN" w:bidi="ar"/>
              </w:rPr>
              <w:t>4</w:t>
            </w:r>
            <w:r>
              <w:rPr>
                <w:spacing w:val="6"/>
                <w:highlight w:val="none"/>
                <w:lang w:val="pl" w:bidi="ar"/>
              </w:rPr>
              <w:t>mSv/a，满足0.1mSv/a剂量约束值，因此本项目排放的放射性气溶胶</w:t>
            </w:r>
            <w:r>
              <w:rPr>
                <w:lang w:bidi="ar"/>
              </w:rPr>
              <w:t>对周围辐射环境影响较小。</w:t>
            </w:r>
          </w:p>
          <w:p w14:paraId="5A1F1523">
            <w:pPr>
              <w:ind w:firstLine="482"/>
              <w:rPr>
                <w:b/>
              </w:rPr>
            </w:pPr>
            <w:r>
              <w:rPr>
                <w:b/>
              </w:rPr>
              <w:t>2、非放射性废气</w:t>
            </w:r>
          </w:p>
          <w:p w14:paraId="757ABA13">
            <w:pPr>
              <w:ind w:firstLine="480"/>
              <w:rPr>
                <w:bCs/>
                <w:lang w:bidi="ar"/>
              </w:rPr>
            </w:pPr>
            <w:r>
              <w:rPr>
                <w:bCs/>
              </w:rPr>
              <w:t>本项目非放射性废气主要来源于γ射线或X射线与空气发生电离作用，产生臭氧和氮氧化物，各房间已设计有排风系统（含在放射性排风系统），少量臭氧和氮氧化物经各房间排风系统管道</w:t>
            </w:r>
            <w:r>
              <w:t>引至屋顶，并经过滤器过滤后排放</w:t>
            </w:r>
            <w:r>
              <w:rPr>
                <w:bCs/>
              </w:rPr>
              <w:t>，经自然稀释后对环境影响较小。</w:t>
            </w:r>
          </w:p>
          <w:p w14:paraId="31ACDCAB">
            <w:pPr>
              <w:rPr>
                <w:rFonts w:eastAsia="黑体"/>
              </w:rPr>
            </w:pPr>
            <w:r>
              <w:rPr>
                <w:rFonts w:eastAsia="黑体"/>
              </w:rPr>
              <w:t>五、水环境影响分析</w:t>
            </w:r>
          </w:p>
          <w:p w14:paraId="4F9A497D">
            <w:pPr>
              <w:ind w:firstLine="482"/>
              <w:rPr>
                <w:b/>
              </w:rPr>
            </w:pPr>
            <w:r>
              <w:rPr>
                <w:b/>
              </w:rPr>
              <w:t>1、放射性废水</w:t>
            </w:r>
          </w:p>
          <w:p w14:paraId="6D02112E">
            <w:pPr>
              <w:ind w:firstLine="480"/>
            </w:pPr>
            <w:r>
              <w:t>本项目拟在</w:t>
            </w:r>
            <w:r>
              <w:rPr>
                <w:rFonts w:hint="eastAsia"/>
                <w:lang w:eastAsia="zh-CN"/>
              </w:rPr>
              <w:t>门诊医技楼</w:t>
            </w:r>
            <w:r>
              <w:rPr>
                <w:rFonts w:hint="eastAsia"/>
                <w:lang w:val="en-US" w:eastAsia="zh-CN"/>
              </w:rPr>
              <w:t>西侧绿化带地下</w:t>
            </w:r>
            <w:r>
              <w:t>建设衰变池</w:t>
            </w:r>
            <w:r>
              <w:rPr>
                <w:rFonts w:hint="eastAsia"/>
                <w:lang w:val="en-US" w:eastAsia="zh-CN"/>
              </w:rPr>
              <w:t>1</w:t>
            </w:r>
            <w:r>
              <w:t>，其暂存容量满足180天衰变要求。对于衰变池放射性废水暂存超过180天或经监测达标（总β≤10Bq/L、碘-131活度浓度≤10Bq/L）后排放至医院污水管网。本项目放射性废水经衰变池收集暂存衰变并经监测达标后排放对地表水环境影响较小。</w:t>
            </w:r>
          </w:p>
          <w:p w14:paraId="035A0A93">
            <w:pPr>
              <w:ind w:firstLine="482"/>
              <w:rPr>
                <w:b/>
              </w:rPr>
            </w:pPr>
            <w:r>
              <w:rPr>
                <w:b/>
              </w:rPr>
              <w:t>2、非放射性废水</w:t>
            </w:r>
          </w:p>
          <w:p w14:paraId="30545C6E">
            <w:pPr>
              <w:ind w:firstLine="480"/>
            </w:pPr>
            <w:r>
              <w:t>非放射性废水主要来自于运行期间工作人员产生的的生活废水，该部分废水经医院污水管网后排入医院污水处理站，处理达标后排入市政污水管网。</w:t>
            </w:r>
          </w:p>
          <w:p w14:paraId="2F6AB630">
            <w:pPr>
              <w:rPr>
                <w:rFonts w:eastAsia="黑体"/>
              </w:rPr>
            </w:pPr>
            <w:r>
              <w:rPr>
                <w:rFonts w:eastAsia="黑体"/>
              </w:rPr>
              <w:t>六、固体废物环境影响分析</w:t>
            </w:r>
          </w:p>
          <w:p w14:paraId="2BDC1B31">
            <w:pPr>
              <w:ind w:firstLine="482" w:firstLineChars="200"/>
              <w:rPr>
                <w:b/>
              </w:rPr>
            </w:pPr>
            <w:r>
              <w:rPr>
                <w:b/>
              </w:rPr>
              <w:t>1、放射性固废</w:t>
            </w:r>
          </w:p>
          <w:p w14:paraId="360BF2C7">
            <w:pPr>
              <w:ind w:firstLine="480" w:firstLineChars="200"/>
              <w:rPr>
                <w:bCs/>
              </w:rPr>
            </w:pPr>
            <w:r>
              <w:t>本项目</w:t>
            </w:r>
            <w:r>
              <w:rPr>
                <w:bCs/>
              </w:rPr>
              <w:t>产生的放射性固废主要是：</w:t>
            </w:r>
            <w:r>
              <w:t>①门诊病人产生的</w:t>
            </w:r>
            <w:r>
              <w:rPr>
                <w:bCs/>
                <w:lang w:bidi="ar"/>
              </w:rPr>
              <w:t>一次性注射器/口杯</w:t>
            </w:r>
            <w:r>
              <w:rPr>
                <w:rFonts w:hint="eastAsia"/>
                <w:bCs/>
                <w:lang w:val="en-US" w:eastAsia="zh-CN" w:bidi="ar"/>
              </w:rPr>
              <w:t>/自制敷贴器</w:t>
            </w:r>
            <w:r>
              <w:rPr>
                <w:bCs/>
                <w:lang w:bidi="ar"/>
              </w:rPr>
              <w:t>、药棉、口罩、手套、空药瓶、</w:t>
            </w:r>
            <w:r>
              <w:rPr>
                <w:bCs/>
              </w:rPr>
              <w:t>台面/器皿</w:t>
            </w:r>
            <w:r>
              <w:t>吸收垫、滤纸及</w:t>
            </w:r>
            <w:r>
              <w:rPr>
                <w:bCs/>
              </w:rPr>
              <w:t>擦</w:t>
            </w:r>
            <w:r>
              <w:t>拭</w:t>
            </w:r>
            <w:r>
              <w:rPr>
                <w:bCs/>
              </w:rPr>
              <w:t>废物等</w:t>
            </w:r>
            <w:r>
              <w:rPr>
                <w:rFonts w:hint="eastAsia"/>
                <w:bCs/>
                <w:lang w:eastAsia="zh-CN"/>
              </w:rPr>
              <w:t>；</w:t>
            </w:r>
            <w:r>
              <w:rPr>
                <w:rFonts w:hint="eastAsia"/>
                <w:bCs/>
                <w:lang w:val="en-US" w:eastAsia="zh-CN"/>
              </w:rPr>
              <w:t>②</w:t>
            </w:r>
            <w:r>
              <w:t>定期更换的废过滤器滤芯。</w:t>
            </w:r>
          </w:p>
          <w:p w14:paraId="1F339BDE">
            <w:pPr>
              <w:ind w:firstLine="480" w:firstLineChars="200"/>
              <w:rPr>
                <w:bCs/>
              </w:rPr>
            </w:pPr>
            <w:r>
              <w:rPr>
                <w:bCs/>
              </w:rPr>
              <w:t>本项目放射性固废采用专门的放射性固废收集桶分类收集后，转入相应</w:t>
            </w:r>
            <w:r>
              <w:rPr>
                <w:rFonts w:hint="eastAsia"/>
                <w:bCs/>
                <w:lang w:eastAsia="zh-CN"/>
              </w:rPr>
              <w:t>放废暂存间</w:t>
            </w:r>
            <w:r>
              <w:rPr>
                <w:bCs/>
              </w:rPr>
              <w:t>内采用放射性固废暂存容器进行暂存衰变，所含核素半衰期小于24小时的放射性固体废物暂存时间超过30天，所含核素半衰期大于24小时的放射性固体废物暂存时间超过核素最长半衰期的10倍，含碘-131核素的放射性固体废物暂存超过180天，经监测达标（辐射剂量率满足所处环境本底水平、α表面污染小于0.08Bq/cm</w:t>
            </w:r>
            <w:r>
              <w:rPr>
                <w:bCs/>
                <w:vertAlign w:val="superscript"/>
              </w:rPr>
              <w:t>2</w:t>
            </w:r>
            <w:r>
              <w:rPr>
                <w:bCs/>
              </w:rPr>
              <w:t>、β表面污染小于0.8Bq/cm</w:t>
            </w:r>
            <w:r>
              <w:rPr>
                <w:bCs/>
                <w:vertAlign w:val="superscript"/>
              </w:rPr>
              <w:t>2</w:t>
            </w:r>
            <w:r>
              <w:rPr>
                <w:bCs/>
              </w:rPr>
              <w:t>）后，转入医院</w:t>
            </w:r>
            <w:r>
              <w:rPr>
                <w:kern w:val="2"/>
              </w:rPr>
              <w:t>医疗垃圾暂存间</w:t>
            </w:r>
            <w:r>
              <w:rPr>
                <w:bCs/>
              </w:rPr>
              <w:t>，按照普通医疗废物执行转移联单制度，由有资质单位统一处理。本项目产生的放射性固废均能得到妥善处置，对周围环境影响较小。</w:t>
            </w:r>
          </w:p>
          <w:p w14:paraId="19EF694B">
            <w:pPr>
              <w:ind w:firstLine="482" w:firstLineChars="200"/>
              <w:rPr>
                <w:b/>
              </w:rPr>
            </w:pPr>
            <w:r>
              <w:rPr>
                <w:b/>
              </w:rPr>
              <w:t>2、非放射性固废</w:t>
            </w:r>
          </w:p>
          <w:p w14:paraId="10A72D54">
            <w:pPr>
              <w:ind w:firstLine="480" w:firstLineChars="200"/>
              <w:rPr>
                <w:rFonts w:eastAsia="黑体"/>
              </w:rPr>
            </w:pPr>
            <w:r>
              <w:rPr>
                <w:bCs/>
                <w:lang w:bidi="ar"/>
              </w:rPr>
              <w:t>本项目产生的生活垃圾依托</w:t>
            </w:r>
            <w:r>
              <w:rPr>
                <w:rFonts w:hint="eastAsia"/>
                <w:bCs/>
                <w:lang w:eastAsia="zh-CN" w:bidi="ar"/>
              </w:rPr>
              <w:t>门诊医技楼</w:t>
            </w:r>
            <w:r>
              <w:rPr>
                <w:bCs/>
                <w:lang w:bidi="ar"/>
              </w:rPr>
              <w:t>拟建的收集系统进行收集后，</w:t>
            </w:r>
            <w:r>
              <w:t>及时交由市政环卫清运，对周围环境影响较小。</w:t>
            </w:r>
          </w:p>
          <w:p w14:paraId="7882A323">
            <w:pPr>
              <w:rPr>
                <w:rFonts w:eastAsia="黑体"/>
              </w:rPr>
            </w:pPr>
            <w:r>
              <w:rPr>
                <w:rFonts w:eastAsia="黑体"/>
              </w:rPr>
              <w:t>七、声环境影响分析</w:t>
            </w:r>
          </w:p>
          <w:p w14:paraId="46B97BB0">
            <w:pPr>
              <w:ind w:firstLine="480" w:firstLineChars="200"/>
            </w:pPr>
            <w:r>
              <w:rPr>
                <w:bCs/>
              </w:rPr>
              <w:t>本项目噪声主要来源于场所通排风系统的风机。各辐射工作场所的送风机位于相应楼层的风机房或者房间吊顶内，排风机集中布置于</w:t>
            </w:r>
            <w:r>
              <w:rPr>
                <w:rFonts w:hint="eastAsia"/>
                <w:bCs/>
                <w:lang w:eastAsia="zh-CN"/>
              </w:rPr>
              <w:t>门诊医技楼</w:t>
            </w:r>
            <w:r>
              <w:rPr>
                <w:bCs/>
              </w:rPr>
              <w:t>楼顶（远离保护目标）的风机房内。本项目通排风系统拟采用低噪声风机，风机工作时噪声源强最大为65dB(A)，通过使用低噪声设备、安装消音器、基础减振等措施，加上建筑物墙体的隔声作用及医院</w:t>
            </w:r>
            <w:r>
              <w:rPr>
                <w:bCs/>
                <w:lang w:bidi="ar"/>
              </w:rPr>
              <w:t>场址内的距离衰减，噪声较小，对周围声环境影响较小。</w:t>
            </w:r>
          </w:p>
        </w:tc>
      </w:tr>
      <w:tr w14:paraId="7E80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6037AF8">
            <w:pPr>
              <w:rPr>
                <w:rFonts w:eastAsia="黑体"/>
              </w:rPr>
            </w:pPr>
            <w:r>
              <w:rPr>
                <w:rFonts w:eastAsia="黑体"/>
              </w:rPr>
              <w:t>辐射事故影响分析</w:t>
            </w:r>
          </w:p>
          <w:p w14:paraId="4E9140CD">
            <w:pPr>
              <w:rPr>
                <w:rFonts w:eastAsia="黑体"/>
              </w:rPr>
            </w:pPr>
            <w:r>
              <w:rPr>
                <w:rFonts w:eastAsia="黑体"/>
              </w:rPr>
              <w:t>一、事故等级判断依据</w:t>
            </w:r>
          </w:p>
          <w:p w14:paraId="356FE7F8">
            <w:pPr>
              <w:ind w:firstLine="480"/>
            </w:pPr>
            <w:r>
              <w:t>依据《放射性同位素与射线装置安全和防护条例》（国务院令第449号）和《四川省生态环境厅（四川省核安全管理局）辐射事故应急预案（202</w:t>
            </w:r>
            <w:r>
              <w:rPr>
                <w:rFonts w:hint="eastAsia"/>
                <w:lang w:val="en-US" w:eastAsia="zh-CN"/>
              </w:rPr>
              <w:t>5</w:t>
            </w:r>
            <w:r>
              <w:t>年版）》，根据辐射事故的性质、严重程度、可控性和影响范围等因素，从重到轻将辐射事故分为特别重大辐射事故（Ⅰ级）、重大辐射事故（Ⅱ级）、较大辐射事故（Ⅲ级）和一般辐射事故（Ⅳ级）等四级，详见表11-</w:t>
            </w:r>
            <w:r>
              <w:rPr>
                <w:rFonts w:hint="eastAsia"/>
                <w:lang w:val="en-US" w:eastAsia="zh-CN"/>
              </w:rPr>
              <w:t>22</w:t>
            </w:r>
            <w:r>
              <w:t>。</w:t>
            </w:r>
          </w:p>
          <w:p w14:paraId="2122D35D">
            <w:pPr>
              <w:widowControl/>
              <w:spacing w:before="163" w:line="240" w:lineRule="auto"/>
              <w:jc w:val="center"/>
              <w:rPr>
                <w:rFonts w:eastAsia="黑体"/>
                <w:bCs/>
                <w:sz w:val="21"/>
                <w:szCs w:val="21"/>
              </w:rPr>
            </w:pPr>
            <w:r>
              <w:rPr>
                <w:rFonts w:eastAsia="黑体"/>
                <w:bCs/>
                <w:sz w:val="21"/>
                <w:szCs w:val="21"/>
              </w:rPr>
              <w:t>表11-</w:t>
            </w:r>
            <w:r>
              <w:rPr>
                <w:rFonts w:hint="eastAsia" w:eastAsia="黑体"/>
                <w:bCs/>
                <w:sz w:val="21"/>
                <w:szCs w:val="21"/>
                <w:lang w:val="en-US" w:eastAsia="zh-CN"/>
              </w:rPr>
              <w:t>22</w:t>
            </w:r>
            <w:r>
              <w:rPr>
                <w:rFonts w:eastAsia="黑体"/>
                <w:bCs/>
                <w:sz w:val="21"/>
                <w:szCs w:val="21"/>
              </w:rPr>
              <w:t xml:space="preserve">  辐射事故等级划分表</w:t>
            </w:r>
          </w:p>
          <w:tbl>
            <w:tblPr>
              <w:tblStyle w:val="57"/>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6878"/>
            </w:tblGrid>
            <w:tr w14:paraId="2BD053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vAlign w:val="center"/>
                </w:tcPr>
                <w:p w14:paraId="50134816">
                  <w:pPr>
                    <w:spacing w:line="360" w:lineRule="exact"/>
                    <w:jc w:val="center"/>
                    <w:rPr>
                      <w:sz w:val="21"/>
                      <w:szCs w:val="21"/>
                    </w:rPr>
                  </w:pPr>
                  <w:r>
                    <w:rPr>
                      <w:sz w:val="21"/>
                      <w:szCs w:val="21"/>
                    </w:rPr>
                    <w:t>事故等级</w:t>
                  </w:r>
                </w:p>
              </w:tc>
              <w:tc>
                <w:tcPr>
                  <w:tcW w:w="4075" w:type="pct"/>
                  <w:vAlign w:val="center"/>
                </w:tcPr>
                <w:p w14:paraId="0EC161C4">
                  <w:pPr>
                    <w:spacing w:line="360" w:lineRule="exact"/>
                    <w:jc w:val="center"/>
                    <w:rPr>
                      <w:sz w:val="21"/>
                      <w:szCs w:val="21"/>
                    </w:rPr>
                  </w:pPr>
                  <w:r>
                    <w:rPr>
                      <w:sz w:val="21"/>
                      <w:szCs w:val="21"/>
                    </w:rPr>
                    <w:t>危害结果</w:t>
                  </w:r>
                </w:p>
              </w:tc>
            </w:tr>
            <w:tr w14:paraId="17B62F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vAlign w:val="center"/>
                </w:tcPr>
                <w:p w14:paraId="7225F107">
                  <w:pPr>
                    <w:spacing w:line="360" w:lineRule="exact"/>
                    <w:jc w:val="center"/>
                    <w:rPr>
                      <w:sz w:val="21"/>
                      <w:szCs w:val="21"/>
                    </w:rPr>
                  </w:pPr>
                  <w:r>
                    <w:rPr>
                      <w:sz w:val="21"/>
                      <w:szCs w:val="21"/>
                    </w:rPr>
                    <w:t>特别重大辐射事故（Ⅰ级）</w:t>
                  </w:r>
                </w:p>
              </w:tc>
              <w:tc>
                <w:tcPr>
                  <w:tcW w:w="4075" w:type="pct"/>
                  <w:vAlign w:val="center"/>
                </w:tcPr>
                <w:p w14:paraId="349C7EB2">
                  <w:pPr>
                    <w:spacing w:line="360" w:lineRule="exact"/>
                    <w:rPr>
                      <w:sz w:val="21"/>
                      <w:szCs w:val="21"/>
                    </w:rPr>
                  </w:pPr>
                  <w:r>
                    <w:rPr>
                      <w:sz w:val="21"/>
                      <w:szCs w:val="21"/>
                    </w:rPr>
                    <w:t>①Ⅰ、Ⅱ类放射源丢失、被盗、失控并造成大范围严重辐射污染后果；</w:t>
                  </w:r>
                </w:p>
                <w:p w14:paraId="72B554E4">
                  <w:pPr>
                    <w:spacing w:line="360" w:lineRule="exact"/>
                    <w:rPr>
                      <w:sz w:val="21"/>
                      <w:szCs w:val="21"/>
                    </w:rPr>
                  </w:pPr>
                  <w:r>
                    <w:rPr>
                      <w:sz w:val="21"/>
                      <w:szCs w:val="21"/>
                    </w:rPr>
                    <w:t>②放射性同位素和射线装置失控导致3人及以上急性死亡；</w:t>
                  </w:r>
                </w:p>
                <w:p w14:paraId="3186B40D">
                  <w:pPr>
                    <w:spacing w:line="360" w:lineRule="exact"/>
                    <w:rPr>
                      <w:sz w:val="21"/>
                      <w:szCs w:val="21"/>
                    </w:rPr>
                  </w:pPr>
                  <w:r>
                    <w:rPr>
                      <w:sz w:val="21"/>
                      <w:szCs w:val="21"/>
                    </w:rPr>
                    <w:t>③放射性物质泄漏，造成大范围环境辐射污染后果。</w:t>
                  </w:r>
                </w:p>
              </w:tc>
            </w:tr>
            <w:tr w14:paraId="069370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vAlign w:val="center"/>
                </w:tcPr>
                <w:p w14:paraId="43385892">
                  <w:pPr>
                    <w:spacing w:line="360" w:lineRule="exact"/>
                    <w:jc w:val="center"/>
                    <w:rPr>
                      <w:sz w:val="21"/>
                      <w:szCs w:val="21"/>
                    </w:rPr>
                  </w:pPr>
                  <w:r>
                    <w:rPr>
                      <w:sz w:val="21"/>
                      <w:szCs w:val="21"/>
                    </w:rPr>
                    <w:t>重大辐射事故（Ⅱ级）</w:t>
                  </w:r>
                </w:p>
              </w:tc>
              <w:tc>
                <w:tcPr>
                  <w:tcW w:w="4075" w:type="pct"/>
                  <w:vAlign w:val="center"/>
                </w:tcPr>
                <w:p w14:paraId="63AAB81F">
                  <w:pPr>
                    <w:spacing w:line="360" w:lineRule="exact"/>
                    <w:jc w:val="left"/>
                    <w:rPr>
                      <w:sz w:val="21"/>
                      <w:szCs w:val="21"/>
                    </w:rPr>
                  </w:pPr>
                  <w:r>
                    <w:rPr>
                      <w:sz w:val="21"/>
                      <w:szCs w:val="21"/>
                    </w:rPr>
                    <w:t>①Ⅰ、Ⅱ类放射源丢失、被盗、失控；</w:t>
                  </w:r>
                </w:p>
                <w:p w14:paraId="27666A5C">
                  <w:pPr>
                    <w:spacing w:line="360" w:lineRule="exact"/>
                    <w:jc w:val="left"/>
                    <w:rPr>
                      <w:sz w:val="21"/>
                      <w:szCs w:val="21"/>
                    </w:rPr>
                  </w:pPr>
                  <w:r>
                    <w:rPr>
                      <w:sz w:val="21"/>
                      <w:szCs w:val="21"/>
                    </w:rPr>
                    <w:t>②放射性同位素和射线装置失控导致3人以下急性死亡或者10人及以上急性重度放射病、局部器官残疾；</w:t>
                  </w:r>
                </w:p>
                <w:p w14:paraId="1F0B10E2">
                  <w:pPr>
                    <w:spacing w:line="360" w:lineRule="exact"/>
                    <w:jc w:val="left"/>
                    <w:rPr>
                      <w:sz w:val="21"/>
                      <w:szCs w:val="21"/>
                    </w:rPr>
                  </w:pPr>
                  <w:r>
                    <w:rPr>
                      <w:sz w:val="21"/>
                      <w:szCs w:val="21"/>
                    </w:rPr>
                    <w:t>③放射性物质泄漏，造成较大范围环境辐射污染后果。</w:t>
                  </w:r>
                </w:p>
              </w:tc>
            </w:tr>
            <w:tr w14:paraId="33ED91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vAlign w:val="center"/>
                </w:tcPr>
                <w:p w14:paraId="6143C338">
                  <w:pPr>
                    <w:spacing w:line="360" w:lineRule="exact"/>
                    <w:jc w:val="center"/>
                    <w:rPr>
                      <w:sz w:val="21"/>
                      <w:szCs w:val="21"/>
                    </w:rPr>
                  </w:pPr>
                  <w:r>
                    <w:rPr>
                      <w:sz w:val="21"/>
                      <w:szCs w:val="21"/>
                    </w:rPr>
                    <w:t>较大辐射事故（Ⅲ级）</w:t>
                  </w:r>
                </w:p>
              </w:tc>
              <w:tc>
                <w:tcPr>
                  <w:tcW w:w="4075" w:type="pct"/>
                  <w:vAlign w:val="center"/>
                </w:tcPr>
                <w:p w14:paraId="7FA516C1">
                  <w:pPr>
                    <w:spacing w:line="360" w:lineRule="exact"/>
                    <w:jc w:val="left"/>
                    <w:rPr>
                      <w:sz w:val="21"/>
                      <w:szCs w:val="21"/>
                    </w:rPr>
                  </w:pPr>
                  <w:r>
                    <w:rPr>
                      <w:sz w:val="21"/>
                      <w:szCs w:val="21"/>
                    </w:rPr>
                    <w:t>①III类放射源丢失、被盗；放射性同位素和射线装置失控导致9人及以下急性重度放射病、局部器官残疾的；</w:t>
                  </w:r>
                </w:p>
                <w:p w14:paraId="7B66DB07">
                  <w:pPr>
                    <w:spacing w:line="360" w:lineRule="exact"/>
                    <w:jc w:val="left"/>
                    <w:rPr>
                      <w:sz w:val="21"/>
                      <w:szCs w:val="21"/>
                    </w:rPr>
                  </w:pPr>
                  <w:r>
                    <w:rPr>
                      <w:sz w:val="21"/>
                      <w:szCs w:val="21"/>
                    </w:rPr>
                    <w:t>②放射性物质泄漏，造成小范围环境辐射污染后果。</w:t>
                  </w:r>
                </w:p>
              </w:tc>
            </w:tr>
            <w:tr w14:paraId="59D4B4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vAlign w:val="center"/>
                </w:tcPr>
                <w:p w14:paraId="3BF5D1B9">
                  <w:pPr>
                    <w:spacing w:line="360" w:lineRule="exact"/>
                    <w:jc w:val="center"/>
                    <w:rPr>
                      <w:sz w:val="21"/>
                      <w:szCs w:val="21"/>
                    </w:rPr>
                  </w:pPr>
                  <w:r>
                    <w:rPr>
                      <w:sz w:val="21"/>
                      <w:szCs w:val="21"/>
                    </w:rPr>
                    <w:t>一般辐射事故（Ⅳ级）</w:t>
                  </w:r>
                </w:p>
              </w:tc>
              <w:tc>
                <w:tcPr>
                  <w:tcW w:w="4075" w:type="pct"/>
                  <w:vAlign w:val="center"/>
                </w:tcPr>
                <w:p w14:paraId="607B7794">
                  <w:pPr>
                    <w:spacing w:line="360" w:lineRule="exact"/>
                    <w:jc w:val="left"/>
                    <w:rPr>
                      <w:sz w:val="21"/>
                      <w:szCs w:val="21"/>
                    </w:rPr>
                  </w:pPr>
                  <w:r>
                    <w:rPr>
                      <w:sz w:val="21"/>
                      <w:szCs w:val="21"/>
                    </w:rPr>
                    <w:t>①Ⅳ、V类放射源丢失、被盗、失控；</w:t>
                  </w:r>
                </w:p>
                <w:p w14:paraId="7BA74CA4">
                  <w:pPr>
                    <w:spacing w:line="360" w:lineRule="exact"/>
                    <w:jc w:val="left"/>
                    <w:rPr>
                      <w:sz w:val="21"/>
                      <w:szCs w:val="21"/>
                    </w:rPr>
                  </w:pPr>
                  <w:r>
                    <w:rPr>
                      <w:sz w:val="21"/>
                      <w:szCs w:val="21"/>
                    </w:rPr>
                    <w:t>②放射性同位素和射线装置失控导致人员受到超过年剂量限值的照射；</w:t>
                  </w:r>
                </w:p>
                <w:p w14:paraId="5C3434A6">
                  <w:pPr>
                    <w:spacing w:line="360" w:lineRule="exact"/>
                    <w:jc w:val="left"/>
                    <w:rPr>
                      <w:sz w:val="21"/>
                      <w:szCs w:val="21"/>
                    </w:rPr>
                  </w:pPr>
                  <w:r>
                    <w:rPr>
                      <w:sz w:val="21"/>
                      <w:szCs w:val="21"/>
                    </w:rPr>
                    <w:t>③放射性物质泄漏或超标排放，造成局部环境辐射污染后果。</w:t>
                  </w:r>
                </w:p>
              </w:tc>
            </w:tr>
          </w:tbl>
          <w:p w14:paraId="502D9BCC">
            <w:pPr>
              <w:ind w:firstLine="480"/>
              <w:rPr>
                <w:bCs/>
              </w:rPr>
            </w:pPr>
            <w:r>
              <w:rPr>
                <w:bCs/>
              </w:rPr>
              <w:t>同时根据《职业性外照射急性放射病诊断》（GBZ104-2017），急性放射病发生参考剂量见表11-</w:t>
            </w:r>
            <w:r>
              <w:rPr>
                <w:rFonts w:hint="eastAsia"/>
                <w:bCs/>
                <w:lang w:val="en-US" w:eastAsia="zh-CN"/>
              </w:rPr>
              <w:t>23</w:t>
            </w:r>
            <w:r>
              <w:rPr>
                <w:bCs/>
              </w:rPr>
              <w:t>。</w:t>
            </w:r>
          </w:p>
          <w:p w14:paraId="00BEC7B1">
            <w:pPr>
              <w:widowControl/>
              <w:spacing w:before="163" w:line="240" w:lineRule="auto"/>
              <w:jc w:val="center"/>
              <w:rPr>
                <w:rFonts w:eastAsia="黑体"/>
                <w:bCs/>
                <w:sz w:val="21"/>
                <w:szCs w:val="21"/>
              </w:rPr>
            </w:pPr>
            <w:r>
              <w:rPr>
                <w:rFonts w:eastAsia="黑体"/>
                <w:bCs/>
                <w:sz w:val="21"/>
                <w:szCs w:val="21"/>
              </w:rPr>
              <w:t>表11</w:t>
            </w:r>
            <w:r>
              <w:rPr>
                <w:rFonts w:hint="eastAsia" w:eastAsia="黑体"/>
                <w:bCs/>
                <w:sz w:val="21"/>
                <w:szCs w:val="21"/>
              </w:rPr>
              <w:t>-</w:t>
            </w:r>
            <w:r>
              <w:rPr>
                <w:rFonts w:hint="eastAsia" w:eastAsia="黑体"/>
                <w:bCs/>
                <w:sz w:val="21"/>
                <w:szCs w:val="21"/>
                <w:lang w:val="en-US" w:eastAsia="zh-CN"/>
              </w:rPr>
              <w:t>23</w:t>
            </w:r>
            <w:r>
              <w:rPr>
                <w:rFonts w:eastAsia="黑体"/>
                <w:bCs/>
                <w:sz w:val="21"/>
                <w:szCs w:val="21"/>
              </w:rPr>
              <w:t xml:space="preserve">  急性放射病初期临床反应及受照剂量范围参考值</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59"/>
              <w:gridCol w:w="2412"/>
              <w:gridCol w:w="2970"/>
            </w:tblGrid>
            <w:tr w14:paraId="01AAF4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12" w:type="pct"/>
                  <w:vAlign w:val="center"/>
                </w:tcPr>
                <w:p w14:paraId="31FF77F7">
                  <w:pPr>
                    <w:spacing w:line="360" w:lineRule="exact"/>
                    <w:jc w:val="center"/>
                    <w:rPr>
                      <w:sz w:val="21"/>
                      <w:szCs w:val="21"/>
                    </w:rPr>
                  </w:pPr>
                  <w:r>
                    <w:rPr>
                      <w:sz w:val="21"/>
                      <w:szCs w:val="21"/>
                    </w:rPr>
                    <w:t>急性放射病</w:t>
                  </w:r>
                </w:p>
              </w:tc>
              <w:tc>
                <w:tcPr>
                  <w:tcW w:w="1429" w:type="pct"/>
                  <w:vAlign w:val="center"/>
                </w:tcPr>
                <w:p w14:paraId="30AA0E15">
                  <w:pPr>
                    <w:spacing w:line="360" w:lineRule="exact"/>
                    <w:jc w:val="center"/>
                    <w:rPr>
                      <w:sz w:val="21"/>
                      <w:szCs w:val="21"/>
                    </w:rPr>
                  </w:pPr>
                  <w:r>
                    <w:rPr>
                      <w:sz w:val="21"/>
                      <w:szCs w:val="21"/>
                    </w:rPr>
                    <w:t>分度</w:t>
                  </w:r>
                </w:p>
              </w:tc>
              <w:tc>
                <w:tcPr>
                  <w:tcW w:w="1759" w:type="pct"/>
                  <w:vAlign w:val="center"/>
                </w:tcPr>
                <w:p w14:paraId="06EB0852">
                  <w:pPr>
                    <w:spacing w:line="360" w:lineRule="exact"/>
                    <w:jc w:val="center"/>
                    <w:rPr>
                      <w:sz w:val="21"/>
                      <w:szCs w:val="21"/>
                    </w:rPr>
                  </w:pPr>
                  <w:r>
                    <w:rPr>
                      <w:sz w:val="21"/>
                      <w:szCs w:val="21"/>
                    </w:rPr>
                    <w:t>受照剂量范围参考值</w:t>
                  </w:r>
                </w:p>
              </w:tc>
            </w:tr>
            <w:tr w14:paraId="59AA8F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12" w:type="pct"/>
                  <w:vMerge w:val="restart"/>
                  <w:vAlign w:val="center"/>
                </w:tcPr>
                <w:p w14:paraId="16846849">
                  <w:pPr>
                    <w:spacing w:line="360" w:lineRule="exact"/>
                    <w:jc w:val="center"/>
                    <w:rPr>
                      <w:sz w:val="21"/>
                      <w:szCs w:val="21"/>
                    </w:rPr>
                  </w:pPr>
                  <w:r>
                    <w:rPr>
                      <w:sz w:val="21"/>
                      <w:szCs w:val="21"/>
                    </w:rPr>
                    <w:t>骨髓型急性放射病</w:t>
                  </w:r>
                </w:p>
              </w:tc>
              <w:tc>
                <w:tcPr>
                  <w:tcW w:w="1429" w:type="pct"/>
                  <w:vAlign w:val="center"/>
                </w:tcPr>
                <w:p w14:paraId="70A16B5C">
                  <w:pPr>
                    <w:spacing w:line="360" w:lineRule="exact"/>
                    <w:jc w:val="center"/>
                    <w:rPr>
                      <w:sz w:val="21"/>
                      <w:szCs w:val="21"/>
                    </w:rPr>
                  </w:pPr>
                  <w:r>
                    <w:rPr>
                      <w:sz w:val="21"/>
                      <w:szCs w:val="21"/>
                    </w:rPr>
                    <w:t>轻度</w:t>
                  </w:r>
                </w:p>
              </w:tc>
              <w:tc>
                <w:tcPr>
                  <w:tcW w:w="1759" w:type="pct"/>
                  <w:vAlign w:val="center"/>
                </w:tcPr>
                <w:p w14:paraId="7BA08F68">
                  <w:pPr>
                    <w:spacing w:line="360" w:lineRule="exact"/>
                    <w:jc w:val="center"/>
                    <w:rPr>
                      <w:sz w:val="21"/>
                      <w:szCs w:val="21"/>
                    </w:rPr>
                  </w:pPr>
                  <w:r>
                    <w:rPr>
                      <w:sz w:val="21"/>
                      <w:szCs w:val="21"/>
                    </w:rPr>
                    <w:t>1.0Gy~2.0Gy</w:t>
                  </w:r>
                </w:p>
              </w:tc>
            </w:tr>
            <w:tr w14:paraId="6C8032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7F4D322B">
                  <w:pPr>
                    <w:spacing w:line="360" w:lineRule="exact"/>
                    <w:jc w:val="center"/>
                    <w:rPr>
                      <w:sz w:val="21"/>
                      <w:szCs w:val="21"/>
                    </w:rPr>
                  </w:pPr>
                </w:p>
              </w:tc>
              <w:tc>
                <w:tcPr>
                  <w:tcW w:w="1429" w:type="pct"/>
                  <w:vAlign w:val="center"/>
                </w:tcPr>
                <w:p w14:paraId="4F8A9933">
                  <w:pPr>
                    <w:spacing w:line="360" w:lineRule="exact"/>
                    <w:jc w:val="center"/>
                    <w:rPr>
                      <w:sz w:val="21"/>
                      <w:szCs w:val="21"/>
                    </w:rPr>
                  </w:pPr>
                  <w:r>
                    <w:rPr>
                      <w:sz w:val="21"/>
                      <w:szCs w:val="21"/>
                    </w:rPr>
                    <w:t>中度</w:t>
                  </w:r>
                </w:p>
              </w:tc>
              <w:tc>
                <w:tcPr>
                  <w:tcW w:w="1759" w:type="pct"/>
                  <w:vAlign w:val="center"/>
                </w:tcPr>
                <w:p w14:paraId="132423DB">
                  <w:pPr>
                    <w:spacing w:line="360" w:lineRule="exact"/>
                    <w:jc w:val="center"/>
                    <w:rPr>
                      <w:sz w:val="21"/>
                      <w:szCs w:val="21"/>
                    </w:rPr>
                  </w:pPr>
                  <w:r>
                    <w:rPr>
                      <w:sz w:val="21"/>
                      <w:szCs w:val="21"/>
                    </w:rPr>
                    <w:t>2.0Gy~4.0Gy</w:t>
                  </w:r>
                </w:p>
              </w:tc>
            </w:tr>
            <w:tr w14:paraId="4206D4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0D1927A1">
                  <w:pPr>
                    <w:spacing w:line="360" w:lineRule="exact"/>
                    <w:jc w:val="center"/>
                    <w:rPr>
                      <w:sz w:val="21"/>
                      <w:szCs w:val="21"/>
                    </w:rPr>
                  </w:pPr>
                </w:p>
              </w:tc>
              <w:tc>
                <w:tcPr>
                  <w:tcW w:w="1429" w:type="pct"/>
                  <w:vAlign w:val="center"/>
                </w:tcPr>
                <w:p w14:paraId="1911F91F">
                  <w:pPr>
                    <w:spacing w:line="360" w:lineRule="exact"/>
                    <w:jc w:val="center"/>
                    <w:rPr>
                      <w:sz w:val="21"/>
                      <w:szCs w:val="21"/>
                    </w:rPr>
                  </w:pPr>
                  <w:r>
                    <w:rPr>
                      <w:sz w:val="21"/>
                      <w:szCs w:val="21"/>
                    </w:rPr>
                    <w:t>重度</w:t>
                  </w:r>
                </w:p>
              </w:tc>
              <w:tc>
                <w:tcPr>
                  <w:tcW w:w="1759" w:type="pct"/>
                  <w:vAlign w:val="center"/>
                </w:tcPr>
                <w:p w14:paraId="618EE57D">
                  <w:pPr>
                    <w:spacing w:line="360" w:lineRule="exact"/>
                    <w:jc w:val="center"/>
                    <w:rPr>
                      <w:sz w:val="21"/>
                      <w:szCs w:val="21"/>
                    </w:rPr>
                  </w:pPr>
                  <w:r>
                    <w:rPr>
                      <w:sz w:val="21"/>
                      <w:szCs w:val="21"/>
                    </w:rPr>
                    <w:t>4.0Gy~6.0Gy</w:t>
                  </w:r>
                </w:p>
              </w:tc>
            </w:tr>
            <w:tr w14:paraId="07BE12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1B0CBE9C">
                  <w:pPr>
                    <w:spacing w:line="360" w:lineRule="exact"/>
                    <w:jc w:val="center"/>
                    <w:rPr>
                      <w:sz w:val="21"/>
                      <w:szCs w:val="21"/>
                    </w:rPr>
                  </w:pPr>
                </w:p>
              </w:tc>
              <w:tc>
                <w:tcPr>
                  <w:tcW w:w="1429" w:type="pct"/>
                  <w:vAlign w:val="center"/>
                </w:tcPr>
                <w:p w14:paraId="52F93891">
                  <w:pPr>
                    <w:spacing w:line="360" w:lineRule="exact"/>
                    <w:jc w:val="center"/>
                    <w:rPr>
                      <w:sz w:val="21"/>
                      <w:szCs w:val="21"/>
                    </w:rPr>
                  </w:pPr>
                  <w:r>
                    <w:rPr>
                      <w:sz w:val="21"/>
                      <w:szCs w:val="21"/>
                    </w:rPr>
                    <w:t>极重度</w:t>
                  </w:r>
                </w:p>
              </w:tc>
              <w:tc>
                <w:tcPr>
                  <w:tcW w:w="1759" w:type="pct"/>
                  <w:vAlign w:val="center"/>
                </w:tcPr>
                <w:p w14:paraId="3DFC00F8">
                  <w:pPr>
                    <w:spacing w:line="360" w:lineRule="exact"/>
                    <w:jc w:val="center"/>
                    <w:rPr>
                      <w:sz w:val="21"/>
                      <w:szCs w:val="21"/>
                    </w:rPr>
                  </w:pPr>
                  <w:r>
                    <w:rPr>
                      <w:sz w:val="21"/>
                      <w:szCs w:val="21"/>
                    </w:rPr>
                    <w:t>6.0Gy~10.0Gy</w:t>
                  </w:r>
                </w:p>
              </w:tc>
            </w:tr>
            <w:tr w14:paraId="3C0C34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12" w:type="pct"/>
                  <w:vMerge w:val="restart"/>
                  <w:vAlign w:val="center"/>
                </w:tcPr>
                <w:p w14:paraId="21D1A0AB">
                  <w:pPr>
                    <w:spacing w:line="360" w:lineRule="exact"/>
                    <w:jc w:val="center"/>
                    <w:rPr>
                      <w:sz w:val="21"/>
                      <w:szCs w:val="21"/>
                    </w:rPr>
                  </w:pPr>
                  <w:r>
                    <w:rPr>
                      <w:sz w:val="21"/>
                      <w:szCs w:val="21"/>
                    </w:rPr>
                    <w:t>肠型急性放射病</w:t>
                  </w:r>
                </w:p>
              </w:tc>
              <w:tc>
                <w:tcPr>
                  <w:tcW w:w="1429" w:type="pct"/>
                  <w:vAlign w:val="center"/>
                </w:tcPr>
                <w:p w14:paraId="020D818A">
                  <w:pPr>
                    <w:spacing w:line="360" w:lineRule="exact"/>
                    <w:jc w:val="center"/>
                    <w:rPr>
                      <w:sz w:val="21"/>
                      <w:szCs w:val="21"/>
                    </w:rPr>
                  </w:pPr>
                  <w:r>
                    <w:rPr>
                      <w:sz w:val="21"/>
                      <w:szCs w:val="21"/>
                    </w:rPr>
                    <w:t>轻度</w:t>
                  </w:r>
                </w:p>
              </w:tc>
              <w:tc>
                <w:tcPr>
                  <w:tcW w:w="1759" w:type="pct"/>
                  <w:vAlign w:val="center"/>
                </w:tcPr>
                <w:p w14:paraId="5B2F2E33">
                  <w:pPr>
                    <w:spacing w:line="360" w:lineRule="exact"/>
                    <w:jc w:val="center"/>
                    <w:rPr>
                      <w:sz w:val="21"/>
                      <w:szCs w:val="21"/>
                    </w:rPr>
                  </w:pPr>
                  <w:r>
                    <w:rPr>
                      <w:sz w:val="21"/>
                      <w:szCs w:val="21"/>
                    </w:rPr>
                    <w:t>10.0Gy~20.0Gy</w:t>
                  </w:r>
                </w:p>
              </w:tc>
            </w:tr>
            <w:tr w14:paraId="29246D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3B4D624E">
                  <w:pPr>
                    <w:spacing w:line="360" w:lineRule="exact"/>
                    <w:jc w:val="center"/>
                    <w:rPr>
                      <w:sz w:val="21"/>
                      <w:szCs w:val="21"/>
                    </w:rPr>
                  </w:pPr>
                </w:p>
              </w:tc>
              <w:tc>
                <w:tcPr>
                  <w:tcW w:w="1429" w:type="pct"/>
                  <w:vAlign w:val="center"/>
                </w:tcPr>
                <w:p w14:paraId="22C1308A">
                  <w:pPr>
                    <w:spacing w:line="360" w:lineRule="exact"/>
                    <w:jc w:val="center"/>
                    <w:rPr>
                      <w:sz w:val="21"/>
                      <w:szCs w:val="21"/>
                    </w:rPr>
                  </w:pPr>
                  <w:r>
                    <w:rPr>
                      <w:sz w:val="21"/>
                      <w:szCs w:val="21"/>
                    </w:rPr>
                    <w:t>中度</w:t>
                  </w:r>
                </w:p>
              </w:tc>
              <w:tc>
                <w:tcPr>
                  <w:tcW w:w="1759" w:type="pct"/>
                  <w:vAlign w:val="center"/>
                </w:tcPr>
                <w:p w14:paraId="686FEEAE">
                  <w:pPr>
                    <w:spacing w:line="360" w:lineRule="exact"/>
                    <w:jc w:val="center"/>
                    <w:rPr>
                      <w:sz w:val="21"/>
                      <w:szCs w:val="21"/>
                    </w:rPr>
                  </w:pPr>
                  <w:r>
                    <w:rPr>
                      <w:sz w:val="21"/>
                      <w:szCs w:val="21"/>
                    </w:rPr>
                    <w:t>/</w:t>
                  </w:r>
                </w:p>
              </w:tc>
            </w:tr>
            <w:tr w14:paraId="79D4FA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757CC9EF">
                  <w:pPr>
                    <w:spacing w:line="360" w:lineRule="exact"/>
                    <w:jc w:val="center"/>
                    <w:rPr>
                      <w:sz w:val="21"/>
                      <w:szCs w:val="21"/>
                    </w:rPr>
                  </w:pPr>
                </w:p>
              </w:tc>
              <w:tc>
                <w:tcPr>
                  <w:tcW w:w="1429" w:type="pct"/>
                  <w:vAlign w:val="center"/>
                </w:tcPr>
                <w:p w14:paraId="4F5BC252">
                  <w:pPr>
                    <w:spacing w:line="360" w:lineRule="exact"/>
                    <w:jc w:val="center"/>
                    <w:rPr>
                      <w:sz w:val="21"/>
                      <w:szCs w:val="21"/>
                    </w:rPr>
                  </w:pPr>
                  <w:r>
                    <w:rPr>
                      <w:sz w:val="21"/>
                      <w:szCs w:val="21"/>
                    </w:rPr>
                    <w:t>重度</w:t>
                  </w:r>
                </w:p>
              </w:tc>
              <w:tc>
                <w:tcPr>
                  <w:tcW w:w="1759" w:type="pct"/>
                  <w:vAlign w:val="center"/>
                </w:tcPr>
                <w:p w14:paraId="0E3A9E3B">
                  <w:pPr>
                    <w:spacing w:line="360" w:lineRule="exact"/>
                    <w:jc w:val="center"/>
                    <w:rPr>
                      <w:sz w:val="21"/>
                      <w:szCs w:val="21"/>
                    </w:rPr>
                  </w:pPr>
                  <w:r>
                    <w:rPr>
                      <w:sz w:val="21"/>
                      <w:szCs w:val="21"/>
                    </w:rPr>
                    <w:t>20.0Gy~50.0Gy</w:t>
                  </w:r>
                </w:p>
              </w:tc>
            </w:tr>
            <w:tr w14:paraId="4B4B80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7A8C7C68">
                  <w:pPr>
                    <w:spacing w:line="360" w:lineRule="exact"/>
                    <w:jc w:val="center"/>
                    <w:rPr>
                      <w:sz w:val="21"/>
                      <w:szCs w:val="21"/>
                    </w:rPr>
                  </w:pPr>
                </w:p>
              </w:tc>
              <w:tc>
                <w:tcPr>
                  <w:tcW w:w="1429" w:type="pct"/>
                  <w:vAlign w:val="center"/>
                </w:tcPr>
                <w:p w14:paraId="7A8D9970">
                  <w:pPr>
                    <w:spacing w:line="360" w:lineRule="exact"/>
                    <w:jc w:val="center"/>
                    <w:rPr>
                      <w:sz w:val="21"/>
                      <w:szCs w:val="21"/>
                    </w:rPr>
                  </w:pPr>
                  <w:r>
                    <w:rPr>
                      <w:sz w:val="21"/>
                      <w:szCs w:val="21"/>
                    </w:rPr>
                    <w:t>极重度</w:t>
                  </w:r>
                </w:p>
              </w:tc>
              <w:tc>
                <w:tcPr>
                  <w:tcW w:w="1759" w:type="pct"/>
                  <w:vAlign w:val="center"/>
                </w:tcPr>
                <w:p w14:paraId="2544610A">
                  <w:pPr>
                    <w:spacing w:line="360" w:lineRule="exact"/>
                    <w:jc w:val="center"/>
                    <w:rPr>
                      <w:sz w:val="21"/>
                      <w:szCs w:val="21"/>
                    </w:rPr>
                  </w:pPr>
                  <w:r>
                    <w:rPr>
                      <w:sz w:val="21"/>
                      <w:szCs w:val="21"/>
                    </w:rPr>
                    <w:t>/</w:t>
                  </w:r>
                </w:p>
              </w:tc>
            </w:tr>
            <w:tr w14:paraId="2EFA22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12" w:type="pct"/>
                  <w:vMerge w:val="restart"/>
                  <w:vAlign w:val="center"/>
                </w:tcPr>
                <w:p w14:paraId="2A7FD82B">
                  <w:pPr>
                    <w:spacing w:line="360" w:lineRule="exact"/>
                    <w:jc w:val="center"/>
                    <w:rPr>
                      <w:sz w:val="21"/>
                      <w:szCs w:val="21"/>
                    </w:rPr>
                  </w:pPr>
                  <w:r>
                    <w:rPr>
                      <w:sz w:val="21"/>
                      <w:szCs w:val="21"/>
                    </w:rPr>
                    <w:t>脑型急性放射病</w:t>
                  </w:r>
                </w:p>
              </w:tc>
              <w:tc>
                <w:tcPr>
                  <w:tcW w:w="1429" w:type="pct"/>
                  <w:vAlign w:val="center"/>
                </w:tcPr>
                <w:p w14:paraId="0594C377">
                  <w:pPr>
                    <w:spacing w:line="360" w:lineRule="exact"/>
                    <w:jc w:val="center"/>
                    <w:rPr>
                      <w:sz w:val="21"/>
                      <w:szCs w:val="21"/>
                    </w:rPr>
                  </w:pPr>
                  <w:r>
                    <w:rPr>
                      <w:sz w:val="21"/>
                      <w:szCs w:val="21"/>
                    </w:rPr>
                    <w:t>轻度</w:t>
                  </w:r>
                </w:p>
              </w:tc>
              <w:tc>
                <w:tcPr>
                  <w:tcW w:w="1759" w:type="pct"/>
                  <w:vMerge w:val="restart"/>
                  <w:vAlign w:val="center"/>
                </w:tcPr>
                <w:p w14:paraId="371B578A">
                  <w:pPr>
                    <w:spacing w:line="360" w:lineRule="exact"/>
                    <w:jc w:val="center"/>
                    <w:rPr>
                      <w:sz w:val="21"/>
                      <w:szCs w:val="21"/>
                    </w:rPr>
                  </w:pPr>
                  <w:r>
                    <w:rPr>
                      <w:sz w:val="21"/>
                      <w:szCs w:val="21"/>
                    </w:rPr>
                    <w:t>50Gy~100Gy</w:t>
                  </w:r>
                </w:p>
              </w:tc>
            </w:tr>
            <w:tr w14:paraId="2A77FE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4D0B3CE8">
                  <w:pPr>
                    <w:spacing w:line="360" w:lineRule="exact"/>
                    <w:jc w:val="center"/>
                    <w:rPr>
                      <w:sz w:val="21"/>
                      <w:szCs w:val="21"/>
                    </w:rPr>
                  </w:pPr>
                </w:p>
              </w:tc>
              <w:tc>
                <w:tcPr>
                  <w:tcW w:w="1429" w:type="pct"/>
                  <w:vAlign w:val="center"/>
                </w:tcPr>
                <w:p w14:paraId="432C5C09">
                  <w:pPr>
                    <w:spacing w:line="360" w:lineRule="exact"/>
                    <w:jc w:val="center"/>
                    <w:rPr>
                      <w:sz w:val="21"/>
                      <w:szCs w:val="21"/>
                    </w:rPr>
                  </w:pPr>
                  <w:r>
                    <w:rPr>
                      <w:sz w:val="21"/>
                      <w:szCs w:val="21"/>
                    </w:rPr>
                    <w:t>中度</w:t>
                  </w:r>
                </w:p>
              </w:tc>
              <w:tc>
                <w:tcPr>
                  <w:tcW w:w="2912" w:type="dxa"/>
                  <w:vMerge w:val="continue"/>
                  <w:vAlign w:val="center"/>
                </w:tcPr>
                <w:p w14:paraId="17D39140">
                  <w:pPr>
                    <w:spacing w:line="360" w:lineRule="exact"/>
                    <w:jc w:val="center"/>
                    <w:rPr>
                      <w:sz w:val="21"/>
                      <w:szCs w:val="21"/>
                    </w:rPr>
                  </w:pPr>
                </w:p>
              </w:tc>
            </w:tr>
            <w:tr w14:paraId="444078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5875A016">
                  <w:pPr>
                    <w:spacing w:line="360" w:lineRule="exact"/>
                    <w:jc w:val="center"/>
                    <w:rPr>
                      <w:sz w:val="21"/>
                      <w:szCs w:val="21"/>
                    </w:rPr>
                  </w:pPr>
                </w:p>
              </w:tc>
              <w:tc>
                <w:tcPr>
                  <w:tcW w:w="1429" w:type="pct"/>
                  <w:vAlign w:val="center"/>
                </w:tcPr>
                <w:p w14:paraId="338B41A3">
                  <w:pPr>
                    <w:spacing w:line="360" w:lineRule="exact"/>
                    <w:jc w:val="center"/>
                    <w:rPr>
                      <w:sz w:val="21"/>
                      <w:szCs w:val="21"/>
                    </w:rPr>
                  </w:pPr>
                  <w:r>
                    <w:rPr>
                      <w:sz w:val="21"/>
                      <w:szCs w:val="21"/>
                    </w:rPr>
                    <w:t>重度</w:t>
                  </w:r>
                </w:p>
              </w:tc>
              <w:tc>
                <w:tcPr>
                  <w:tcW w:w="2912" w:type="dxa"/>
                  <w:vMerge w:val="continue"/>
                  <w:vAlign w:val="center"/>
                </w:tcPr>
                <w:p w14:paraId="0061D54C">
                  <w:pPr>
                    <w:spacing w:line="360" w:lineRule="exact"/>
                    <w:jc w:val="center"/>
                    <w:rPr>
                      <w:sz w:val="21"/>
                      <w:szCs w:val="21"/>
                    </w:rPr>
                  </w:pPr>
                </w:p>
              </w:tc>
            </w:tr>
            <w:tr w14:paraId="291B2C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78517567">
                  <w:pPr>
                    <w:spacing w:line="360" w:lineRule="exact"/>
                    <w:jc w:val="center"/>
                    <w:rPr>
                      <w:sz w:val="21"/>
                      <w:szCs w:val="21"/>
                    </w:rPr>
                  </w:pPr>
                </w:p>
              </w:tc>
              <w:tc>
                <w:tcPr>
                  <w:tcW w:w="1429" w:type="pct"/>
                  <w:vAlign w:val="center"/>
                </w:tcPr>
                <w:p w14:paraId="6811F650">
                  <w:pPr>
                    <w:spacing w:line="360" w:lineRule="exact"/>
                    <w:jc w:val="center"/>
                    <w:rPr>
                      <w:sz w:val="21"/>
                      <w:szCs w:val="21"/>
                    </w:rPr>
                  </w:pPr>
                  <w:r>
                    <w:rPr>
                      <w:sz w:val="21"/>
                      <w:szCs w:val="21"/>
                    </w:rPr>
                    <w:t>极重度</w:t>
                  </w:r>
                </w:p>
              </w:tc>
              <w:tc>
                <w:tcPr>
                  <w:tcW w:w="2912" w:type="dxa"/>
                  <w:vMerge w:val="continue"/>
                  <w:vAlign w:val="center"/>
                </w:tcPr>
                <w:p w14:paraId="14234BAF">
                  <w:pPr>
                    <w:spacing w:line="360" w:lineRule="exact"/>
                    <w:jc w:val="center"/>
                    <w:rPr>
                      <w:sz w:val="21"/>
                      <w:szCs w:val="21"/>
                    </w:rPr>
                  </w:pPr>
                </w:p>
              </w:tc>
            </w:tr>
            <w:tr w14:paraId="723F06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999" w:type="dxa"/>
                  <w:vMerge w:val="continue"/>
                  <w:vAlign w:val="center"/>
                </w:tcPr>
                <w:p w14:paraId="127E6002">
                  <w:pPr>
                    <w:spacing w:line="360" w:lineRule="exact"/>
                    <w:jc w:val="center"/>
                    <w:rPr>
                      <w:sz w:val="21"/>
                      <w:szCs w:val="21"/>
                    </w:rPr>
                  </w:pPr>
                </w:p>
              </w:tc>
              <w:tc>
                <w:tcPr>
                  <w:tcW w:w="1429" w:type="pct"/>
                  <w:vAlign w:val="center"/>
                </w:tcPr>
                <w:p w14:paraId="1535F9C1">
                  <w:pPr>
                    <w:spacing w:line="360" w:lineRule="exact"/>
                    <w:jc w:val="center"/>
                    <w:rPr>
                      <w:sz w:val="21"/>
                      <w:szCs w:val="21"/>
                    </w:rPr>
                  </w:pPr>
                  <w:r>
                    <w:rPr>
                      <w:sz w:val="21"/>
                      <w:szCs w:val="21"/>
                    </w:rPr>
                    <w:t>死亡</w:t>
                  </w:r>
                </w:p>
              </w:tc>
              <w:tc>
                <w:tcPr>
                  <w:tcW w:w="1759" w:type="pct"/>
                  <w:vAlign w:val="center"/>
                </w:tcPr>
                <w:p w14:paraId="52BB3076">
                  <w:pPr>
                    <w:spacing w:line="360" w:lineRule="exact"/>
                    <w:jc w:val="center"/>
                    <w:rPr>
                      <w:sz w:val="21"/>
                      <w:szCs w:val="21"/>
                    </w:rPr>
                  </w:pPr>
                  <w:r>
                    <w:rPr>
                      <w:sz w:val="21"/>
                      <w:szCs w:val="21"/>
                    </w:rPr>
                    <w:t>100Gy</w:t>
                  </w:r>
                </w:p>
              </w:tc>
            </w:tr>
          </w:tbl>
          <w:p w14:paraId="76E611C2">
            <w:pPr>
              <w:rPr>
                <w:rFonts w:eastAsia="黑体"/>
              </w:rPr>
            </w:pPr>
            <w:r>
              <w:rPr>
                <w:rFonts w:eastAsia="黑体"/>
              </w:rPr>
              <w:t>二、辐射事故类型识别</w:t>
            </w:r>
          </w:p>
          <w:p w14:paraId="7344260D">
            <w:pPr>
              <w:ind w:firstLine="482"/>
              <w:rPr>
                <w:b/>
                <w:szCs w:val="28"/>
              </w:rPr>
            </w:pPr>
            <w:r>
              <w:rPr>
                <w:b/>
                <w:szCs w:val="28"/>
              </w:rPr>
              <w:t>1、射线装置事故类型</w:t>
            </w:r>
          </w:p>
          <w:p w14:paraId="1874B431">
            <w:pPr>
              <w:ind w:firstLine="480"/>
              <w:rPr>
                <w:bCs/>
              </w:rPr>
            </w:pPr>
            <w:r>
              <w:rPr>
                <w:bCs/>
              </w:rPr>
              <w:t>本项目涉及使用的Ⅱ类射线装置为</w:t>
            </w:r>
            <w:r>
              <w:rPr>
                <w:rFonts w:hint="eastAsia"/>
                <w:bCs/>
                <w:lang w:val="en-US" w:eastAsia="zh-CN"/>
              </w:rPr>
              <w:t>DSA+CT、DSA和ERCP</w:t>
            </w:r>
            <w:r>
              <w:rPr>
                <w:bCs/>
              </w:rPr>
              <w:t>，使用的Ⅲ类射线装置为SPECT/CT、PET/CT。根据污染源分析，射线装置主要环境风险因子为X射线等，主要危害因素为射线外照射导致人员超剂量照射。对于Ⅱ类</w:t>
            </w:r>
            <w:r>
              <w:rPr>
                <w:rFonts w:hint="eastAsia"/>
                <w:bCs/>
                <w:lang w:val="en-US" w:eastAsia="zh-CN"/>
              </w:rPr>
              <w:t>/</w:t>
            </w:r>
            <w:r>
              <w:rPr>
                <w:bCs/>
              </w:rPr>
              <w:t>Ⅲ类射线装置一旦切断电源，便不会再有X射线产生。本项目射线装置可能发生的辐射事故情景如下：</w:t>
            </w:r>
          </w:p>
          <w:p w14:paraId="550F3C0C">
            <w:pPr>
              <w:ind w:firstLine="480"/>
              <w:rPr>
                <w:bCs/>
              </w:rPr>
            </w:pPr>
            <w:r>
              <w:t>①</w:t>
            </w:r>
            <w:r>
              <w:rPr>
                <w:bCs/>
              </w:rPr>
              <w:t>人员还未全部撤出机房，外面人员启动射线装置，造成辐射工作人员被误照。</w:t>
            </w:r>
          </w:p>
          <w:p w14:paraId="447F701A">
            <w:pPr>
              <w:ind w:firstLine="480"/>
              <w:rPr>
                <w:bCs/>
              </w:rPr>
            </w:pPr>
            <w:r>
              <w:t>②</w:t>
            </w:r>
            <w:r>
              <w:rPr>
                <w:bCs/>
              </w:rPr>
              <w:t>安全装置失效，人员误入正在运行的射线装置机房内，造成人员误照射。</w:t>
            </w:r>
          </w:p>
          <w:p w14:paraId="67FC63D1">
            <w:pPr>
              <w:ind w:firstLine="480"/>
              <w:rPr>
                <w:bCs/>
              </w:rPr>
            </w:pPr>
            <w:r>
              <w:t>③</w:t>
            </w:r>
            <w:r>
              <w:rPr>
                <w:bCs/>
              </w:rPr>
              <w:t>射线装置检修、维护过程，工作人员误操作或者曝光参数设置错误，造成人员被误照射。</w:t>
            </w:r>
          </w:p>
          <w:p w14:paraId="588E48FA">
            <w:pPr>
              <w:ind w:firstLine="482"/>
              <w:rPr>
                <w:b/>
                <w:szCs w:val="28"/>
              </w:rPr>
            </w:pPr>
            <w:r>
              <w:rPr>
                <w:b/>
                <w:szCs w:val="28"/>
              </w:rPr>
              <w:t>2、非密封放射性物质操作过程可能发生辐射事故类型</w:t>
            </w:r>
          </w:p>
          <w:p w14:paraId="659288EB">
            <w:pPr>
              <w:ind w:firstLine="480"/>
              <w:rPr>
                <w:bCs/>
              </w:rPr>
            </w:pPr>
            <w:r>
              <w:rPr>
                <w:bCs/>
              </w:rPr>
              <w:t>非密封放射性物质主要环境风险因子为β射线和γ射线等，主要危害因素为外照射以及吸入内照射，导致人员超剂量照射，若非密封放射性物质直接排入环境还会对环境造成一定的影响。</w:t>
            </w:r>
          </w:p>
          <w:p w14:paraId="419B8101">
            <w:pPr>
              <w:ind w:firstLine="480"/>
              <w:rPr>
                <w:bCs/>
                <w:szCs w:val="28"/>
              </w:rPr>
            </w:pPr>
            <w:r>
              <w:rPr>
                <w:szCs w:val="28"/>
              </w:rPr>
              <w:fldChar w:fldCharType="begin"/>
            </w:r>
            <w:r>
              <w:rPr>
                <w:szCs w:val="28"/>
              </w:rPr>
              <w:instrText xml:space="preserve"> = 1 \* GB3 </w:instrText>
            </w:r>
            <w:r>
              <w:rPr>
                <w:szCs w:val="28"/>
              </w:rPr>
              <w:fldChar w:fldCharType="separate"/>
            </w:r>
            <w:r>
              <w:rPr>
                <w:szCs w:val="28"/>
              </w:rPr>
              <w:t>①</w:t>
            </w:r>
            <w:r>
              <w:rPr>
                <w:szCs w:val="28"/>
              </w:rPr>
              <w:fldChar w:fldCharType="end"/>
            </w:r>
            <w:r>
              <w:rPr>
                <w:bCs/>
                <w:szCs w:val="28"/>
              </w:rPr>
              <w:t>工作人员误操作、火灾或因管理不善导致非密封放射性物质丢失被盗。</w:t>
            </w:r>
          </w:p>
          <w:p w14:paraId="05B0D0D8">
            <w:pPr>
              <w:ind w:firstLine="480"/>
              <w:rPr>
                <w:bCs/>
                <w:szCs w:val="28"/>
              </w:rPr>
            </w:pPr>
            <w:r>
              <w:rPr>
                <w:szCs w:val="28"/>
              </w:rPr>
              <w:fldChar w:fldCharType="begin"/>
            </w:r>
            <w:r>
              <w:rPr>
                <w:szCs w:val="28"/>
              </w:rPr>
              <w:instrText xml:space="preserve"> = 2 \* GB3 </w:instrText>
            </w:r>
            <w:r>
              <w:rPr>
                <w:szCs w:val="28"/>
              </w:rPr>
              <w:fldChar w:fldCharType="separate"/>
            </w:r>
            <w:r>
              <w:rPr>
                <w:szCs w:val="28"/>
              </w:rPr>
              <w:t>②</w:t>
            </w:r>
            <w:r>
              <w:rPr>
                <w:szCs w:val="28"/>
              </w:rPr>
              <w:fldChar w:fldCharType="end"/>
            </w:r>
            <w:r>
              <w:rPr>
                <w:szCs w:val="28"/>
              </w:rPr>
              <w:t>工作人员误操作</w:t>
            </w:r>
            <w:r>
              <w:rPr>
                <w:bCs/>
                <w:szCs w:val="28"/>
              </w:rPr>
              <w:t>导致放射性物质撒漏地面或造成皮肤沾染。</w:t>
            </w:r>
          </w:p>
          <w:p w14:paraId="6B489AE6">
            <w:pPr>
              <w:ind w:firstLine="480"/>
              <w:rPr>
                <w:szCs w:val="28"/>
              </w:rPr>
            </w:pPr>
            <w:r>
              <w:rPr>
                <w:szCs w:val="28"/>
              </w:rPr>
              <w:fldChar w:fldCharType="begin"/>
            </w:r>
            <w:r>
              <w:rPr>
                <w:szCs w:val="28"/>
              </w:rPr>
              <w:instrText xml:space="preserve"> = 3 \* GB3 </w:instrText>
            </w:r>
            <w:r>
              <w:rPr>
                <w:szCs w:val="28"/>
              </w:rPr>
              <w:fldChar w:fldCharType="separate"/>
            </w:r>
            <w:r>
              <w:rPr>
                <w:szCs w:val="28"/>
              </w:rPr>
              <w:t>③</w:t>
            </w:r>
            <w:r>
              <w:rPr>
                <w:szCs w:val="28"/>
              </w:rPr>
              <w:fldChar w:fldCharType="end"/>
            </w:r>
            <w:r>
              <w:rPr>
                <w:szCs w:val="28"/>
              </w:rPr>
              <w:t>热室工作项目发生泄漏或负压不足，导致放射性物质挥发至房间内，造成工作人员误照射。</w:t>
            </w:r>
          </w:p>
          <w:p w14:paraId="67F9CE95">
            <w:pPr>
              <w:rPr>
                <w:rFonts w:eastAsia="黑体"/>
              </w:rPr>
            </w:pPr>
            <w:r>
              <w:rPr>
                <w:rFonts w:eastAsia="黑体"/>
              </w:rPr>
              <w:t>三、事故后果影响分析</w:t>
            </w:r>
          </w:p>
          <w:p w14:paraId="757708D6">
            <w:pPr>
              <w:ind w:firstLine="482"/>
              <w:rPr>
                <w:b/>
                <w:szCs w:val="28"/>
              </w:rPr>
            </w:pPr>
            <w:r>
              <w:rPr>
                <w:b/>
                <w:szCs w:val="28"/>
              </w:rPr>
              <w:t>1、非法闯入或人员滞留事故后果影响分析</w:t>
            </w:r>
          </w:p>
          <w:p w14:paraId="74CC4063">
            <w:pPr>
              <w:widowControl/>
              <w:ind w:firstLine="480" w:firstLineChars="200"/>
              <w:jc w:val="left"/>
            </w:pPr>
            <w:r>
              <w:t>在上述事故情景假设条件下，</w:t>
            </w:r>
            <w:r>
              <w:rPr>
                <w:rFonts w:hint="eastAsia"/>
                <w:highlight w:val="none"/>
              </w:rPr>
              <w:t>根据式11-</w:t>
            </w:r>
            <w:r>
              <w:rPr>
                <w:rFonts w:hint="eastAsia"/>
                <w:highlight w:val="none"/>
                <w:lang w:val="en-US" w:eastAsia="zh-CN"/>
              </w:rPr>
              <w:t>11</w:t>
            </w:r>
            <w:r>
              <w:rPr>
                <w:rFonts w:hint="eastAsia"/>
              </w:rPr>
              <w:t>，在不考虑任何防护用品的情况下，被误照人员</w:t>
            </w:r>
            <w:r>
              <w:t>的受照剂量</w:t>
            </w:r>
            <w:r>
              <w:rPr>
                <w:rFonts w:hint="eastAsia"/>
              </w:rPr>
              <w:t>预测</w:t>
            </w:r>
            <w:r>
              <w:t>结果见</w:t>
            </w:r>
            <w:r>
              <w:rPr>
                <w:rFonts w:hint="eastAsia"/>
              </w:rPr>
              <w:t>下</w:t>
            </w:r>
            <w:r>
              <w:t>表。</w:t>
            </w:r>
          </w:p>
          <w:p w14:paraId="6E62414A">
            <w:pPr>
              <w:spacing w:before="163" w:beforeLines="50" w:after="163" w:afterLines="50" w:line="240" w:lineRule="auto"/>
              <w:jc w:val="center"/>
              <w:rPr>
                <w:rFonts w:eastAsia="黑体"/>
                <w:b/>
                <w:color w:val="000000"/>
              </w:rPr>
            </w:pPr>
            <w:r>
              <w:rPr>
                <w:rFonts w:eastAsia="黑体"/>
                <w:b/>
                <w:color w:val="000000"/>
              </w:rPr>
              <w:t>表11-</w:t>
            </w:r>
            <w:r>
              <w:rPr>
                <w:rFonts w:hint="eastAsia" w:eastAsia="黑体"/>
                <w:b/>
                <w:color w:val="000000"/>
                <w:lang w:val="en-US" w:eastAsia="zh-CN"/>
              </w:rPr>
              <w:t>24</w:t>
            </w:r>
            <w:r>
              <w:rPr>
                <w:rFonts w:eastAsia="黑体"/>
                <w:b/>
                <w:color w:val="000000"/>
              </w:rPr>
              <w:t xml:space="preserve">  事故情况下所受剂</w:t>
            </w:r>
            <w:r>
              <w:rPr>
                <w:rFonts w:eastAsia="黑体"/>
                <w:b/>
                <w:color w:val="000000"/>
                <w:highlight w:val="none"/>
              </w:rPr>
              <w:t>量计算结果表</w:t>
            </w:r>
          </w:p>
          <w:tbl>
            <w:tblPr>
              <w:tblStyle w:val="57"/>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1634"/>
              <w:gridCol w:w="1906"/>
              <w:gridCol w:w="1086"/>
              <w:gridCol w:w="1091"/>
              <w:gridCol w:w="1503"/>
            </w:tblGrid>
            <w:tr w14:paraId="2D81CD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0" w:type="pct"/>
                  <w:vMerge w:val="restart"/>
                  <w:noWrap w:val="0"/>
                  <w:vAlign w:val="center"/>
                </w:tcPr>
                <w:p w14:paraId="600D60B6">
                  <w:pPr>
                    <w:spacing w:line="240" w:lineRule="auto"/>
                    <w:jc w:val="center"/>
                    <w:rPr>
                      <w:rFonts w:hint="eastAsia"/>
                      <w:b/>
                      <w:bCs/>
                      <w:sz w:val="21"/>
                      <w:szCs w:val="21"/>
                    </w:rPr>
                  </w:pPr>
                  <w:r>
                    <w:rPr>
                      <w:rFonts w:hint="eastAsia"/>
                      <w:b/>
                      <w:bCs/>
                      <w:sz w:val="21"/>
                      <w:szCs w:val="21"/>
                    </w:rPr>
                    <w:t>事故情景</w:t>
                  </w:r>
                </w:p>
              </w:tc>
              <w:tc>
                <w:tcPr>
                  <w:tcW w:w="2128" w:type="pct"/>
                  <w:gridSpan w:val="2"/>
                  <w:vMerge w:val="restart"/>
                  <w:noWrap w:val="0"/>
                  <w:vAlign w:val="center"/>
                </w:tcPr>
                <w:p w14:paraId="60771E14">
                  <w:pPr>
                    <w:spacing w:line="240" w:lineRule="auto"/>
                    <w:jc w:val="center"/>
                    <w:rPr>
                      <w:b/>
                      <w:bCs/>
                      <w:sz w:val="21"/>
                      <w:szCs w:val="21"/>
                    </w:rPr>
                  </w:pPr>
                  <w:r>
                    <w:rPr>
                      <w:rFonts w:hint="eastAsia"/>
                      <w:b/>
                      <w:bCs/>
                      <w:sz w:val="21"/>
                      <w:szCs w:val="21"/>
                    </w:rPr>
                    <w:t>参数取值</w:t>
                  </w:r>
                </w:p>
              </w:tc>
              <w:tc>
                <w:tcPr>
                  <w:tcW w:w="1309" w:type="pct"/>
                  <w:gridSpan w:val="2"/>
                  <w:noWrap w:val="0"/>
                  <w:vAlign w:val="center"/>
                </w:tcPr>
                <w:p w14:paraId="086A2997">
                  <w:pPr>
                    <w:spacing w:line="240" w:lineRule="auto"/>
                    <w:jc w:val="center"/>
                    <w:rPr>
                      <w:b/>
                      <w:bCs/>
                      <w:sz w:val="21"/>
                      <w:szCs w:val="21"/>
                    </w:rPr>
                  </w:pPr>
                  <w:r>
                    <w:rPr>
                      <w:rFonts w:hint="eastAsia"/>
                      <w:b/>
                      <w:bCs/>
                      <w:sz w:val="21"/>
                      <w:szCs w:val="21"/>
                    </w:rPr>
                    <w:t>辐射</w:t>
                  </w:r>
                  <w:r>
                    <w:rPr>
                      <w:b/>
                      <w:bCs/>
                      <w:sz w:val="21"/>
                      <w:szCs w:val="21"/>
                    </w:rPr>
                    <w:t>剂量率（μSv/h）</w:t>
                  </w:r>
                </w:p>
              </w:tc>
              <w:tc>
                <w:tcPr>
                  <w:tcW w:w="903" w:type="pct"/>
                  <w:vMerge w:val="restart"/>
                  <w:noWrap w:val="0"/>
                  <w:vAlign w:val="center"/>
                </w:tcPr>
                <w:p w14:paraId="0D73916B">
                  <w:pPr>
                    <w:spacing w:line="240" w:lineRule="auto"/>
                    <w:jc w:val="center"/>
                    <w:rPr>
                      <w:b/>
                      <w:bCs/>
                      <w:sz w:val="21"/>
                      <w:szCs w:val="21"/>
                    </w:rPr>
                  </w:pPr>
                  <w:r>
                    <w:rPr>
                      <w:b/>
                      <w:bCs/>
                      <w:sz w:val="21"/>
                      <w:szCs w:val="21"/>
                    </w:rPr>
                    <w:t>受照射剂量（mSv/</w:t>
                  </w:r>
                  <w:r>
                    <w:rPr>
                      <w:rFonts w:hint="eastAsia"/>
                      <w:b/>
                      <w:bCs/>
                      <w:sz w:val="21"/>
                      <w:szCs w:val="21"/>
                    </w:rPr>
                    <w:t>次</w:t>
                  </w:r>
                  <w:r>
                    <w:rPr>
                      <w:b/>
                      <w:bCs/>
                      <w:sz w:val="21"/>
                      <w:szCs w:val="21"/>
                    </w:rPr>
                    <w:t>）</w:t>
                  </w:r>
                </w:p>
              </w:tc>
            </w:tr>
            <w:tr w14:paraId="6BE5A2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60" w:type="pct"/>
                  <w:vMerge w:val="continue"/>
                  <w:noWrap w:val="0"/>
                  <w:vAlign w:val="center"/>
                </w:tcPr>
                <w:p w14:paraId="2F9A20A2">
                  <w:pPr>
                    <w:widowControl/>
                    <w:spacing w:line="240" w:lineRule="auto"/>
                    <w:jc w:val="center"/>
                    <w:rPr>
                      <w:rFonts w:hint="eastAsia"/>
                      <w:b/>
                      <w:bCs/>
                      <w:sz w:val="21"/>
                      <w:szCs w:val="21"/>
                    </w:rPr>
                  </w:pPr>
                </w:p>
              </w:tc>
              <w:tc>
                <w:tcPr>
                  <w:tcW w:w="2128" w:type="pct"/>
                  <w:gridSpan w:val="2"/>
                  <w:vMerge w:val="continue"/>
                  <w:noWrap w:val="0"/>
                  <w:vAlign w:val="center"/>
                </w:tcPr>
                <w:p w14:paraId="47897A42">
                  <w:pPr>
                    <w:spacing w:line="240" w:lineRule="auto"/>
                    <w:jc w:val="center"/>
                    <w:rPr>
                      <w:rFonts w:hint="eastAsia"/>
                      <w:b/>
                      <w:bCs/>
                      <w:sz w:val="21"/>
                      <w:szCs w:val="21"/>
                    </w:rPr>
                  </w:pPr>
                </w:p>
              </w:tc>
              <w:tc>
                <w:tcPr>
                  <w:tcW w:w="653" w:type="pct"/>
                  <w:noWrap w:val="0"/>
                  <w:vAlign w:val="center"/>
                </w:tcPr>
                <w:p w14:paraId="1F4B35CB">
                  <w:pPr>
                    <w:spacing w:line="240" w:lineRule="auto"/>
                    <w:jc w:val="center"/>
                    <w:rPr>
                      <w:b/>
                      <w:bCs/>
                      <w:sz w:val="21"/>
                      <w:szCs w:val="21"/>
                    </w:rPr>
                  </w:pPr>
                  <w:r>
                    <w:rPr>
                      <w:rFonts w:hint="eastAsia"/>
                      <w:b/>
                      <w:bCs/>
                      <w:sz w:val="21"/>
                      <w:szCs w:val="21"/>
                    </w:rPr>
                    <w:t>散射</w:t>
                  </w:r>
                </w:p>
              </w:tc>
              <w:tc>
                <w:tcPr>
                  <w:tcW w:w="656" w:type="pct"/>
                  <w:noWrap w:val="0"/>
                  <w:vAlign w:val="center"/>
                </w:tcPr>
                <w:p w14:paraId="5BE5D246">
                  <w:pPr>
                    <w:spacing w:line="240" w:lineRule="auto"/>
                    <w:jc w:val="center"/>
                    <w:rPr>
                      <w:b/>
                      <w:bCs/>
                      <w:sz w:val="21"/>
                      <w:szCs w:val="21"/>
                    </w:rPr>
                  </w:pPr>
                  <w:r>
                    <w:rPr>
                      <w:rFonts w:hint="eastAsia"/>
                      <w:b/>
                      <w:bCs/>
                      <w:sz w:val="21"/>
                      <w:szCs w:val="21"/>
                    </w:rPr>
                    <w:t>泄漏</w:t>
                  </w:r>
                </w:p>
              </w:tc>
              <w:tc>
                <w:tcPr>
                  <w:tcW w:w="903" w:type="pct"/>
                  <w:vMerge w:val="continue"/>
                  <w:noWrap w:val="0"/>
                  <w:vAlign w:val="center"/>
                </w:tcPr>
                <w:p w14:paraId="60164B39">
                  <w:pPr>
                    <w:spacing w:line="240" w:lineRule="auto"/>
                    <w:jc w:val="center"/>
                    <w:rPr>
                      <w:b/>
                      <w:bCs/>
                      <w:sz w:val="21"/>
                      <w:szCs w:val="21"/>
                    </w:rPr>
                  </w:pPr>
                </w:p>
              </w:tc>
            </w:tr>
            <w:tr w14:paraId="732AE0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restart"/>
                  <w:noWrap w:val="0"/>
                  <w:vAlign w:val="center"/>
                </w:tcPr>
                <w:p w14:paraId="767ED97D">
                  <w:pPr>
                    <w:widowControl/>
                    <w:spacing w:line="240" w:lineRule="auto"/>
                    <w:jc w:val="center"/>
                    <w:rPr>
                      <w:rFonts w:hint="eastAsia"/>
                      <w:sz w:val="21"/>
                      <w:szCs w:val="21"/>
                    </w:rPr>
                  </w:pPr>
                  <w:r>
                    <w:rPr>
                      <w:sz w:val="21"/>
                      <w:szCs w:val="21"/>
                    </w:rPr>
                    <w:t>防护门未关闭情况下</w:t>
                  </w:r>
                  <w:r>
                    <w:rPr>
                      <w:rFonts w:hint="eastAsia"/>
                      <w:sz w:val="21"/>
                      <w:szCs w:val="21"/>
                    </w:rPr>
                    <w:t>公众误入</w:t>
                  </w:r>
                </w:p>
              </w:tc>
              <w:tc>
                <w:tcPr>
                  <w:tcW w:w="982" w:type="pct"/>
                  <w:vMerge w:val="restart"/>
                  <w:noWrap w:val="0"/>
                  <w:vAlign w:val="center"/>
                </w:tcPr>
                <w:p w14:paraId="04C6ABA7">
                  <w:pPr>
                    <w:widowControl/>
                    <w:spacing w:line="240" w:lineRule="auto"/>
                    <w:jc w:val="center"/>
                    <w:rPr>
                      <w:rFonts w:hint="eastAsia"/>
                      <w:sz w:val="21"/>
                      <w:szCs w:val="21"/>
                    </w:rPr>
                  </w:pPr>
                  <w:r>
                    <w:rPr>
                      <w:rFonts w:hint="eastAsia"/>
                      <w:sz w:val="21"/>
                      <w:szCs w:val="21"/>
                    </w:rPr>
                    <w:t>管电压85kV、管电流550mA、受照时间30s、处于漏射和散射方向</w:t>
                  </w:r>
                </w:p>
              </w:tc>
              <w:tc>
                <w:tcPr>
                  <w:tcW w:w="1146" w:type="pct"/>
                  <w:noWrap w:val="0"/>
                  <w:vAlign w:val="center"/>
                </w:tcPr>
                <w:p w14:paraId="6BAF4B28">
                  <w:pPr>
                    <w:widowControl/>
                    <w:spacing w:line="240" w:lineRule="auto"/>
                    <w:jc w:val="center"/>
                    <w:rPr>
                      <w:rFonts w:hint="eastAsia"/>
                      <w:sz w:val="21"/>
                      <w:szCs w:val="21"/>
                    </w:rPr>
                  </w:pPr>
                  <w:r>
                    <w:rPr>
                      <w:rFonts w:hint="eastAsia"/>
                      <w:sz w:val="21"/>
                      <w:szCs w:val="21"/>
                    </w:rPr>
                    <w:t>距辐射源0.3m处</w:t>
                  </w:r>
                </w:p>
              </w:tc>
              <w:tc>
                <w:tcPr>
                  <w:tcW w:w="653" w:type="pct"/>
                  <w:noWrap w:val="0"/>
                  <w:vAlign w:val="bottom"/>
                </w:tcPr>
                <w:p w14:paraId="51FF7682">
                  <w:pPr>
                    <w:widowControl/>
                    <w:spacing w:line="240" w:lineRule="auto"/>
                    <w:jc w:val="center"/>
                    <w:rPr>
                      <w:rFonts w:hint="eastAsia"/>
                      <w:sz w:val="21"/>
                      <w:szCs w:val="21"/>
                    </w:rPr>
                  </w:pPr>
                  <w:r>
                    <w:rPr>
                      <w:rFonts w:hint="eastAsia"/>
                      <w:sz w:val="21"/>
                      <w:szCs w:val="21"/>
                    </w:rPr>
                    <w:t>2.82E+06</w:t>
                  </w:r>
                </w:p>
              </w:tc>
              <w:tc>
                <w:tcPr>
                  <w:tcW w:w="656" w:type="pct"/>
                  <w:noWrap w:val="0"/>
                  <w:vAlign w:val="bottom"/>
                </w:tcPr>
                <w:p w14:paraId="765D80D9">
                  <w:pPr>
                    <w:widowControl/>
                    <w:spacing w:line="240" w:lineRule="auto"/>
                    <w:jc w:val="center"/>
                    <w:rPr>
                      <w:rFonts w:hint="eastAsia"/>
                      <w:sz w:val="21"/>
                      <w:szCs w:val="21"/>
                    </w:rPr>
                  </w:pPr>
                  <w:r>
                    <w:rPr>
                      <w:rFonts w:hint="eastAsia"/>
                      <w:sz w:val="21"/>
                      <w:szCs w:val="21"/>
                    </w:rPr>
                    <w:t>1.93E+04</w:t>
                  </w:r>
                </w:p>
              </w:tc>
              <w:tc>
                <w:tcPr>
                  <w:tcW w:w="903" w:type="pct"/>
                  <w:noWrap w:val="0"/>
                  <w:vAlign w:val="bottom"/>
                </w:tcPr>
                <w:p w14:paraId="6047938F">
                  <w:pPr>
                    <w:widowControl/>
                    <w:spacing w:line="240" w:lineRule="auto"/>
                    <w:jc w:val="center"/>
                    <w:rPr>
                      <w:rFonts w:hint="eastAsia"/>
                      <w:sz w:val="21"/>
                      <w:szCs w:val="21"/>
                    </w:rPr>
                  </w:pPr>
                  <w:r>
                    <w:rPr>
                      <w:rFonts w:hint="eastAsia"/>
                      <w:sz w:val="21"/>
                      <w:szCs w:val="21"/>
                    </w:rPr>
                    <w:t xml:space="preserve">23.66 </w:t>
                  </w:r>
                </w:p>
              </w:tc>
            </w:tr>
            <w:tr w14:paraId="77E5BC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44BE6562">
                  <w:pPr>
                    <w:widowControl/>
                    <w:spacing w:line="240" w:lineRule="auto"/>
                    <w:jc w:val="center"/>
                    <w:rPr>
                      <w:sz w:val="21"/>
                      <w:szCs w:val="21"/>
                    </w:rPr>
                  </w:pPr>
                </w:p>
              </w:tc>
              <w:tc>
                <w:tcPr>
                  <w:tcW w:w="982" w:type="pct"/>
                  <w:vMerge w:val="continue"/>
                  <w:noWrap w:val="0"/>
                  <w:vAlign w:val="center"/>
                </w:tcPr>
                <w:p w14:paraId="3C62760F">
                  <w:pPr>
                    <w:widowControl/>
                    <w:spacing w:line="240" w:lineRule="auto"/>
                    <w:jc w:val="center"/>
                    <w:rPr>
                      <w:rFonts w:hint="eastAsia"/>
                      <w:sz w:val="21"/>
                      <w:szCs w:val="21"/>
                    </w:rPr>
                  </w:pPr>
                </w:p>
              </w:tc>
              <w:tc>
                <w:tcPr>
                  <w:tcW w:w="1146" w:type="pct"/>
                  <w:noWrap w:val="0"/>
                  <w:vAlign w:val="center"/>
                </w:tcPr>
                <w:p w14:paraId="444DF937">
                  <w:pPr>
                    <w:widowControl/>
                    <w:spacing w:line="240" w:lineRule="auto"/>
                    <w:jc w:val="center"/>
                    <w:rPr>
                      <w:rFonts w:hint="eastAsia"/>
                      <w:sz w:val="21"/>
                      <w:szCs w:val="21"/>
                    </w:rPr>
                  </w:pPr>
                  <w:r>
                    <w:rPr>
                      <w:rFonts w:hint="eastAsia"/>
                      <w:sz w:val="21"/>
                      <w:szCs w:val="21"/>
                    </w:rPr>
                    <w:t>距辐射源1m处</w:t>
                  </w:r>
                </w:p>
              </w:tc>
              <w:tc>
                <w:tcPr>
                  <w:tcW w:w="653" w:type="pct"/>
                  <w:noWrap w:val="0"/>
                  <w:vAlign w:val="bottom"/>
                </w:tcPr>
                <w:p w14:paraId="744FBD07">
                  <w:pPr>
                    <w:widowControl/>
                    <w:spacing w:line="240" w:lineRule="auto"/>
                    <w:jc w:val="center"/>
                    <w:rPr>
                      <w:rFonts w:hint="eastAsia"/>
                      <w:sz w:val="21"/>
                      <w:szCs w:val="21"/>
                    </w:rPr>
                  </w:pPr>
                  <w:r>
                    <w:rPr>
                      <w:rFonts w:hint="eastAsia"/>
                      <w:sz w:val="21"/>
                      <w:szCs w:val="21"/>
                    </w:rPr>
                    <w:t>2.54E+05</w:t>
                  </w:r>
                </w:p>
              </w:tc>
              <w:tc>
                <w:tcPr>
                  <w:tcW w:w="656" w:type="pct"/>
                  <w:noWrap w:val="0"/>
                  <w:vAlign w:val="bottom"/>
                </w:tcPr>
                <w:p w14:paraId="41AF30D8">
                  <w:pPr>
                    <w:widowControl/>
                    <w:spacing w:line="240" w:lineRule="auto"/>
                    <w:jc w:val="center"/>
                    <w:rPr>
                      <w:rFonts w:hint="eastAsia"/>
                      <w:sz w:val="21"/>
                      <w:szCs w:val="21"/>
                    </w:rPr>
                  </w:pPr>
                  <w:r>
                    <w:rPr>
                      <w:rFonts w:hint="eastAsia"/>
                      <w:sz w:val="21"/>
                      <w:szCs w:val="21"/>
                    </w:rPr>
                    <w:t>1.74E+03</w:t>
                  </w:r>
                </w:p>
              </w:tc>
              <w:tc>
                <w:tcPr>
                  <w:tcW w:w="903" w:type="pct"/>
                  <w:noWrap w:val="0"/>
                  <w:vAlign w:val="bottom"/>
                </w:tcPr>
                <w:p w14:paraId="5B5F545A">
                  <w:pPr>
                    <w:widowControl/>
                    <w:spacing w:line="240" w:lineRule="auto"/>
                    <w:jc w:val="center"/>
                    <w:rPr>
                      <w:rFonts w:hint="eastAsia"/>
                      <w:sz w:val="21"/>
                      <w:szCs w:val="21"/>
                    </w:rPr>
                  </w:pPr>
                  <w:r>
                    <w:rPr>
                      <w:rFonts w:hint="eastAsia"/>
                      <w:sz w:val="21"/>
                      <w:szCs w:val="21"/>
                    </w:rPr>
                    <w:t xml:space="preserve">2.13 </w:t>
                  </w:r>
                </w:p>
              </w:tc>
            </w:tr>
            <w:tr w14:paraId="744F6F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718C5E5A">
                  <w:pPr>
                    <w:widowControl/>
                    <w:spacing w:line="240" w:lineRule="auto"/>
                    <w:jc w:val="center"/>
                    <w:rPr>
                      <w:sz w:val="21"/>
                      <w:szCs w:val="21"/>
                    </w:rPr>
                  </w:pPr>
                </w:p>
              </w:tc>
              <w:tc>
                <w:tcPr>
                  <w:tcW w:w="982" w:type="pct"/>
                  <w:vMerge w:val="continue"/>
                  <w:noWrap w:val="0"/>
                  <w:vAlign w:val="center"/>
                </w:tcPr>
                <w:p w14:paraId="19D4A8CF">
                  <w:pPr>
                    <w:widowControl/>
                    <w:spacing w:line="240" w:lineRule="auto"/>
                    <w:jc w:val="center"/>
                    <w:rPr>
                      <w:rFonts w:hint="eastAsia"/>
                      <w:sz w:val="21"/>
                      <w:szCs w:val="21"/>
                    </w:rPr>
                  </w:pPr>
                </w:p>
              </w:tc>
              <w:tc>
                <w:tcPr>
                  <w:tcW w:w="1146" w:type="pct"/>
                  <w:noWrap w:val="0"/>
                  <w:vAlign w:val="center"/>
                </w:tcPr>
                <w:p w14:paraId="415EBCC0">
                  <w:pPr>
                    <w:widowControl/>
                    <w:spacing w:line="240" w:lineRule="auto"/>
                    <w:jc w:val="center"/>
                    <w:rPr>
                      <w:rFonts w:hint="eastAsia"/>
                      <w:sz w:val="21"/>
                      <w:szCs w:val="21"/>
                    </w:rPr>
                  </w:pPr>
                  <w:r>
                    <w:rPr>
                      <w:rFonts w:hint="eastAsia"/>
                      <w:sz w:val="21"/>
                      <w:szCs w:val="21"/>
                    </w:rPr>
                    <w:t>距辐射源2m处</w:t>
                  </w:r>
                </w:p>
              </w:tc>
              <w:tc>
                <w:tcPr>
                  <w:tcW w:w="653" w:type="pct"/>
                  <w:noWrap w:val="0"/>
                  <w:vAlign w:val="bottom"/>
                </w:tcPr>
                <w:p w14:paraId="4C51D7CA">
                  <w:pPr>
                    <w:widowControl/>
                    <w:spacing w:line="240" w:lineRule="auto"/>
                    <w:jc w:val="center"/>
                    <w:rPr>
                      <w:rFonts w:hint="eastAsia"/>
                      <w:sz w:val="21"/>
                      <w:szCs w:val="21"/>
                    </w:rPr>
                  </w:pPr>
                  <w:r>
                    <w:rPr>
                      <w:rFonts w:hint="eastAsia"/>
                      <w:sz w:val="21"/>
                      <w:szCs w:val="21"/>
                    </w:rPr>
                    <w:t>6.34E+04</w:t>
                  </w:r>
                </w:p>
              </w:tc>
              <w:tc>
                <w:tcPr>
                  <w:tcW w:w="656" w:type="pct"/>
                  <w:noWrap w:val="0"/>
                  <w:vAlign w:val="bottom"/>
                </w:tcPr>
                <w:p w14:paraId="29BF77BA">
                  <w:pPr>
                    <w:widowControl/>
                    <w:spacing w:line="240" w:lineRule="auto"/>
                    <w:jc w:val="center"/>
                    <w:rPr>
                      <w:rFonts w:hint="eastAsia"/>
                      <w:sz w:val="21"/>
                      <w:szCs w:val="21"/>
                    </w:rPr>
                  </w:pPr>
                  <w:r>
                    <w:rPr>
                      <w:rFonts w:hint="eastAsia"/>
                      <w:sz w:val="21"/>
                      <w:szCs w:val="21"/>
                    </w:rPr>
                    <w:t>4.35E+02</w:t>
                  </w:r>
                </w:p>
              </w:tc>
              <w:tc>
                <w:tcPr>
                  <w:tcW w:w="903" w:type="pct"/>
                  <w:noWrap w:val="0"/>
                  <w:vAlign w:val="bottom"/>
                </w:tcPr>
                <w:p w14:paraId="7ED7AD30">
                  <w:pPr>
                    <w:widowControl/>
                    <w:spacing w:line="240" w:lineRule="auto"/>
                    <w:jc w:val="center"/>
                    <w:rPr>
                      <w:rFonts w:hint="eastAsia"/>
                      <w:sz w:val="21"/>
                      <w:szCs w:val="21"/>
                    </w:rPr>
                  </w:pPr>
                  <w:r>
                    <w:rPr>
                      <w:rFonts w:hint="eastAsia"/>
                      <w:sz w:val="21"/>
                      <w:szCs w:val="21"/>
                    </w:rPr>
                    <w:t xml:space="preserve">0.53 </w:t>
                  </w:r>
                </w:p>
              </w:tc>
            </w:tr>
            <w:tr w14:paraId="458C22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49C65354">
                  <w:pPr>
                    <w:widowControl/>
                    <w:spacing w:line="240" w:lineRule="auto"/>
                    <w:jc w:val="center"/>
                    <w:rPr>
                      <w:sz w:val="21"/>
                      <w:szCs w:val="21"/>
                    </w:rPr>
                  </w:pPr>
                </w:p>
              </w:tc>
              <w:tc>
                <w:tcPr>
                  <w:tcW w:w="982" w:type="pct"/>
                  <w:vMerge w:val="continue"/>
                  <w:noWrap w:val="0"/>
                  <w:vAlign w:val="center"/>
                </w:tcPr>
                <w:p w14:paraId="526EB5E0">
                  <w:pPr>
                    <w:widowControl/>
                    <w:spacing w:line="240" w:lineRule="auto"/>
                    <w:jc w:val="center"/>
                    <w:rPr>
                      <w:rFonts w:hint="eastAsia"/>
                      <w:sz w:val="21"/>
                      <w:szCs w:val="21"/>
                    </w:rPr>
                  </w:pPr>
                </w:p>
              </w:tc>
              <w:tc>
                <w:tcPr>
                  <w:tcW w:w="1146" w:type="pct"/>
                  <w:noWrap w:val="0"/>
                  <w:vAlign w:val="center"/>
                </w:tcPr>
                <w:p w14:paraId="21E99E47">
                  <w:pPr>
                    <w:widowControl/>
                    <w:spacing w:line="240" w:lineRule="auto"/>
                    <w:jc w:val="center"/>
                    <w:rPr>
                      <w:rFonts w:hint="eastAsia"/>
                      <w:sz w:val="21"/>
                      <w:szCs w:val="21"/>
                    </w:rPr>
                  </w:pPr>
                  <w:r>
                    <w:rPr>
                      <w:rFonts w:hint="eastAsia"/>
                      <w:sz w:val="21"/>
                      <w:szCs w:val="21"/>
                    </w:rPr>
                    <w:t>距辐射源3m处</w:t>
                  </w:r>
                </w:p>
              </w:tc>
              <w:tc>
                <w:tcPr>
                  <w:tcW w:w="653" w:type="pct"/>
                  <w:noWrap w:val="0"/>
                  <w:vAlign w:val="bottom"/>
                </w:tcPr>
                <w:p w14:paraId="3D477D49">
                  <w:pPr>
                    <w:widowControl/>
                    <w:spacing w:line="240" w:lineRule="auto"/>
                    <w:jc w:val="center"/>
                    <w:rPr>
                      <w:rFonts w:hint="eastAsia"/>
                      <w:sz w:val="21"/>
                      <w:szCs w:val="21"/>
                    </w:rPr>
                  </w:pPr>
                  <w:r>
                    <w:rPr>
                      <w:rFonts w:hint="eastAsia"/>
                      <w:sz w:val="21"/>
                      <w:szCs w:val="21"/>
                    </w:rPr>
                    <w:t>2.82E+04</w:t>
                  </w:r>
                </w:p>
              </w:tc>
              <w:tc>
                <w:tcPr>
                  <w:tcW w:w="656" w:type="pct"/>
                  <w:noWrap w:val="0"/>
                  <w:vAlign w:val="bottom"/>
                </w:tcPr>
                <w:p w14:paraId="5F6BBEFD">
                  <w:pPr>
                    <w:widowControl/>
                    <w:spacing w:line="240" w:lineRule="auto"/>
                    <w:jc w:val="center"/>
                    <w:rPr>
                      <w:rFonts w:hint="eastAsia"/>
                      <w:sz w:val="21"/>
                      <w:szCs w:val="21"/>
                    </w:rPr>
                  </w:pPr>
                  <w:r>
                    <w:rPr>
                      <w:rFonts w:hint="eastAsia"/>
                      <w:sz w:val="21"/>
                      <w:szCs w:val="21"/>
                    </w:rPr>
                    <w:t>1.93E+02</w:t>
                  </w:r>
                </w:p>
              </w:tc>
              <w:tc>
                <w:tcPr>
                  <w:tcW w:w="903" w:type="pct"/>
                  <w:noWrap w:val="0"/>
                  <w:vAlign w:val="bottom"/>
                </w:tcPr>
                <w:p w14:paraId="53253522">
                  <w:pPr>
                    <w:widowControl/>
                    <w:spacing w:line="240" w:lineRule="auto"/>
                    <w:jc w:val="center"/>
                    <w:rPr>
                      <w:rFonts w:hint="eastAsia"/>
                      <w:sz w:val="21"/>
                      <w:szCs w:val="21"/>
                    </w:rPr>
                  </w:pPr>
                  <w:r>
                    <w:rPr>
                      <w:rFonts w:hint="eastAsia"/>
                      <w:sz w:val="21"/>
                      <w:szCs w:val="21"/>
                    </w:rPr>
                    <w:t xml:space="preserve">0.24 </w:t>
                  </w:r>
                </w:p>
              </w:tc>
            </w:tr>
            <w:tr w14:paraId="258D28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06EBEEE8">
                  <w:pPr>
                    <w:widowControl/>
                    <w:spacing w:line="240" w:lineRule="auto"/>
                    <w:jc w:val="center"/>
                    <w:rPr>
                      <w:sz w:val="21"/>
                      <w:szCs w:val="21"/>
                    </w:rPr>
                  </w:pPr>
                </w:p>
              </w:tc>
              <w:tc>
                <w:tcPr>
                  <w:tcW w:w="982" w:type="pct"/>
                  <w:vMerge w:val="continue"/>
                  <w:noWrap w:val="0"/>
                  <w:vAlign w:val="center"/>
                </w:tcPr>
                <w:p w14:paraId="65F0EDCD">
                  <w:pPr>
                    <w:widowControl/>
                    <w:spacing w:line="240" w:lineRule="auto"/>
                    <w:jc w:val="center"/>
                    <w:rPr>
                      <w:rFonts w:hint="eastAsia"/>
                      <w:sz w:val="21"/>
                      <w:szCs w:val="21"/>
                    </w:rPr>
                  </w:pPr>
                </w:p>
              </w:tc>
              <w:tc>
                <w:tcPr>
                  <w:tcW w:w="1146" w:type="pct"/>
                  <w:noWrap w:val="0"/>
                  <w:vAlign w:val="center"/>
                </w:tcPr>
                <w:p w14:paraId="54D6A788">
                  <w:pPr>
                    <w:widowControl/>
                    <w:spacing w:line="240" w:lineRule="auto"/>
                    <w:jc w:val="center"/>
                    <w:rPr>
                      <w:rFonts w:hint="eastAsia"/>
                      <w:sz w:val="21"/>
                      <w:szCs w:val="21"/>
                    </w:rPr>
                  </w:pPr>
                  <w:r>
                    <w:rPr>
                      <w:rFonts w:hint="eastAsia"/>
                      <w:sz w:val="21"/>
                      <w:szCs w:val="21"/>
                    </w:rPr>
                    <w:t>距辐射源4m处</w:t>
                  </w:r>
                </w:p>
              </w:tc>
              <w:tc>
                <w:tcPr>
                  <w:tcW w:w="653" w:type="pct"/>
                  <w:noWrap w:val="0"/>
                  <w:vAlign w:val="bottom"/>
                </w:tcPr>
                <w:p w14:paraId="16FF6010">
                  <w:pPr>
                    <w:widowControl/>
                    <w:spacing w:line="240" w:lineRule="auto"/>
                    <w:jc w:val="center"/>
                    <w:rPr>
                      <w:rFonts w:hint="eastAsia"/>
                      <w:sz w:val="21"/>
                      <w:szCs w:val="21"/>
                    </w:rPr>
                  </w:pPr>
                  <w:r>
                    <w:rPr>
                      <w:rFonts w:hint="eastAsia"/>
                      <w:sz w:val="21"/>
                      <w:szCs w:val="21"/>
                    </w:rPr>
                    <w:t>1.58E+04</w:t>
                  </w:r>
                </w:p>
              </w:tc>
              <w:tc>
                <w:tcPr>
                  <w:tcW w:w="656" w:type="pct"/>
                  <w:noWrap w:val="0"/>
                  <w:vAlign w:val="bottom"/>
                </w:tcPr>
                <w:p w14:paraId="37DA7805">
                  <w:pPr>
                    <w:widowControl/>
                    <w:spacing w:line="240" w:lineRule="auto"/>
                    <w:jc w:val="center"/>
                    <w:rPr>
                      <w:rFonts w:hint="eastAsia"/>
                      <w:sz w:val="21"/>
                      <w:szCs w:val="21"/>
                    </w:rPr>
                  </w:pPr>
                  <w:r>
                    <w:rPr>
                      <w:rFonts w:hint="eastAsia"/>
                      <w:sz w:val="21"/>
                      <w:szCs w:val="21"/>
                    </w:rPr>
                    <w:t>1.09E+02</w:t>
                  </w:r>
                </w:p>
              </w:tc>
              <w:tc>
                <w:tcPr>
                  <w:tcW w:w="903" w:type="pct"/>
                  <w:noWrap w:val="0"/>
                  <w:vAlign w:val="bottom"/>
                </w:tcPr>
                <w:p w14:paraId="0B0DB283">
                  <w:pPr>
                    <w:widowControl/>
                    <w:spacing w:line="240" w:lineRule="auto"/>
                    <w:jc w:val="center"/>
                    <w:rPr>
                      <w:rFonts w:hint="eastAsia"/>
                      <w:sz w:val="21"/>
                      <w:szCs w:val="21"/>
                    </w:rPr>
                  </w:pPr>
                  <w:r>
                    <w:rPr>
                      <w:rFonts w:hint="eastAsia"/>
                      <w:sz w:val="21"/>
                      <w:szCs w:val="21"/>
                    </w:rPr>
                    <w:t xml:space="preserve">0.13 </w:t>
                  </w:r>
                </w:p>
              </w:tc>
            </w:tr>
            <w:tr w14:paraId="191515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restart"/>
                  <w:noWrap w:val="0"/>
                  <w:vAlign w:val="center"/>
                </w:tcPr>
                <w:p w14:paraId="218EAD62">
                  <w:pPr>
                    <w:widowControl/>
                    <w:spacing w:line="240" w:lineRule="auto"/>
                    <w:jc w:val="center"/>
                    <w:rPr>
                      <w:rFonts w:hint="eastAsia"/>
                      <w:sz w:val="21"/>
                      <w:szCs w:val="21"/>
                    </w:rPr>
                  </w:pPr>
                  <w:r>
                    <w:rPr>
                      <w:sz w:val="21"/>
                      <w:szCs w:val="21"/>
                    </w:rPr>
                    <w:t>医护人员未</w:t>
                  </w:r>
                  <w:r>
                    <w:rPr>
                      <w:rFonts w:hint="eastAsia"/>
                      <w:sz w:val="21"/>
                      <w:szCs w:val="21"/>
                    </w:rPr>
                    <w:t>穿戴防护用品</w:t>
                  </w:r>
                  <w:r>
                    <w:rPr>
                      <w:sz w:val="21"/>
                      <w:szCs w:val="21"/>
                    </w:rPr>
                    <w:t>进行手术操作</w:t>
                  </w:r>
                </w:p>
              </w:tc>
              <w:tc>
                <w:tcPr>
                  <w:tcW w:w="982" w:type="pct"/>
                  <w:vMerge w:val="restart"/>
                  <w:noWrap w:val="0"/>
                  <w:vAlign w:val="center"/>
                </w:tcPr>
                <w:p w14:paraId="64D16018">
                  <w:pPr>
                    <w:widowControl/>
                    <w:spacing w:line="240" w:lineRule="auto"/>
                    <w:jc w:val="center"/>
                    <w:rPr>
                      <w:rFonts w:hint="eastAsia"/>
                      <w:sz w:val="21"/>
                      <w:szCs w:val="21"/>
                    </w:rPr>
                  </w:pPr>
                  <w:r>
                    <w:rPr>
                      <w:rFonts w:hint="eastAsia"/>
                      <w:sz w:val="21"/>
                      <w:szCs w:val="21"/>
                    </w:rPr>
                    <w:t>管电压75kV、管电流12mA、受照时间15min、处于漏射和散射方向</w:t>
                  </w:r>
                </w:p>
              </w:tc>
              <w:tc>
                <w:tcPr>
                  <w:tcW w:w="1146" w:type="pct"/>
                  <w:noWrap w:val="0"/>
                  <w:vAlign w:val="center"/>
                </w:tcPr>
                <w:p w14:paraId="7BCFEF8B">
                  <w:pPr>
                    <w:widowControl/>
                    <w:spacing w:line="240" w:lineRule="auto"/>
                    <w:jc w:val="center"/>
                    <w:rPr>
                      <w:rFonts w:hint="eastAsia"/>
                      <w:sz w:val="21"/>
                      <w:szCs w:val="21"/>
                    </w:rPr>
                  </w:pPr>
                  <w:r>
                    <w:rPr>
                      <w:rFonts w:hint="eastAsia"/>
                      <w:sz w:val="21"/>
                      <w:szCs w:val="21"/>
                    </w:rPr>
                    <w:t>距辐射源0.3m处</w:t>
                  </w:r>
                </w:p>
              </w:tc>
              <w:tc>
                <w:tcPr>
                  <w:tcW w:w="653" w:type="pct"/>
                  <w:noWrap w:val="0"/>
                  <w:vAlign w:val="bottom"/>
                </w:tcPr>
                <w:p w14:paraId="0D25776F">
                  <w:pPr>
                    <w:widowControl/>
                    <w:spacing w:line="240" w:lineRule="auto"/>
                    <w:jc w:val="center"/>
                    <w:rPr>
                      <w:rFonts w:hint="eastAsia"/>
                      <w:sz w:val="21"/>
                      <w:szCs w:val="21"/>
                    </w:rPr>
                  </w:pPr>
                  <w:r>
                    <w:rPr>
                      <w:rFonts w:hint="eastAsia"/>
                      <w:sz w:val="21"/>
                      <w:szCs w:val="21"/>
                    </w:rPr>
                    <w:t>3.63E+04</w:t>
                  </w:r>
                </w:p>
              </w:tc>
              <w:tc>
                <w:tcPr>
                  <w:tcW w:w="656" w:type="pct"/>
                  <w:noWrap w:val="0"/>
                  <w:vAlign w:val="bottom"/>
                </w:tcPr>
                <w:p w14:paraId="7C355ED7">
                  <w:pPr>
                    <w:widowControl/>
                    <w:spacing w:line="240" w:lineRule="auto"/>
                    <w:jc w:val="center"/>
                    <w:rPr>
                      <w:rFonts w:hint="eastAsia"/>
                      <w:sz w:val="21"/>
                      <w:szCs w:val="21"/>
                    </w:rPr>
                  </w:pPr>
                  <w:r>
                    <w:rPr>
                      <w:rFonts w:hint="eastAsia"/>
                      <w:sz w:val="21"/>
                      <w:szCs w:val="21"/>
                    </w:rPr>
                    <w:t>1.93E+04</w:t>
                  </w:r>
                </w:p>
              </w:tc>
              <w:tc>
                <w:tcPr>
                  <w:tcW w:w="903" w:type="pct"/>
                  <w:noWrap w:val="0"/>
                  <w:vAlign w:val="bottom"/>
                </w:tcPr>
                <w:p w14:paraId="667EB02B">
                  <w:pPr>
                    <w:widowControl/>
                    <w:spacing w:line="240" w:lineRule="auto"/>
                    <w:jc w:val="center"/>
                    <w:rPr>
                      <w:rFonts w:hint="eastAsia"/>
                      <w:sz w:val="21"/>
                      <w:szCs w:val="21"/>
                    </w:rPr>
                  </w:pPr>
                  <w:r>
                    <w:rPr>
                      <w:rFonts w:hint="eastAsia"/>
                      <w:sz w:val="21"/>
                      <w:szCs w:val="21"/>
                    </w:rPr>
                    <w:t xml:space="preserve">13.90 </w:t>
                  </w:r>
                </w:p>
              </w:tc>
            </w:tr>
            <w:tr w14:paraId="77FDA8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414A4B04">
                  <w:pPr>
                    <w:widowControl/>
                    <w:spacing w:line="240" w:lineRule="auto"/>
                    <w:jc w:val="center"/>
                    <w:rPr>
                      <w:sz w:val="21"/>
                      <w:szCs w:val="21"/>
                    </w:rPr>
                  </w:pPr>
                </w:p>
              </w:tc>
              <w:tc>
                <w:tcPr>
                  <w:tcW w:w="982" w:type="pct"/>
                  <w:vMerge w:val="continue"/>
                  <w:noWrap w:val="0"/>
                  <w:vAlign w:val="center"/>
                </w:tcPr>
                <w:p w14:paraId="776A01BD">
                  <w:pPr>
                    <w:widowControl/>
                    <w:spacing w:line="240" w:lineRule="auto"/>
                    <w:jc w:val="center"/>
                    <w:rPr>
                      <w:rFonts w:hint="eastAsia"/>
                      <w:sz w:val="21"/>
                      <w:szCs w:val="21"/>
                    </w:rPr>
                  </w:pPr>
                </w:p>
              </w:tc>
              <w:tc>
                <w:tcPr>
                  <w:tcW w:w="1146" w:type="pct"/>
                  <w:noWrap w:val="0"/>
                  <w:vAlign w:val="center"/>
                </w:tcPr>
                <w:p w14:paraId="158500AE">
                  <w:pPr>
                    <w:widowControl/>
                    <w:spacing w:line="240" w:lineRule="auto"/>
                    <w:jc w:val="center"/>
                    <w:rPr>
                      <w:rFonts w:hint="eastAsia"/>
                      <w:sz w:val="21"/>
                      <w:szCs w:val="21"/>
                    </w:rPr>
                  </w:pPr>
                  <w:r>
                    <w:rPr>
                      <w:rFonts w:hint="eastAsia"/>
                      <w:sz w:val="21"/>
                      <w:szCs w:val="21"/>
                    </w:rPr>
                    <w:t>距辐射源1m处</w:t>
                  </w:r>
                </w:p>
              </w:tc>
              <w:tc>
                <w:tcPr>
                  <w:tcW w:w="653" w:type="pct"/>
                  <w:noWrap w:val="0"/>
                  <w:vAlign w:val="bottom"/>
                </w:tcPr>
                <w:p w14:paraId="7B09462A">
                  <w:pPr>
                    <w:widowControl/>
                    <w:spacing w:line="240" w:lineRule="auto"/>
                    <w:jc w:val="center"/>
                    <w:rPr>
                      <w:rFonts w:hint="eastAsia"/>
                      <w:sz w:val="21"/>
                      <w:szCs w:val="21"/>
                    </w:rPr>
                  </w:pPr>
                  <w:r>
                    <w:rPr>
                      <w:rFonts w:hint="eastAsia"/>
                      <w:sz w:val="21"/>
                      <w:szCs w:val="21"/>
                    </w:rPr>
                    <w:t>3.27E+03</w:t>
                  </w:r>
                </w:p>
              </w:tc>
              <w:tc>
                <w:tcPr>
                  <w:tcW w:w="656" w:type="pct"/>
                  <w:noWrap w:val="0"/>
                  <w:vAlign w:val="bottom"/>
                </w:tcPr>
                <w:p w14:paraId="01E9D262">
                  <w:pPr>
                    <w:widowControl/>
                    <w:spacing w:line="240" w:lineRule="auto"/>
                    <w:jc w:val="center"/>
                    <w:rPr>
                      <w:rFonts w:hint="eastAsia"/>
                      <w:sz w:val="21"/>
                      <w:szCs w:val="21"/>
                    </w:rPr>
                  </w:pPr>
                  <w:r>
                    <w:rPr>
                      <w:rFonts w:hint="eastAsia"/>
                      <w:sz w:val="21"/>
                      <w:szCs w:val="21"/>
                    </w:rPr>
                    <w:t>1.74E+03</w:t>
                  </w:r>
                </w:p>
              </w:tc>
              <w:tc>
                <w:tcPr>
                  <w:tcW w:w="903" w:type="pct"/>
                  <w:noWrap w:val="0"/>
                  <w:vAlign w:val="bottom"/>
                </w:tcPr>
                <w:p w14:paraId="3B20CD0D">
                  <w:pPr>
                    <w:widowControl/>
                    <w:spacing w:line="240" w:lineRule="auto"/>
                    <w:jc w:val="center"/>
                    <w:rPr>
                      <w:rFonts w:hint="eastAsia"/>
                      <w:sz w:val="21"/>
                      <w:szCs w:val="21"/>
                    </w:rPr>
                  </w:pPr>
                  <w:r>
                    <w:rPr>
                      <w:rFonts w:hint="eastAsia"/>
                      <w:sz w:val="21"/>
                      <w:szCs w:val="21"/>
                    </w:rPr>
                    <w:t xml:space="preserve">1.25 </w:t>
                  </w:r>
                </w:p>
              </w:tc>
            </w:tr>
            <w:tr w14:paraId="1D8989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796B246E">
                  <w:pPr>
                    <w:widowControl/>
                    <w:spacing w:line="240" w:lineRule="auto"/>
                    <w:jc w:val="center"/>
                    <w:rPr>
                      <w:sz w:val="21"/>
                      <w:szCs w:val="21"/>
                    </w:rPr>
                  </w:pPr>
                </w:p>
              </w:tc>
              <w:tc>
                <w:tcPr>
                  <w:tcW w:w="982" w:type="pct"/>
                  <w:vMerge w:val="continue"/>
                  <w:noWrap w:val="0"/>
                  <w:vAlign w:val="center"/>
                </w:tcPr>
                <w:p w14:paraId="053C00F9">
                  <w:pPr>
                    <w:widowControl/>
                    <w:spacing w:line="240" w:lineRule="auto"/>
                    <w:jc w:val="center"/>
                    <w:rPr>
                      <w:rFonts w:hint="eastAsia"/>
                      <w:sz w:val="21"/>
                      <w:szCs w:val="21"/>
                    </w:rPr>
                  </w:pPr>
                </w:p>
              </w:tc>
              <w:tc>
                <w:tcPr>
                  <w:tcW w:w="1146" w:type="pct"/>
                  <w:noWrap w:val="0"/>
                  <w:vAlign w:val="center"/>
                </w:tcPr>
                <w:p w14:paraId="553C32E1">
                  <w:pPr>
                    <w:widowControl/>
                    <w:spacing w:line="240" w:lineRule="auto"/>
                    <w:jc w:val="center"/>
                    <w:rPr>
                      <w:rFonts w:hint="eastAsia"/>
                      <w:sz w:val="21"/>
                      <w:szCs w:val="21"/>
                    </w:rPr>
                  </w:pPr>
                  <w:r>
                    <w:rPr>
                      <w:rFonts w:hint="eastAsia"/>
                      <w:sz w:val="21"/>
                      <w:szCs w:val="21"/>
                    </w:rPr>
                    <w:t>距辐射源2m处</w:t>
                  </w:r>
                </w:p>
              </w:tc>
              <w:tc>
                <w:tcPr>
                  <w:tcW w:w="653" w:type="pct"/>
                  <w:noWrap w:val="0"/>
                  <w:vAlign w:val="bottom"/>
                </w:tcPr>
                <w:p w14:paraId="05E2E4C3">
                  <w:pPr>
                    <w:widowControl/>
                    <w:spacing w:line="240" w:lineRule="auto"/>
                    <w:jc w:val="center"/>
                    <w:rPr>
                      <w:rFonts w:hint="eastAsia"/>
                      <w:sz w:val="21"/>
                      <w:szCs w:val="21"/>
                    </w:rPr>
                  </w:pPr>
                  <w:r>
                    <w:rPr>
                      <w:rFonts w:hint="eastAsia"/>
                      <w:sz w:val="21"/>
                      <w:szCs w:val="21"/>
                    </w:rPr>
                    <w:t>8.17E+02</w:t>
                  </w:r>
                </w:p>
              </w:tc>
              <w:tc>
                <w:tcPr>
                  <w:tcW w:w="656" w:type="pct"/>
                  <w:noWrap w:val="0"/>
                  <w:vAlign w:val="bottom"/>
                </w:tcPr>
                <w:p w14:paraId="76431967">
                  <w:pPr>
                    <w:widowControl/>
                    <w:spacing w:line="240" w:lineRule="auto"/>
                    <w:jc w:val="center"/>
                    <w:rPr>
                      <w:rFonts w:hint="eastAsia"/>
                      <w:sz w:val="21"/>
                      <w:szCs w:val="21"/>
                    </w:rPr>
                  </w:pPr>
                  <w:r>
                    <w:rPr>
                      <w:rFonts w:hint="eastAsia"/>
                      <w:sz w:val="21"/>
                      <w:szCs w:val="21"/>
                    </w:rPr>
                    <w:t>4.35E+02</w:t>
                  </w:r>
                </w:p>
              </w:tc>
              <w:tc>
                <w:tcPr>
                  <w:tcW w:w="903" w:type="pct"/>
                  <w:noWrap w:val="0"/>
                  <w:vAlign w:val="bottom"/>
                </w:tcPr>
                <w:p w14:paraId="7F2F1FF1">
                  <w:pPr>
                    <w:widowControl/>
                    <w:spacing w:line="240" w:lineRule="auto"/>
                    <w:jc w:val="center"/>
                    <w:rPr>
                      <w:rFonts w:hint="eastAsia"/>
                      <w:sz w:val="21"/>
                      <w:szCs w:val="21"/>
                    </w:rPr>
                  </w:pPr>
                  <w:r>
                    <w:rPr>
                      <w:rFonts w:hint="eastAsia"/>
                      <w:sz w:val="21"/>
                      <w:szCs w:val="21"/>
                    </w:rPr>
                    <w:t xml:space="preserve">0.31 </w:t>
                  </w:r>
                </w:p>
              </w:tc>
            </w:tr>
            <w:tr w14:paraId="4D198D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6FE4FAC0">
                  <w:pPr>
                    <w:widowControl/>
                    <w:spacing w:line="240" w:lineRule="auto"/>
                    <w:jc w:val="center"/>
                    <w:rPr>
                      <w:sz w:val="21"/>
                      <w:szCs w:val="21"/>
                    </w:rPr>
                  </w:pPr>
                </w:p>
              </w:tc>
              <w:tc>
                <w:tcPr>
                  <w:tcW w:w="982" w:type="pct"/>
                  <w:vMerge w:val="continue"/>
                  <w:noWrap w:val="0"/>
                  <w:vAlign w:val="center"/>
                </w:tcPr>
                <w:p w14:paraId="7121E72F">
                  <w:pPr>
                    <w:widowControl/>
                    <w:spacing w:line="240" w:lineRule="auto"/>
                    <w:jc w:val="center"/>
                    <w:rPr>
                      <w:rFonts w:hint="eastAsia"/>
                      <w:sz w:val="21"/>
                      <w:szCs w:val="21"/>
                    </w:rPr>
                  </w:pPr>
                </w:p>
              </w:tc>
              <w:tc>
                <w:tcPr>
                  <w:tcW w:w="1146" w:type="pct"/>
                  <w:noWrap w:val="0"/>
                  <w:vAlign w:val="center"/>
                </w:tcPr>
                <w:p w14:paraId="0F609B64">
                  <w:pPr>
                    <w:widowControl/>
                    <w:spacing w:line="240" w:lineRule="auto"/>
                    <w:jc w:val="center"/>
                    <w:rPr>
                      <w:rFonts w:hint="eastAsia"/>
                      <w:sz w:val="21"/>
                      <w:szCs w:val="21"/>
                    </w:rPr>
                  </w:pPr>
                  <w:r>
                    <w:rPr>
                      <w:rFonts w:hint="eastAsia"/>
                      <w:sz w:val="21"/>
                      <w:szCs w:val="21"/>
                    </w:rPr>
                    <w:t>距辐射源3m处</w:t>
                  </w:r>
                </w:p>
              </w:tc>
              <w:tc>
                <w:tcPr>
                  <w:tcW w:w="653" w:type="pct"/>
                  <w:noWrap w:val="0"/>
                  <w:vAlign w:val="bottom"/>
                </w:tcPr>
                <w:p w14:paraId="4E94A2E2">
                  <w:pPr>
                    <w:widowControl/>
                    <w:spacing w:line="240" w:lineRule="auto"/>
                    <w:jc w:val="center"/>
                    <w:rPr>
                      <w:rFonts w:hint="eastAsia"/>
                      <w:sz w:val="21"/>
                      <w:szCs w:val="21"/>
                    </w:rPr>
                  </w:pPr>
                  <w:r>
                    <w:rPr>
                      <w:rFonts w:hint="eastAsia"/>
                      <w:sz w:val="21"/>
                      <w:szCs w:val="21"/>
                    </w:rPr>
                    <w:t>3.63E+02</w:t>
                  </w:r>
                </w:p>
              </w:tc>
              <w:tc>
                <w:tcPr>
                  <w:tcW w:w="656" w:type="pct"/>
                  <w:noWrap w:val="0"/>
                  <w:vAlign w:val="bottom"/>
                </w:tcPr>
                <w:p w14:paraId="4FFF4D8F">
                  <w:pPr>
                    <w:widowControl/>
                    <w:spacing w:line="240" w:lineRule="auto"/>
                    <w:jc w:val="center"/>
                    <w:rPr>
                      <w:rFonts w:hint="eastAsia"/>
                      <w:sz w:val="21"/>
                      <w:szCs w:val="21"/>
                    </w:rPr>
                  </w:pPr>
                  <w:r>
                    <w:rPr>
                      <w:rFonts w:hint="eastAsia"/>
                      <w:sz w:val="21"/>
                      <w:szCs w:val="21"/>
                    </w:rPr>
                    <w:t>1.93E+02</w:t>
                  </w:r>
                </w:p>
              </w:tc>
              <w:tc>
                <w:tcPr>
                  <w:tcW w:w="903" w:type="pct"/>
                  <w:noWrap w:val="0"/>
                  <w:vAlign w:val="bottom"/>
                </w:tcPr>
                <w:p w14:paraId="2D830D64">
                  <w:pPr>
                    <w:widowControl/>
                    <w:spacing w:line="240" w:lineRule="auto"/>
                    <w:jc w:val="center"/>
                    <w:rPr>
                      <w:rFonts w:hint="eastAsia"/>
                      <w:sz w:val="21"/>
                      <w:szCs w:val="21"/>
                    </w:rPr>
                  </w:pPr>
                  <w:r>
                    <w:rPr>
                      <w:rFonts w:hint="eastAsia"/>
                      <w:sz w:val="21"/>
                      <w:szCs w:val="21"/>
                    </w:rPr>
                    <w:t xml:space="preserve">0.14 </w:t>
                  </w:r>
                </w:p>
              </w:tc>
            </w:tr>
            <w:tr w14:paraId="0CC6E1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60" w:type="pct"/>
                  <w:vMerge w:val="continue"/>
                  <w:noWrap w:val="0"/>
                  <w:vAlign w:val="center"/>
                </w:tcPr>
                <w:p w14:paraId="20B5A0CF">
                  <w:pPr>
                    <w:widowControl/>
                    <w:spacing w:line="240" w:lineRule="auto"/>
                    <w:jc w:val="center"/>
                    <w:rPr>
                      <w:sz w:val="21"/>
                      <w:szCs w:val="21"/>
                    </w:rPr>
                  </w:pPr>
                </w:p>
              </w:tc>
              <w:tc>
                <w:tcPr>
                  <w:tcW w:w="982" w:type="pct"/>
                  <w:vMerge w:val="continue"/>
                  <w:noWrap w:val="0"/>
                  <w:vAlign w:val="center"/>
                </w:tcPr>
                <w:p w14:paraId="03CABE2C">
                  <w:pPr>
                    <w:widowControl/>
                    <w:spacing w:line="240" w:lineRule="auto"/>
                    <w:jc w:val="center"/>
                    <w:rPr>
                      <w:rFonts w:hint="eastAsia"/>
                      <w:sz w:val="21"/>
                      <w:szCs w:val="21"/>
                    </w:rPr>
                  </w:pPr>
                </w:p>
              </w:tc>
              <w:tc>
                <w:tcPr>
                  <w:tcW w:w="1146" w:type="pct"/>
                  <w:noWrap w:val="0"/>
                  <w:vAlign w:val="center"/>
                </w:tcPr>
                <w:p w14:paraId="7D034FDA">
                  <w:pPr>
                    <w:widowControl/>
                    <w:spacing w:line="240" w:lineRule="auto"/>
                    <w:jc w:val="center"/>
                    <w:rPr>
                      <w:rFonts w:hint="eastAsia"/>
                      <w:sz w:val="21"/>
                      <w:szCs w:val="21"/>
                    </w:rPr>
                  </w:pPr>
                  <w:r>
                    <w:rPr>
                      <w:rFonts w:hint="eastAsia"/>
                      <w:sz w:val="21"/>
                      <w:szCs w:val="21"/>
                    </w:rPr>
                    <w:t>距辐射源4m处</w:t>
                  </w:r>
                </w:p>
              </w:tc>
              <w:tc>
                <w:tcPr>
                  <w:tcW w:w="653" w:type="pct"/>
                  <w:noWrap w:val="0"/>
                  <w:vAlign w:val="bottom"/>
                </w:tcPr>
                <w:p w14:paraId="1C88523D">
                  <w:pPr>
                    <w:widowControl/>
                    <w:spacing w:line="240" w:lineRule="auto"/>
                    <w:jc w:val="center"/>
                    <w:rPr>
                      <w:rFonts w:hint="eastAsia"/>
                      <w:sz w:val="21"/>
                      <w:szCs w:val="21"/>
                    </w:rPr>
                  </w:pPr>
                  <w:r>
                    <w:rPr>
                      <w:rFonts w:hint="eastAsia"/>
                      <w:sz w:val="21"/>
                      <w:szCs w:val="21"/>
                    </w:rPr>
                    <w:t>2.04E+02</w:t>
                  </w:r>
                </w:p>
              </w:tc>
              <w:tc>
                <w:tcPr>
                  <w:tcW w:w="656" w:type="pct"/>
                  <w:noWrap w:val="0"/>
                  <w:vAlign w:val="bottom"/>
                </w:tcPr>
                <w:p w14:paraId="60B0084B">
                  <w:pPr>
                    <w:widowControl/>
                    <w:spacing w:line="240" w:lineRule="auto"/>
                    <w:jc w:val="center"/>
                    <w:rPr>
                      <w:rFonts w:hint="eastAsia"/>
                      <w:sz w:val="21"/>
                      <w:szCs w:val="21"/>
                    </w:rPr>
                  </w:pPr>
                  <w:r>
                    <w:rPr>
                      <w:rFonts w:hint="eastAsia"/>
                      <w:sz w:val="21"/>
                      <w:szCs w:val="21"/>
                    </w:rPr>
                    <w:t>1.09E+02</w:t>
                  </w:r>
                </w:p>
              </w:tc>
              <w:tc>
                <w:tcPr>
                  <w:tcW w:w="903" w:type="pct"/>
                  <w:noWrap w:val="0"/>
                  <w:vAlign w:val="bottom"/>
                </w:tcPr>
                <w:p w14:paraId="0D7E7D33">
                  <w:pPr>
                    <w:widowControl/>
                    <w:spacing w:line="240" w:lineRule="auto"/>
                    <w:jc w:val="center"/>
                    <w:rPr>
                      <w:rFonts w:hint="eastAsia"/>
                      <w:sz w:val="21"/>
                      <w:szCs w:val="21"/>
                    </w:rPr>
                  </w:pPr>
                  <w:r>
                    <w:rPr>
                      <w:rFonts w:hint="eastAsia"/>
                      <w:sz w:val="21"/>
                      <w:szCs w:val="21"/>
                    </w:rPr>
                    <w:t xml:space="preserve">0.08 </w:t>
                  </w:r>
                </w:p>
              </w:tc>
            </w:tr>
          </w:tbl>
          <w:p w14:paraId="4EE271FC">
            <w:pPr>
              <w:ind w:firstLine="480" w:firstLineChars="200"/>
              <w:rPr>
                <w:bCs/>
              </w:rPr>
            </w:pPr>
            <w:r>
              <w:rPr>
                <w:bCs/>
              </w:rPr>
              <w:t>根据表11-</w:t>
            </w:r>
            <w:r>
              <w:rPr>
                <w:rFonts w:hint="eastAsia"/>
                <w:bCs/>
                <w:lang w:val="en-US" w:eastAsia="zh-CN"/>
              </w:rPr>
              <w:t>24</w:t>
            </w:r>
            <w:r>
              <w:rPr>
                <w:bCs/>
              </w:rPr>
              <w:t>，</w:t>
            </w:r>
            <w:r>
              <w:rPr>
                <w:rFonts w:hint="eastAsia"/>
              </w:rPr>
              <w:t>当公众误入</w:t>
            </w:r>
            <w:r>
              <w:rPr>
                <w:rFonts w:hint="default" w:ascii="Times New Roman" w:hAnsi="Times New Roman" w:cs="Times New Roman"/>
                <w:bCs/>
                <w:lang w:eastAsia="zh-CN"/>
              </w:rPr>
              <w:t>Ⅱ</w:t>
            </w:r>
            <w:r>
              <w:rPr>
                <w:rFonts w:hint="eastAsia"/>
                <w:bCs/>
                <w:lang w:val="en-US" w:eastAsia="zh-CN"/>
              </w:rPr>
              <w:t>类射线装置机房</w:t>
            </w:r>
            <w:r>
              <w:rPr>
                <w:rFonts w:hint="eastAsia"/>
                <w:bCs/>
              </w:rPr>
              <w:t>时距辐射源0.3m处</w:t>
            </w:r>
            <w:bookmarkStart w:id="65" w:name="OLE_LINK37"/>
            <w:r>
              <w:rPr>
                <w:bCs/>
              </w:rPr>
              <w:t>所受辐射剂量为</w:t>
            </w:r>
            <w:r>
              <w:rPr>
                <w:rFonts w:hint="eastAsia"/>
                <w:bCs/>
              </w:rPr>
              <w:t>23.66</w:t>
            </w:r>
            <w:r>
              <w:rPr>
                <w:bCs/>
              </w:rPr>
              <w:t>mSv/次</w:t>
            </w:r>
            <w:bookmarkEnd w:id="65"/>
            <w:r>
              <w:rPr>
                <w:bCs/>
              </w:rPr>
              <w:t>，超过GB18871-2002公众年受照剂量1mSv/a限值，</w:t>
            </w:r>
            <w:r>
              <w:rPr>
                <w:rFonts w:hint="eastAsia"/>
                <w:bCs/>
                <w:lang w:val="en-US" w:eastAsia="zh-CN"/>
              </w:rPr>
              <w:t>但</w:t>
            </w:r>
            <w:r>
              <w:rPr>
                <w:rFonts w:hint="eastAsia"/>
                <w:lang w:val="en-US" w:eastAsia="zh-CN"/>
              </w:rPr>
              <w:t>未</w:t>
            </w:r>
            <w:r>
              <w:rPr>
                <w:rFonts w:hint="eastAsia"/>
                <w:bCs/>
                <w:lang w:val="en-US" w:eastAsia="zh-CN"/>
              </w:rPr>
              <w:t>达到</w:t>
            </w:r>
            <w:r>
              <w:rPr>
                <w:bCs/>
              </w:rPr>
              <w:t>急性放射病受照剂量</w:t>
            </w:r>
            <w:r>
              <w:rPr>
                <w:rFonts w:hint="eastAsia"/>
                <w:bCs/>
                <w:lang w:eastAsia="zh-CN"/>
              </w:rPr>
              <w:t>，</w:t>
            </w:r>
            <w:r>
              <w:rPr>
                <w:rFonts w:hint="eastAsia"/>
                <w:bCs/>
                <w:lang w:val="en-US" w:eastAsia="zh-CN"/>
              </w:rPr>
              <w:t>属</w:t>
            </w:r>
            <w:r>
              <w:rPr>
                <w:rFonts w:hint="eastAsia"/>
                <w:bCs/>
              </w:rPr>
              <w:t>一般</w:t>
            </w:r>
            <w:r>
              <w:rPr>
                <w:bCs/>
              </w:rPr>
              <w:t>辐射事故；</w:t>
            </w:r>
            <w:r>
              <w:rPr>
                <w:rFonts w:hint="eastAsia"/>
                <w:bCs/>
              </w:rPr>
              <w:t>当</w:t>
            </w:r>
            <w:r>
              <w:rPr>
                <w:bCs/>
              </w:rPr>
              <w:t>职业人员不作防护所受辐射剂量率为</w:t>
            </w:r>
            <w:r>
              <w:rPr>
                <w:rFonts w:hint="eastAsia"/>
                <w:bCs/>
              </w:rPr>
              <w:t>13.90</w:t>
            </w:r>
            <w:r>
              <w:rPr>
                <w:bCs/>
              </w:rPr>
              <w:t>mSv/次，未超过</w:t>
            </w:r>
            <w:r>
              <w:rPr>
                <w:bCs/>
                <w:szCs w:val="28"/>
              </w:rPr>
              <w:t>GB18871-2002中职业人员任何一年中的有效剂量50mSv限值</w:t>
            </w:r>
            <w:r>
              <w:rPr>
                <w:rFonts w:hint="eastAsia"/>
                <w:bCs/>
                <w:szCs w:val="28"/>
              </w:rPr>
              <w:t>，</w:t>
            </w:r>
            <w:r>
              <w:rPr>
                <w:rFonts w:hint="eastAsia"/>
                <w:bCs/>
              </w:rPr>
              <w:t>不构成</w:t>
            </w:r>
            <w:r>
              <w:rPr>
                <w:bCs/>
              </w:rPr>
              <w:t>辐射事故。</w:t>
            </w:r>
          </w:p>
          <w:p w14:paraId="5C1729A3">
            <w:pPr>
              <w:ind w:firstLine="482"/>
              <w:rPr>
                <w:b/>
                <w:szCs w:val="28"/>
              </w:rPr>
            </w:pPr>
            <w:r>
              <w:rPr>
                <w:rFonts w:hint="eastAsia"/>
                <w:b/>
                <w:szCs w:val="28"/>
                <w:lang w:val="en-US" w:eastAsia="zh-CN"/>
              </w:rPr>
              <w:t>2</w:t>
            </w:r>
            <w:r>
              <w:rPr>
                <w:b/>
                <w:szCs w:val="28"/>
              </w:rPr>
              <w:t>、非密封放射性物质沾染事故后果影响分析</w:t>
            </w:r>
          </w:p>
          <w:p w14:paraId="7FA53D6F">
            <w:pPr>
              <w:ind w:firstLine="480"/>
            </w:pPr>
            <w:r>
              <w:t>工作人员皮肤沾染以氟-18撒漏为例，假设撒漏量为日最大操作量，手部沾染按50%计，根据《RADIONUCLIDE AND RADIATION PROTECTION DATA HANDBOOK 2002》（Published by Nuclear Technology Publishing），放射性核素溅洒到手部时，每1kBq·cm-2对皮肤造成的剂量率及事故状态下受照剂量见表11-</w:t>
            </w:r>
            <w:r>
              <w:rPr>
                <w:rFonts w:hint="eastAsia"/>
                <w:lang w:val="en-US" w:eastAsia="zh-CN"/>
              </w:rPr>
              <w:t>25</w:t>
            </w:r>
            <w:r>
              <w:t>。</w:t>
            </w:r>
          </w:p>
          <w:p w14:paraId="0132C8C2">
            <w:pPr>
              <w:widowControl/>
              <w:spacing w:before="163" w:line="240" w:lineRule="auto"/>
              <w:jc w:val="center"/>
              <w:rPr>
                <w:rFonts w:eastAsia="黑体"/>
                <w:bCs/>
                <w:sz w:val="21"/>
                <w:szCs w:val="21"/>
              </w:rPr>
            </w:pPr>
            <w:r>
              <w:rPr>
                <w:rFonts w:eastAsia="黑体"/>
                <w:bCs/>
                <w:sz w:val="21"/>
                <w:szCs w:val="21"/>
              </w:rPr>
              <w:t>表11-</w:t>
            </w:r>
            <w:r>
              <w:rPr>
                <w:rFonts w:hint="eastAsia" w:eastAsia="黑体"/>
                <w:bCs/>
                <w:sz w:val="21"/>
                <w:szCs w:val="21"/>
                <w:lang w:val="en-US" w:eastAsia="zh-CN"/>
              </w:rPr>
              <w:t>25</w:t>
            </w:r>
            <w:r>
              <w:rPr>
                <w:rFonts w:eastAsia="黑体"/>
                <w:bCs/>
                <w:sz w:val="21"/>
                <w:szCs w:val="21"/>
              </w:rPr>
              <w:t xml:space="preserve">  放射性溶液溅洒对手部造成的剂量计算表</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289"/>
              <w:gridCol w:w="1517"/>
              <w:gridCol w:w="2250"/>
              <w:gridCol w:w="1421"/>
              <w:gridCol w:w="1255"/>
            </w:tblGrid>
            <w:tr w14:paraId="5DD8CE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420" w:type="pct"/>
                  <w:vAlign w:val="center"/>
                </w:tcPr>
                <w:p w14:paraId="144C70A7">
                  <w:pPr>
                    <w:spacing w:line="360" w:lineRule="atLeast"/>
                    <w:jc w:val="center"/>
                    <w:rPr>
                      <w:spacing w:val="-6"/>
                      <w:sz w:val="21"/>
                      <w:szCs w:val="21"/>
                    </w:rPr>
                  </w:pPr>
                  <w:r>
                    <w:rPr>
                      <w:spacing w:val="-6"/>
                      <w:sz w:val="21"/>
                      <w:szCs w:val="21"/>
                    </w:rPr>
                    <w:t>核素</w:t>
                  </w:r>
                </w:p>
              </w:tc>
              <w:tc>
                <w:tcPr>
                  <w:tcW w:w="763" w:type="pct"/>
                  <w:vAlign w:val="center"/>
                </w:tcPr>
                <w:p w14:paraId="538A76A8">
                  <w:pPr>
                    <w:spacing w:line="360" w:lineRule="atLeast"/>
                    <w:jc w:val="center"/>
                    <w:rPr>
                      <w:spacing w:val="-6"/>
                      <w:sz w:val="21"/>
                      <w:szCs w:val="21"/>
                    </w:rPr>
                  </w:pPr>
                  <w:r>
                    <w:rPr>
                      <w:spacing w:val="-6"/>
                      <w:sz w:val="21"/>
                      <w:szCs w:val="21"/>
                    </w:rPr>
                    <w:t>日最大操作活度（Bq）</w:t>
                  </w:r>
                </w:p>
              </w:tc>
              <w:tc>
                <w:tcPr>
                  <w:tcW w:w="898" w:type="pct"/>
                  <w:vAlign w:val="center"/>
                </w:tcPr>
                <w:p w14:paraId="01F6F505">
                  <w:pPr>
                    <w:spacing w:line="360" w:lineRule="atLeast"/>
                    <w:jc w:val="center"/>
                    <w:rPr>
                      <w:spacing w:val="-6"/>
                      <w:sz w:val="21"/>
                      <w:szCs w:val="21"/>
                    </w:rPr>
                  </w:pPr>
                  <w:r>
                    <w:rPr>
                      <w:spacing w:val="-6"/>
                      <w:sz w:val="21"/>
                      <w:szCs w:val="21"/>
                    </w:rPr>
                    <w:t>手部沾染活度</w:t>
                  </w:r>
                  <w:r>
                    <w:rPr>
                      <w:spacing w:val="-6"/>
                      <w:sz w:val="21"/>
                      <w:szCs w:val="21"/>
                      <w:vertAlign w:val="superscript"/>
                    </w:rPr>
                    <w:t>①</w:t>
                  </w:r>
                  <w:r>
                    <w:rPr>
                      <w:spacing w:val="-6"/>
                      <w:sz w:val="21"/>
                      <w:szCs w:val="21"/>
                    </w:rPr>
                    <w:t>（kBq·cm</w:t>
                  </w:r>
                  <w:r>
                    <w:rPr>
                      <w:spacing w:val="-6"/>
                      <w:sz w:val="21"/>
                      <w:szCs w:val="21"/>
                      <w:vertAlign w:val="superscript"/>
                    </w:rPr>
                    <w:t>2</w:t>
                  </w:r>
                  <w:r>
                    <w:rPr>
                      <w:spacing w:val="-6"/>
                      <w:sz w:val="21"/>
                      <w:szCs w:val="21"/>
                    </w:rPr>
                    <w:t>）</w:t>
                  </w:r>
                </w:p>
              </w:tc>
              <w:tc>
                <w:tcPr>
                  <w:tcW w:w="1332" w:type="pct"/>
                  <w:vAlign w:val="center"/>
                </w:tcPr>
                <w:p w14:paraId="7A2284D9">
                  <w:pPr>
                    <w:spacing w:line="360" w:lineRule="atLeast"/>
                    <w:jc w:val="center"/>
                    <w:rPr>
                      <w:spacing w:val="-6"/>
                      <w:sz w:val="21"/>
                      <w:szCs w:val="21"/>
                    </w:rPr>
                  </w:pPr>
                  <w:r>
                    <w:rPr>
                      <w:spacing w:val="-6"/>
                      <w:sz w:val="21"/>
                      <w:szCs w:val="21"/>
                    </w:rPr>
                    <w:t>每1kBq·cm</w:t>
                  </w:r>
                  <w:r>
                    <w:rPr>
                      <w:spacing w:val="-6"/>
                      <w:sz w:val="21"/>
                      <w:szCs w:val="21"/>
                      <w:vertAlign w:val="superscript"/>
                    </w:rPr>
                    <w:t>-2</w:t>
                  </w:r>
                  <w:r>
                    <w:rPr>
                      <w:spacing w:val="-6"/>
                      <w:sz w:val="21"/>
                      <w:szCs w:val="21"/>
                    </w:rPr>
                    <w:t>对皮肤造成的辐射剂量率</w:t>
                  </w:r>
                  <w:r>
                    <w:rPr>
                      <w:spacing w:val="-6"/>
                      <w:sz w:val="21"/>
                      <w:szCs w:val="21"/>
                      <w:vertAlign w:val="superscript"/>
                    </w:rPr>
                    <w:t>②</w:t>
                  </w:r>
                  <w:r>
                    <w:rPr>
                      <w:spacing w:val="-6"/>
                      <w:sz w:val="21"/>
                      <w:szCs w:val="21"/>
                    </w:rPr>
                    <w:t>（mSv/h）</w:t>
                  </w:r>
                </w:p>
              </w:tc>
              <w:tc>
                <w:tcPr>
                  <w:tcW w:w="841" w:type="pct"/>
                  <w:vAlign w:val="center"/>
                </w:tcPr>
                <w:p w14:paraId="194F7658">
                  <w:pPr>
                    <w:spacing w:line="360" w:lineRule="atLeast"/>
                    <w:jc w:val="center"/>
                    <w:rPr>
                      <w:spacing w:val="-6"/>
                      <w:sz w:val="21"/>
                      <w:szCs w:val="21"/>
                    </w:rPr>
                  </w:pPr>
                  <w:r>
                    <w:rPr>
                      <w:spacing w:val="-6"/>
                      <w:sz w:val="21"/>
                      <w:szCs w:val="21"/>
                    </w:rPr>
                    <w:t>事故中皮肤受照剂量（mSv）</w:t>
                  </w:r>
                </w:p>
              </w:tc>
              <w:tc>
                <w:tcPr>
                  <w:tcW w:w="743" w:type="pct"/>
                  <w:vAlign w:val="center"/>
                </w:tcPr>
                <w:p w14:paraId="187BBB9A">
                  <w:pPr>
                    <w:pStyle w:val="19"/>
                    <w:spacing w:line="360" w:lineRule="atLeast"/>
                    <w:rPr>
                      <w:spacing w:val="-6"/>
                      <w:szCs w:val="21"/>
                    </w:rPr>
                  </w:pPr>
                  <w:r>
                    <w:rPr>
                      <w:spacing w:val="-6"/>
                      <w:szCs w:val="21"/>
                    </w:rPr>
                    <w:t>全身受照剂量</w:t>
                  </w:r>
                  <w:r>
                    <w:rPr>
                      <w:rFonts w:eastAsia="黑体"/>
                      <w:spacing w:val="-6"/>
                      <w:szCs w:val="21"/>
                      <w:vertAlign w:val="superscript"/>
                    </w:rPr>
                    <w:t>③</w:t>
                  </w:r>
                  <w:r>
                    <w:rPr>
                      <w:spacing w:val="-6"/>
                      <w:szCs w:val="21"/>
                    </w:rPr>
                    <w:t>（mSv）</w:t>
                  </w:r>
                </w:p>
              </w:tc>
            </w:tr>
            <w:tr w14:paraId="616B99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Align w:val="center"/>
                </w:tcPr>
                <w:p w14:paraId="616A55E8">
                  <w:pPr>
                    <w:spacing w:line="360" w:lineRule="atLeast"/>
                    <w:jc w:val="center"/>
                    <w:rPr>
                      <w:spacing w:val="-6"/>
                      <w:sz w:val="21"/>
                      <w:szCs w:val="21"/>
                    </w:rPr>
                  </w:pPr>
                  <w:r>
                    <w:rPr>
                      <w:spacing w:val="-6"/>
                      <w:sz w:val="21"/>
                      <w:szCs w:val="21"/>
                      <w:vertAlign w:val="superscript"/>
                    </w:rPr>
                    <w:t>18</w:t>
                  </w:r>
                  <w:r>
                    <w:rPr>
                      <w:spacing w:val="-6"/>
                      <w:sz w:val="21"/>
                      <w:szCs w:val="21"/>
                    </w:rPr>
                    <w:t>F</w:t>
                  </w:r>
                </w:p>
              </w:tc>
              <w:tc>
                <w:tcPr>
                  <w:tcW w:w="763" w:type="pct"/>
                  <w:vAlign w:val="center"/>
                </w:tcPr>
                <w:p w14:paraId="476EA303">
                  <w:pPr>
                    <w:spacing w:line="360" w:lineRule="atLeast"/>
                    <w:jc w:val="center"/>
                    <w:rPr>
                      <w:spacing w:val="-6"/>
                      <w:sz w:val="21"/>
                      <w:szCs w:val="21"/>
                    </w:rPr>
                  </w:pPr>
                  <w:r>
                    <w:rPr>
                      <w:spacing w:val="-6"/>
                      <w:sz w:val="21"/>
                      <w:szCs w:val="21"/>
                    </w:rPr>
                    <w:t>7.4E+10</w:t>
                  </w:r>
                </w:p>
              </w:tc>
              <w:tc>
                <w:tcPr>
                  <w:tcW w:w="898" w:type="pct"/>
                  <w:vAlign w:val="center"/>
                </w:tcPr>
                <w:p w14:paraId="7A707BFC">
                  <w:pPr>
                    <w:widowControl/>
                    <w:spacing w:line="360" w:lineRule="atLeast"/>
                    <w:jc w:val="center"/>
                    <w:rPr>
                      <w:spacing w:val="-6"/>
                      <w:sz w:val="21"/>
                      <w:szCs w:val="21"/>
                    </w:rPr>
                  </w:pPr>
                  <w:r>
                    <w:rPr>
                      <w:spacing w:val="-6"/>
                      <w:sz w:val="21"/>
                      <w:szCs w:val="21"/>
                      <w:lang w:bidi="ar"/>
                    </w:rPr>
                    <w:t>3.7E+04</w:t>
                  </w:r>
                </w:p>
              </w:tc>
              <w:tc>
                <w:tcPr>
                  <w:tcW w:w="1332" w:type="pct"/>
                  <w:vAlign w:val="center"/>
                </w:tcPr>
                <w:p w14:paraId="485160D7">
                  <w:pPr>
                    <w:widowControl/>
                    <w:spacing w:line="360" w:lineRule="atLeast"/>
                    <w:jc w:val="center"/>
                    <w:rPr>
                      <w:spacing w:val="-6"/>
                      <w:sz w:val="21"/>
                      <w:szCs w:val="21"/>
                    </w:rPr>
                  </w:pPr>
                  <w:r>
                    <w:rPr>
                      <w:spacing w:val="-6"/>
                      <w:sz w:val="21"/>
                      <w:szCs w:val="21"/>
                      <w:lang w:bidi="ar"/>
                    </w:rPr>
                    <w:t>1.95</w:t>
                  </w:r>
                </w:p>
              </w:tc>
              <w:tc>
                <w:tcPr>
                  <w:tcW w:w="841" w:type="pct"/>
                  <w:vAlign w:val="center"/>
                </w:tcPr>
                <w:p w14:paraId="74FD0054">
                  <w:pPr>
                    <w:widowControl/>
                    <w:spacing w:line="360" w:lineRule="atLeast"/>
                    <w:jc w:val="center"/>
                    <w:rPr>
                      <w:spacing w:val="-6"/>
                      <w:sz w:val="21"/>
                      <w:szCs w:val="21"/>
                    </w:rPr>
                  </w:pPr>
                  <w:r>
                    <w:rPr>
                      <w:spacing w:val="-6"/>
                      <w:sz w:val="21"/>
                      <w:szCs w:val="21"/>
                      <w:lang w:bidi="ar"/>
                    </w:rPr>
                    <w:t>8.58E+03</w:t>
                  </w:r>
                </w:p>
              </w:tc>
              <w:tc>
                <w:tcPr>
                  <w:tcW w:w="743" w:type="pct"/>
                  <w:vAlign w:val="center"/>
                </w:tcPr>
                <w:p w14:paraId="290289C2">
                  <w:pPr>
                    <w:widowControl/>
                    <w:spacing w:line="360" w:lineRule="atLeast"/>
                    <w:jc w:val="center"/>
                    <w:rPr>
                      <w:spacing w:val="-6"/>
                      <w:sz w:val="21"/>
                      <w:szCs w:val="21"/>
                    </w:rPr>
                  </w:pPr>
                  <w:r>
                    <w:rPr>
                      <w:spacing w:val="-6"/>
                      <w:sz w:val="21"/>
                      <w:szCs w:val="21"/>
                      <w:lang w:bidi="ar"/>
                    </w:rPr>
                    <w:t>85.80</w:t>
                  </w:r>
                </w:p>
              </w:tc>
            </w:tr>
          </w:tbl>
          <w:p w14:paraId="77DAEBFF">
            <w:pPr>
              <w:spacing w:line="240" w:lineRule="auto"/>
              <w:rPr>
                <w:rFonts w:eastAsia="黑体"/>
                <w:bCs/>
                <w:spacing w:val="-6"/>
                <w:sz w:val="21"/>
                <w:szCs w:val="21"/>
              </w:rPr>
            </w:pPr>
            <w:r>
              <w:rPr>
                <w:rFonts w:eastAsia="黑体"/>
                <w:bCs/>
                <w:spacing w:val="-6"/>
                <w:sz w:val="21"/>
                <w:szCs w:val="21"/>
              </w:rPr>
              <w:t>注：</w:t>
            </w:r>
            <w:r>
              <w:rPr>
                <w:rFonts w:eastAsia="黑体"/>
                <w:spacing w:val="-6"/>
                <w:sz w:val="21"/>
                <w:szCs w:val="21"/>
              </w:rPr>
              <w:t>①手部沾染活度=日最大操作活度/手部表面积*50%；②查《RADIONUCLIDE AND RADIATION PROTECTION DATA HANDBOOK 2002》（Published by Nuclear Technology Publishing）得到；③根据《辐射安全手册》（潘自强主编）表1.4，皮肤组织权重因子为0.01，全身受照剂量=皮肤受照剂量/100。</w:t>
            </w:r>
          </w:p>
          <w:p w14:paraId="249C8DE6">
            <w:pPr>
              <w:ind w:firstLine="480"/>
            </w:pPr>
            <w:r>
              <w:t>经计算，单次放射性溶液撒漏事故状态下职业人员手部最大受照剂量为8.58Sv，超过《电离辐射防护与辐射源安全基本标准》（GB18871-2002）中对四肢（手和足）或皮肤的年当量剂量500mSv的限值，对应全身最大受照剂量为85.80mSv，可导致职业人员受照剂量超过50mSv限值，构成一般辐射事故。</w:t>
            </w:r>
          </w:p>
          <w:p w14:paraId="24FC7890">
            <w:pPr>
              <w:ind w:firstLine="482"/>
              <w:rPr>
                <w:b/>
                <w:szCs w:val="28"/>
              </w:rPr>
            </w:pPr>
            <w:r>
              <w:rPr>
                <w:b/>
                <w:szCs w:val="28"/>
              </w:rPr>
              <w:t>6、气态放射性物质释放事故状态下的影响分析</w:t>
            </w:r>
          </w:p>
          <w:p w14:paraId="04A9F526">
            <w:pPr>
              <w:ind w:firstLine="480"/>
              <w:rPr>
                <w:bCs/>
                <w:szCs w:val="28"/>
              </w:rPr>
            </w:pPr>
            <w:r>
              <w:rPr>
                <w:bCs/>
                <w:szCs w:val="28"/>
              </w:rPr>
              <w:t>对于工作箱泄漏，选择易挥发的碘-1</w:t>
            </w:r>
            <w:r>
              <w:rPr>
                <w:rFonts w:hint="eastAsia"/>
                <w:bCs/>
                <w:szCs w:val="28"/>
                <w:lang w:val="en-US" w:eastAsia="zh-CN"/>
              </w:rPr>
              <w:t>31</w:t>
            </w:r>
            <w:r>
              <w:rPr>
                <w:bCs/>
                <w:szCs w:val="28"/>
              </w:rPr>
              <w:t>作为评价核素，主要考虑吸入内照射所致剂量，</w:t>
            </w:r>
            <w:r>
              <w:rPr>
                <w:bCs/>
                <w:szCs w:val="28"/>
                <w:highlight w:val="none"/>
              </w:rPr>
              <w:t>假设气态放射性物质的释放量以每日最大操作的挥发量作为评价（3.7×10</w:t>
            </w:r>
            <w:r>
              <w:rPr>
                <w:rFonts w:hint="eastAsia"/>
                <w:bCs/>
                <w:szCs w:val="28"/>
                <w:highlight w:val="none"/>
                <w:vertAlign w:val="superscript"/>
                <w:lang w:val="en-US" w:eastAsia="zh-CN"/>
              </w:rPr>
              <w:t>8</w:t>
            </w:r>
            <w:r>
              <w:rPr>
                <w:bCs/>
                <w:szCs w:val="28"/>
                <w:highlight w:val="none"/>
              </w:rPr>
              <w:t>Bq），当工作箱泄漏时，气态放射性物质均匀分布于</w:t>
            </w:r>
            <w:r>
              <w:rPr>
                <w:rFonts w:hint="eastAsia"/>
                <w:bCs/>
                <w:szCs w:val="28"/>
                <w:highlight w:val="none"/>
                <w:lang w:val="en-US" w:eastAsia="zh-CN"/>
              </w:rPr>
              <w:t>分装</w:t>
            </w:r>
            <w:r>
              <w:rPr>
                <w:bCs/>
                <w:szCs w:val="28"/>
                <w:highlight w:val="none"/>
              </w:rPr>
              <w:t>室</w:t>
            </w:r>
            <w:r>
              <w:rPr>
                <w:rFonts w:hint="eastAsia"/>
                <w:bCs/>
                <w:szCs w:val="28"/>
                <w:highlight w:val="none"/>
                <w:lang w:val="en-US" w:eastAsia="zh-CN"/>
              </w:rPr>
              <w:t>2#室</w:t>
            </w:r>
            <w:r>
              <w:rPr>
                <w:bCs/>
                <w:szCs w:val="28"/>
                <w:highlight w:val="none"/>
              </w:rPr>
              <w:t>内（活度浓度为8.07×10</w:t>
            </w:r>
            <w:r>
              <w:rPr>
                <w:rFonts w:hint="eastAsia"/>
                <w:bCs/>
                <w:szCs w:val="28"/>
                <w:highlight w:val="none"/>
                <w:vertAlign w:val="superscript"/>
                <w:lang w:val="en-US" w:eastAsia="zh-CN"/>
              </w:rPr>
              <w:t>3</w:t>
            </w:r>
            <w:r>
              <w:rPr>
                <w:bCs/>
                <w:szCs w:val="28"/>
                <w:highlight w:val="none"/>
              </w:rPr>
              <w:t>Bq/m</w:t>
            </w:r>
            <w:r>
              <w:rPr>
                <w:bCs/>
                <w:szCs w:val="28"/>
                <w:highlight w:val="none"/>
                <w:vertAlign w:val="superscript"/>
              </w:rPr>
              <w:t>3</w:t>
            </w:r>
            <w:r>
              <w:rPr>
                <w:bCs/>
                <w:szCs w:val="28"/>
                <w:highlight w:val="none"/>
              </w:rPr>
              <w:t>），职业人员受照时间以8h计，受照剂量为3</w:t>
            </w:r>
            <w:r>
              <w:rPr>
                <w:rFonts w:hint="eastAsia"/>
                <w:bCs/>
                <w:szCs w:val="28"/>
                <w:highlight w:val="none"/>
                <w:lang w:val="en-US" w:eastAsia="zh-CN"/>
              </w:rPr>
              <w:t>.</w:t>
            </w:r>
            <w:r>
              <w:rPr>
                <w:bCs/>
                <w:szCs w:val="28"/>
                <w:highlight w:val="none"/>
              </w:rPr>
              <w:t>65mSv，</w:t>
            </w:r>
            <w:r>
              <w:rPr>
                <w:rFonts w:hint="eastAsia"/>
                <w:bCs/>
                <w:szCs w:val="28"/>
                <w:highlight w:val="none"/>
                <w:lang w:val="en-US" w:eastAsia="zh-CN"/>
              </w:rPr>
              <w:t>未</w:t>
            </w:r>
            <w:r>
              <w:rPr>
                <w:bCs/>
                <w:szCs w:val="28"/>
                <w:highlight w:val="none"/>
              </w:rPr>
              <w:t>超过《电离辐射防护与辐射源安全基本标准》（GB1887</w:t>
            </w:r>
            <w:r>
              <w:rPr>
                <w:bCs/>
                <w:szCs w:val="28"/>
              </w:rPr>
              <w:t>1-2002）中职业20mSv的剂量限值，属于一般辐射事故。</w:t>
            </w:r>
          </w:p>
          <w:p w14:paraId="072E5533">
            <w:pPr>
              <w:rPr>
                <w:rFonts w:eastAsia="黑体"/>
              </w:rPr>
            </w:pPr>
            <w:r>
              <w:rPr>
                <w:rFonts w:eastAsia="黑体"/>
              </w:rPr>
              <w:t>四、辐射事故综合分析</w:t>
            </w:r>
          </w:p>
          <w:p w14:paraId="17874751">
            <w:pPr>
              <w:ind w:firstLine="480"/>
            </w:pPr>
            <w:r>
              <w:t>根据前述，本项目可能发生的最大潜在事故条件及事故等级见表11-</w:t>
            </w:r>
            <w:r>
              <w:rPr>
                <w:rFonts w:hint="eastAsia"/>
                <w:lang w:val="en-US" w:eastAsia="zh-CN"/>
              </w:rPr>
              <w:t>26</w:t>
            </w:r>
            <w:r>
              <w:t>。</w:t>
            </w:r>
          </w:p>
          <w:p w14:paraId="3BC7B456">
            <w:pPr>
              <w:widowControl/>
              <w:spacing w:before="163" w:line="240" w:lineRule="auto"/>
              <w:jc w:val="center"/>
              <w:rPr>
                <w:rFonts w:eastAsia="黑体"/>
                <w:bCs/>
                <w:sz w:val="21"/>
                <w:szCs w:val="21"/>
              </w:rPr>
            </w:pPr>
            <w:r>
              <w:rPr>
                <w:rFonts w:eastAsia="黑体"/>
                <w:bCs/>
                <w:sz w:val="21"/>
                <w:szCs w:val="21"/>
              </w:rPr>
              <w:t>表11-</w:t>
            </w:r>
            <w:r>
              <w:rPr>
                <w:rFonts w:hint="eastAsia" w:eastAsia="黑体"/>
                <w:bCs/>
                <w:sz w:val="21"/>
                <w:szCs w:val="21"/>
                <w:lang w:val="en-US" w:eastAsia="zh-CN"/>
              </w:rPr>
              <w:t>26</w:t>
            </w:r>
            <w:r>
              <w:rPr>
                <w:rFonts w:eastAsia="黑体"/>
                <w:bCs/>
                <w:sz w:val="21"/>
                <w:szCs w:val="21"/>
              </w:rPr>
              <w:t xml:space="preserve"> 最大潜在危害后果及事故等级</w:t>
            </w:r>
          </w:p>
          <w:tbl>
            <w:tblPr>
              <w:tblStyle w:val="5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000"/>
              <w:gridCol w:w="934"/>
              <w:gridCol w:w="4396"/>
              <w:gridCol w:w="1138"/>
              <w:gridCol w:w="7"/>
              <w:gridCol w:w="954"/>
              <w:gridCol w:w="12"/>
            </w:tblGrid>
            <w:tr w14:paraId="79C9D0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7" w:type="pct"/>
                <w:jc w:val="center"/>
              </w:trPr>
              <w:tc>
                <w:tcPr>
                  <w:tcW w:w="592" w:type="pct"/>
                  <w:vAlign w:val="center"/>
                </w:tcPr>
                <w:p w14:paraId="775E0CC6">
                  <w:pPr>
                    <w:spacing w:line="360" w:lineRule="exact"/>
                    <w:jc w:val="center"/>
                    <w:rPr>
                      <w:sz w:val="21"/>
                      <w:szCs w:val="21"/>
                    </w:rPr>
                  </w:pPr>
                  <w:r>
                    <w:rPr>
                      <w:sz w:val="21"/>
                      <w:szCs w:val="21"/>
                    </w:rPr>
                    <w:t>类别</w:t>
                  </w:r>
                </w:p>
              </w:tc>
              <w:tc>
                <w:tcPr>
                  <w:tcW w:w="553" w:type="pct"/>
                  <w:vAlign w:val="center"/>
                </w:tcPr>
                <w:p w14:paraId="6E1CF758">
                  <w:pPr>
                    <w:spacing w:line="360" w:lineRule="exact"/>
                    <w:jc w:val="center"/>
                    <w:rPr>
                      <w:sz w:val="21"/>
                      <w:szCs w:val="21"/>
                    </w:rPr>
                  </w:pPr>
                  <w:r>
                    <w:rPr>
                      <w:sz w:val="21"/>
                      <w:szCs w:val="21"/>
                    </w:rPr>
                    <w:t>风险因子</w:t>
                  </w:r>
                </w:p>
              </w:tc>
              <w:tc>
                <w:tcPr>
                  <w:tcW w:w="2603" w:type="pct"/>
                  <w:vAlign w:val="center"/>
                </w:tcPr>
                <w:p w14:paraId="6849EF11">
                  <w:pPr>
                    <w:spacing w:line="360" w:lineRule="exact"/>
                    <w:jc w:val="center"/>
                    <w:rPr>
                      <w:sz w:val="21"/>
                      <w:szCs w:val="21"/>
                    </w:rPr>
                  </w:pPr>
                  <w:r>
                    <w:rPr>
                      <w:sz w:val="21"/>
                      <w:szCs w:val="21"/>
                    </w:rPr>
                    <w:t>事故类型</w:t>
                  </w:r>
                </w:p>
              </w:tc>
              <w:tc>
                <w:tcPr>
                  <w:tcW w:w="674" w:type="pct"/>
                  <w:vAlign w:val="center"/>
                </w:tcPr>
                <w:p w14:paraId="77654201">
                  <w:pPr>
                    <w:spacing w:line="360" w:lineRule="exact"/>
                    <w:jc w:val="center"/>
                    <w:rPr>
                      <w:sz w:val="21"/>
                      <w:szCs w:val="21"/>
                    </w:rPr>
                  </w:pPr>
                  <w:r>
                    <w:rPr>
                      <w:sz w:val="21"/>
                      <w:szCs w:val="21"/>
                    </w:rPr>
                    <w:t>最大事故</w:t>
                  </w:r>
                </w:p>
                <w:p w14:paraId="02A2109C">
                  <w:pPr>
                    <w:spacing w:line="360" w:lineRule="exact"/>
                    <w:jc w:val="center"/>
                    <w:rPr>
                      <w:sz w:val="21"/>
                      <w:szCs w:val="21"/>
                    </w:rPr>
                  </w:pPr>
                  <w:r>
                    <w:rPr>
                      <w:sz w:val="21"/>
                      <w:szCs w:val="21"/>
                    </w:rPr>
                    <w:t>后果</w:t>
                  </w:r>
                </w:p>
              </w:tc>
              <w:tc>
                <w:tcPr>
                  <w:tcW w:w="569" w:type="pct"/>
                  <w:gridSpan w:val="2"/>
                  <w:vAlign w:val="center"/>
                </w:tcPr>
                <w:p w14:paraId="1E63E80C">
                  <w:pPr>
                    <w:spacing w:line="360" w:lineRule="exact"/>
                    <w:jc w:val="center"/>
                    <w:rPr>
                      <w:sz w:val="21"/>
                      <w:szCs w:val="21"/>
                    </w:rPr>
                  </w:pPr>
                  <w:r>
                    <w:rPr>
                      <w:sz w:val="21"/>
                      <w:szCs w:val="21"/>
                    </w:rPr>
                    <w:t>事故等级</w:t>
                  </w:r>
                </w:p>
              </w:tc>
            </w:tr>
            <w:tr w14:paraId="3D840B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592" w:type="pct"/>
                  <w:shd w:val="clear" w:color="auto" w:fill="auto"/>
                  <w:vAlign w:val="center"/>
                </w:tcPr>
                <w:p w14:paraId="4E5A5607">
                  <w:pPr>
                    <w:spacing w:line="360" w:lineRule="exact"/>
                    <w:jc w:val="center"/>
                    <w:rPr>
                      <w:rFonts w:ascii="Times New Roman" w:hAnsi="Times New Roman" w:eastAsia="宋体" w:cs="Times New Roman"/>
                      <w:sz w:val="21"/>
                      <w:szCs w:val="21"/>
                      <w:lang w:val="en-US" w:eastAsia="zh-CN" w:bidi="ar-SA"/>
                    </w:rPr>
                  </w:pPr>
                  <w:r>
                    <w:rPr>
                      <w:rFonts w:hint="default" w:ascii="Times New Roman" w:hAnsi="Times New Roman" w:cs="Times New Roman"/>
                      <w:sz w:val="21"/>
                      <w:szCs w:val="21"/>
                    </w:rPr>
                    <w:t>Ⅱ</w:t>
                  </w:r>
                  <w:r>
                    <w:rPr>
                      <w:sz w:val="21"/>
                      <w:szCs w:val="21"/>
                    </w:rPr>
                    <w:t>类射线装置</w:t>
                  </w:r>
                </w:p>
              </w:tc>
              <w:tc>
                <w:tcPr>
                  <w:tcW w:w="553" w:type="pct"/>
                  <w:shd w:val="clear" w:color="auto" w:fill="auto"/>
                  <w:vAlign w:val="center"/>
                </w:tcPr>
                <w:p w14:paraId="3C7FD9B8">
                  <w:pPr>
                    <w:spacing w:line="360" w:lineRule="exact"/>
                    <w:jc w:val="center"/>
                    <w:rPr>
                      <w:rFonts w:ascii="Times New Roman" w:hAnsi="Times New Roman" w:eastAsia="宋体" w:cs="Times New Roman"/>
                      <w:sz w:val="21"/>
                      <w:szCs w:val="21"/>
                      <w:lang w:val="en-US" w:eastAsia="zh-CN" w:bidi="ar-SA"/>
                    </w:rPr>
                  </w:pPr>
                  <w:r>
                    <w:rPr>
                      <w:sz w:val="21"/>
                      <w:szCs w:val="21"/>
                    </w:rPr>
                    <w:t>X射线</w:t>
                  </w:r>
                </w:p>
              </w:tc>
              <w:tc>
                <w:tcPr>
                  <w:tcW w:w="2603" w:type="pct"/>
                  <w:shd w:val="clear" w:color="auto" w:fill="auto"/>
                  <w:vAlign w:val="center"/>
                </w:tcPr>
                <w:p w14:paraId="641E752F">
                  <w:pPr>
                    <w:spacing w:line="360" w:lineRule="exact"/>
                    <w:rPr>
                      <w:rFonts w:hint="eastAsia"/>
                      <w:sz w:val="21"/>
                      <w:szCs w:val="21"/>
                    </w:rPr>
                  </w:pPr>
                  <w:r>
                    <w:rPr>
                      <w:sz w:val="21"/>
                      <w:szCs w:val="21"/>
                    </w:rPr>
                    <w:t>①</w:t>
                  </w:r>
                  <w:r>
                    <w:rPr>
                      <w:rFonts w:hint="eastAsia"/>
                      <w:sz w:val="21"/>
                      <w:szCs w:val="21"/>
                    </w:rPr>
                    <w:t>在防护门未关闭的情况下即进行曝光操作，公众误入可能受到不必要的照射。</w:t>
                  </w:r>
                </w:p>
                <w:p w14:paraId="49634A53">
                  <w:pPr>
                    <w:spacing w:line="360" w:lineRule="exact"/>
                    <w:rPr>
                      <w:rFonts w:ascii="Times New Roman" w:hAnsi="Times New Roman" w:eastAsia="宋体" w:cs="Times New Roman"/>
                      <w:sz w:val="21"/>
                      <w:szCs w:val="21"/>
                      <w:lang w:val="en-US" w:eastAsia="zh-CN" w:bidi="ar-SA"/>
                    </w:rPr>
                  </w:pPr>
                  <w:r>
                    <w:rPr>
                      <w:sz w:val="21"/>
                      <w:szCs w:val="21"/>
                    </w:rPr>
                    <w:t>②</w:t>
                  </w:r>
                  <w:r>
                    <w:rPr>
                      <w:rFonts w:hint="eastAsia"/>
                      <w:sz w:val="21"/>
                      <w:szCs w:val="21"/>
                    </w:rPr>
                    <w:t>医护人员开展介入治疗时，未穿戴防护用品进行手术操作受到射线照射。</w:t>
                  </w:r>
                </w:p>
              </w:tc>
              <w:tc>
                <w:tcPr>
                  <w:tcW w:w="678" w:type="pct"/>
                  <w:gridSpan w:val="2"/>
                  <w:shd w:val="clear" w:color="auto" w:fill="auto"/>
                  <w:vAlign w:val="center"/>
                </w:tcPr>
                <w:p w14:paraId="6ACA7887">
                  <w:pPr>
                    <w:spacing w:line="360" w:lineRule="exact"/>
                    <w:jc w:val="center"/>
                    <w:rPr>
                      <w:rFonts w:ascii="Times New Roman" w:hAnsi="Times New Roman" w:eastAsia="宋体" w:cs="Times New Roman"/>
                      <w:sz w:val="21"/>
                      <w:szCs w:val="21"/>
                      <w:lang w:val="en-US" w:eastAsia="zh-CN" w:bidi="ar-SA"/>
                    </w:rPr>
                  </w:pPr>
                  <w:r>
                    <w:rPr>
                      <w:sz w:val="21"/>
                      <w:szCs w:val="21"/>
                    </w:rPr>
                    <w:t>人员超剂量照射</w:t>
                  </w:r>
                </w:p>
              </w:tc>
              <w:tc>
                <w:tcPr>
                  <w:tcW w:w="572" w:type="pct"/>
                  <w:gridSpan w:val="2"/>
                  <w:shd w:val="clear" w:color="auto" w:fill="auto"/>
                  <w:vAlign w:val="center"/>
                </w:tcPr>
                <w:p w14:paraId="747EBF76">
                  <w:pPr>
                    <w:spacing w:line="360" w:lineRule="exact"/>
                    <w:jc w:val="center"/>
                    <w:rPr>
                      <w:rFonts w:ascii="Times New Roman" w:hAnsi="Times New Roman" w:eastAsia="宋体" w:cs="Times New Roman"/>
                      <w:sz w:val="21"/>
                      <w:szCs w:val="21"/>
                      <w:lang w:val="en-US" w:eastAsia="zh-CN" w:bidi="ar-SA"/>
                    </w:rPr>
                  </w:pPr>
                  <w:r>
                    <w:rPr>
                      <w:sz w:val="21"/>
                      <w:szCs w:val="21"/>
                    </w:rPr>
                    <w:t>一般辐射事故</w:t>
                  </w:r>
                </w:p>
              </w:tc>
            </w:tr>
            <w:tr w14:paraId="503557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592" w:type="pct"/>
                  <w:vAlign w:val="center"/>
                </w:tcPr>
                <w:p w14:paraId="0DC49927">
                  <w:pPr>
                    <w:spacing w:line="360" w:lineRule="exact"/>
                    <w:jc w:val="center"/>
                    <w:rPr>
                      <w:sz w:val="21"/>
                      <w:szCs w:val="21"/>
                    </w:rPr>
                  </w:pPr>
                  <w:r>
                    <w:rPr>
                      <w:sz w:val="21"/>
                      <w:szCs w:val="21"/>
                    </w:rPr>
                    <w:t>Ⅲ类射线装置</w:t>
                  </w:r>
                </w:p>
              </w:tc>
              <w:tc>
                <w:tcPr>
                  <w:tcW w:w="553" w:type="pct"/>
                  <w:vAlign w:val="center"/>
                </w:tcPr>
                <w:p w14:paraId="4A342810">
                  <w:pPr>
                    <w:spacing w:line="360" w:lineRule="exact"/>
                    <w:jc w:val="center"/>
                    <w:rPr>
                      <w:sz w:val="21"/>
                      <w:szCs w:val="21"/>
                    </w:rPr>
                  </w:pPr>
                  <w:r>
                    <w:rPr>
                      <w:sz w:val="21"/>
                      <w:szCs w:val="21"/>
                    </w:rPr>
                    <w:t>X射线</w:t>
                  </w:r>
                </w:p>
              </w:tc>
              <w:tc>
                <w:tcPr>
                  <w:tcW w:w="2603" w:type="pct"/>
                  <w:vAlign w:val="center"/>
                </w:tcPr>
                <w:p w14:paraId="4946AC39">
                  <w:pPr>
                    <w:spacing w:line="360" w:lineRule="exact"/>
                    <w:rPr>
                      <w:sz w:val="21"/>
                      <w:szCs w:val="21"/>
                    </w:rPr>
                  </w:pPr>
                  <w:r>
                    <w:rPr>
                      <w:sz w:val="21"/>
                      <w:szCs w:val="21"/>
                    </w:rPr>
                    <w:t>①</w:t>
                  </w:r>
                  <w:r>
                    <w:rPr>
                      <w:rFonts w:hint="eastAsia"/>
                      <w:sz w:val="21"/>
                      <w:szCs w:val="21"/>
                    </w:rPr>
                    <w:t>在防护门未关闭的情况下即进行曝光操作，公众误入可能受到不必要的照射。</w:t>
                  </w:r>
                </w:p>
              </w:tc>
              <w:tc>
                <w:tcPr>
                  <w:tcW w:w="678" w:type="pct"/>
                  <w:gridSpan w:val="2"/>
                  <w:vAlign w:val="center"/>
                </w:tcPr>
                <w:p w14:paraId="1D58A1F0">
                  <w:pPr>
                    <w:spacing w:line="360" w:lineRule="exact"/>
                    <w:jc w:val="center"/>
                    <w:rPr>
                      <w:sz w:val="21"/>
                      <w:szCs w:val="21"/>
                    </w:rPr>
                  </w:pPr>
                  <w:r>
                    <w:rPr>
                      <w:sz w:val="21"/>
                      <w:szCs w:val="21"/>
                    </w:rPr>
                    <w:t>人员超剂量照射</w:t>
                  </w:r>
                </w:p>
              </w:tc>
              <w:tc>
                <w:tcPr>
                  <w:tcW w:w="572" w:type="pct"/>
                  <w:gridSpan w:val="2"/>
                  <w:vAlign w:val="center"/>
                </w:tcPr>
                <w:p w14:paraId="6C4939A5">
                  <w:pPr>
                    <w:spacing w:line="360" w:lineRule="exact"/>
                    <w:jc w:val="center"/>
                    <w:rPr>
                      <w:sz w:val="21"/>
                      <w:szCs w:val="21"/>
                    </w:rPr>
                  </w:pPr>
                  <w:r>
                    <w:rPr>
                      <w:sz w:val="21"/>
                      <w:szCs w:val="21"/>
                    </w:rPr>
                    <w:t>一般辐射事故</w:t>
                  </w:r>
                </w:p>
              </w:tc>
            </w:tr>
            <w:tr w14:paraId="7F60AE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592" w:type="pct"/>
                  <w:vAlign w:val="center"/>
                </w:tcPr>
                <w:p w14:paraId="29667943">
                  <w:pPr>
                    <w:spacing w:line="360" w:lineRule="exact"/>
                    <w:jc w:val="center"/>
                    <w:rPr>
                      <w:sz w:val="21"/>
                      <w:szCs w:val="21"/>
                    </w:rPr>
                  </w:pPr>
                  <w:r>
                    <w:rPr>
                      <w:sz w:val="21"/>
                      <w:szCs w:val="21"/>
                    </w:rPr>
                    <w:t>非密封放射性物质</w:t>
                  </w:r>
                </w:p>
              </w:tc>
              <w:tc>
                <w:tcPr>
                  <w:tcW w:w="553" w:type="pct"/>
                  <w:vAlign w:val="center"/>
                </w:tcPr>
                <w:p w14:paraId="5B46C253">
                  <w:pPr>
                    <w:spacing w:line="360" w:lineRule="exact"/>
                    <w:jc w:val="center"/>
                    <w:rPr>
                      <w:sz w:val="21"/>
                      <w:szCs w:val="21"/>
                    </w:rPr>
                  </w:pPr>
                  <w:r>
                    <w:rPr>
                      <w:sz w:val="21"/>
                      <w:szCs w:val="21"/>
                    </w:rPr>
                    <w:t>γ射线</w:t>
                  </w:r>
                </w:p>
              </w:tc>
              <w:tc>
                <w:tcPr>
                  <w:tcW w:w="2603" w:type="pct"/>
                  <w:vAlign w:val="center"/>
                </w:tcPr>
                <w:p w14:paraId="4499D2D4">
                  <w:pPr>
                    <w:spacing w:line="360" w:lineRule="exact"/>
                    <w:rPr>
                      <w:sz w:val="21"/>
                      <w:szCs w:val="21"/>
                    </w:rPr>
                  </w:pPr>
                  <w:r>
                    <w:rPr>
                      <w:sz w:val="21"/>
                      <w:szCs w:val="21"/>
                    </w:rPr>
                    <w:fldChar w:fldCharType="begin"/>
                  </w:r>
                  <w:r>
                    <w:rPr>
                      <w:sz w:val="21"/>
                      <w:szCs w:val="21"/>
                    </w:rPr>
                    <w:instrText xml:space="preserve"> = 1 \* GB3 </w:instrText>
                  </w:r>
                  <w:r>
                    <w:rPr>
                      <w:sz w:val="21"/>
                      <w:szCs w:val="21"/>
                    </w:rPr>
                    <w:fldChar w:fldCharType="separate"/>
                  </w:r>
                  <w:r>
                    <w:rPr>
                      <w:sz w:val="21"/>
                      <w:szCs w:val="21"/>
                    </w:rPr>
                    <w:t>①</w:t>
                  </w:r>
                  <w:r>
                    <w:rPr>
                      <w:sz w:val="21"/>
                      <w:szCs w:val="21"/>
                    </w:rPr>
                    <w:fldChar w:fldCharType="end"/>
                  </w:r>
                  <w:r>
                    <w:rPr>
                      <w:sz w:val="21"/>
                      <w:szCs w:val="21"/>
                    </w:rPr>
                    <w:t>放射性药物发生丢失或被盗。</w:t>
                  </w:r>
                </w:p>
                <w:p w14:paraId="5C39DF56">
                  <w:pPr>
                    <w:spacing w:line="360" w:lineRule="exact"/>
                    <w:rPr>
                      <w:sz w:val="21"/>
                      <w:szCs w:val="21"/>
                    </w:rPr>
                  </w:pPr>
                  <w:r>
                    <w:rPr>
                      <w:sz w:val="21"/>
                      <w:szCs w:val="21"/>
                    </w:rPr>
                    <w:fldChar w:fldCharType="begin"/>
                  </w:r>
                  <w:r>
                    <w:rPr>
                      <w:sz w:val="21"/>
                      <w:szCs w:val="21"/>
                    </w:rPr>
                    <w:instrText xml:space="preserve"> = 2 \* GB3 </w:instrText>
                  </w:r>
                  <w:r>
                    <w:rPr>
                      <w:sz w:val="21"/>
                      <w:szCs w:val="21"/>
                    </w:rPr>
                    <w:fldChar w:fldCharType="separate"/>
                  </w:r>
                  <w:r>
                    <w:rPr>
                      <w:sz w:val="21"/>
                      <w:szCs w:val="21"/>
                    </w:rPr>
                    <w:t>②</w:t>
                  </w:r>
                  <w:r>
                    <w:rPr>
                      <w:sz w:val="21"/>
                      <w:szCs w:val="21"/>
                    </w:rPr>
                    <w:fldChar w:fldCharType="end"/>
                  </w:r>
                  <w:r>
                    <w:rPr>
                      <w:sz w:val="21"/>
                      <w:szCs w:val="21"/>
                    </w:rPr>
                    <w:t>放射性药物操作不当或因其他原因打翻，完全泄露。</w:t>
                  </w:r>
                </w:p>
                <w:p w14:paraId="3339DBA8">
                  <w:pPr>
                    <w:spacing w:line="360" w:lineRule="exact"/>
                    <w:rPr>
                      <w:sz w:val="21"/>
                      <w:szCs w:val="21"/>
                    </w:rPr>
                  </w:pPr>
                  <w:r>
                    <w:rPr>
                      <w:sz w:val="21"/>
                      <w:szCs w:val="21"/>
                    </w:rPr>
                    <w:fldChar w:fldCharType="begin"/>
                  </w:r>
                  <w:r>
                    <w:rPr>
                      <w:sz w:val="21"/>
                      <w:szCs w:val="21"/>
                    </w:rPr>
                    <w:instrText xml:space="preserve"> = 3 \* GB3 </w:instrText>
                  </w:r>
                  <w:r>
                    <w:rPr>
                      <w:sz w:val="21"/>
                      <w:szCs w:val="21"/>
                    </w:rPr>
                    <w:fldChar w:fldCharType="separate"/>
                  </w:r>
                  <w:r>
                    <w:rPr>
                      <w:sz w:val="21"/>
                      <w:szCs w:val="21"/>
                    </w:rPr>
                    <w:t>③</w:t>
                  </w:r>
                  <w:r>
                    <w:rPr>
                      <w:sz w:val="21"/>
                      <w:szCs w:val="21"/>
                    </w:rPr>
                    <w:fldChar w:fldCharType="end"/>
                  </w:r>
                  <w:r>
                    <w:rPr>
                      <w:sz w:val="21"/>
                      <w:szCs w:val="21"/>
                    </w:rPr>
                    <w:t>分装设备发生故障造成的放射性药物撒漏；</w:t>
                  </w:r>
                </w:p>
              </w:tc>
              <w:tc>
                <w:tcPr>
                  <w:tcW w:w="678" w:type="pct"/>
                  <w:gridSpan w:val="2"/>
                  <w:vAlign w:val="center"/>
                </w:tcPr>
                <w:p w14:paraId="4DAC87B5">
                  <w:pPr>
                    <w:spacing w:line="360" w:lineRule="exact"/>
                    <w:jc w:val="center"/>
                    <w:rPr>
                      <w:sz w:val="21"/>
                      <w:szCs w:val="21"/>
                    </w:rPr>
                  </w:pPr>
                  <w:r>
                    <w:rPr>
                      <w:sz w:val="21"/>
                      <w:szCs w:val="21"/>
                    </w:rPr>
                    <w:t>人员超剂量照射</w:t>
                  </w:r>
                </w:p>
              </w:tc>
              <w:tc>
                <w:tcPr>
                  <w:tcW w:w="572" w:type="pct"/>
                  <w:gridSpan w:val="2"/>
                  <w:vAlign w:val="center"/>
                </w:tcPr>
                <w:p w14:paraId="6EDF1620">
                  <w:pPr>
                    <w:spacing w:line="360" w:lineRule="exact"/>
                    <w:jc w:val="center"/>
                    <w:rPr>
                      <w:sz w:val="21"/>
                      <w:szCs w:val="21"/>
                    </w:rPr>
                  </w:pPr>
                  <w:r>
                    <w:rPr>
                      <w:sz w:val="21"/>
                      <w:szCs w:val="21"/>
                    </w:rPr>
                    <w:t>一般辐射事故</w:t>
                  </w:r>
                </w:p>
              </w:tc>
            </w:tr>
          </w:tbl>
          <w:p w14:paraId="7A437A4B">
            <w:pPr>
              <w:rPr>
                <w:rFonts w:eastAsia="黑体"/>
              </w:rPr>
            </w:pPr>
            <w:r>
              <w:rPr>
                <w:rFonts w:eastAsia="黑体"/>
              </w:rPr>
              <w:t>五、事故防范措施</w:t>
            </w:r>
          </w:p>
          <w:p w14:paraId="09B77D8B">
            <w:pPr>
              <w:pBdr>
                <w:top w:val="none" w:color="000000" w:sz="0" w:space="0"/>
                <w:left w:val="none" w:color="000000" w:sz="0" w:space="0"/>
                <w:bottom w:val="none" w:color="000000" w:sz="0" w:space="0"/>
                <w:right w:val="none" w:color="000000" w:sz="0" w:space="0"/>
              </w:pBdr>
              <w:ind w:firstLine="468" w:firstLineChars="200"/>
            </w:pPr>
            <w:r>
              <w:rPr>
                <w:spacing w:val="-3"/>
              </w:rPr>
              <w:t>上述辐射事故可以通过完善辐射防护安全设施、制定相关管理规章制度和辐射事故应急措施加以防范，将辐射环境风险控制在可接受水平。针对在运行过程中可能发生的事故，尽可能地减小或控制事故的危害和影响，本次评价提出以下防范措施：</w:t>
            </w:r>
          </w:p>
          <w:p w14:paraId="5F57FF5B">
            <w:pPr>
              <w:pBdr>
                <w:top w:val="none" w:color="000000" w:sz="0" w:space="0"/>
                <w:left w:val="none" w:color="000000" w:sz="0" w:space="0"/>
                <w:bottom w:val="none" w:color="000000" w:sz="0" w:space="0"/>
                <w:right w:val="none" w:color="000000" w:sz="0" w:space="0"/>
              </w:pBdr>
              <w:ind w:firstLine="468" w:firstLineChars="200"/>
              <w:rPr>
                <w:spacing w:val="-3"/>
              </w:rPr>
            </w:pPr>
            <w:r>
              <w:rPr>
                <w:spacing w:val="-3"/>
              </w:rPr>
              <w:t>（1）</w:t>
            </w:r>
            <w:r>
              <w:t>定期认真地对本单位非密封放射性物质、射线装置和放射源的安全防护措施/设施的安全防护效果进行检测或者检查，制定并落实完善的辐射安全规章管理制度并有专人监督核实各项管理制度的执行情况，对发现的安全隐患立即进行整改，避免事故发生。</w:t>
            </w:r>
          </w:p>
          <w:p w14:paraId="4DEC394C">
            <w:pPr>
              <w:pBdr>
                <w:top w:val="none" w:color="000000" w:sz="0" w:space="0"/>
                <w:left w:val="none" w:color="000000" w:sz="0" w:space="0"/>
                <w:bottom w:val="none" w:color="000000" w:sz="0" w:space="0"/>
                <w:right w:val="none" w:color="000000" w:sz="0" w:space="0"/>
              </w:pBdr>
              <w:ind w:firstLine="468" w:firstLineChars="200"/>
              <w:rPr>
                <w:spacing w:val="-3"/>
              </w:rPr>
            </w:pPr>
            <w:r>
              <w:rPr>
                <w:spacing w:val="-3"/>
              </w:rPr>
              <w:t>（2）射线装置操作必须有明确的操作规程，操作人员应定期培训，使之熟练操作，</w:t>
            </w:r>
            <w:r>
              <w:t>并严格按照操作规程进行操作，做好个人的防护。</w:t>
            </w:r>
          </w:p>
          <w:p w14:paraId="7A5F0062">
            <w:pPr>
              <w:pBdr>
                <w:top w:val="none" w:color="000000" w:sz="0" w:space="0"/>
                <w:left w:val="none" w:color="000000" w:sz="0" w:space="0"/>
                <w:bottom w:val="none" w:color="000000" w:sz="0" w:space="0"/>
                <w:right w:val="none" w:color="000000" w:sz="0" w:space="0"/>
              </w:pBdr>
              <w:ind w:firstLine="468" w:firstLineChars="200"/>
            </w:pPr>
            <w:r>
              <w:rPr>
                <w:spacing w:val="-3"/>
              </w:rPr>
              <w:t>（3）严格执行放射性核素安全管理制度，设专人负责，做好核素的领取、使用登记工作，确保放射性药物的安全。核医学科储源室设置防盗门及报警装置等设施，做好防火防盗工作。</w:t>
            </w:r>
          </w:p>
          <w:p w14:paraId="299E9F65">
            <w:pPr>
              <w:pBdr>
                <w:top w:val="none" w:color="000000" w:sz="0" w:space="0"/>
                <w:left w:val="none" w:color="000000" w:sz="0" w:space="0"/>
                <w:bottom w:val="none" w:color="000000" w:sz="0" w:space="0"/>
                <w:right w:val="none" w:color="000000" w:sz="0" w:space="0"/>
              </w:pBdr>
              <w:ind w:firstLine="468" w:firstLineChars="200"/>
              <w:rPr>
                <w:spacing w:val="-3"/>
              </w:rPr>
            </w:pPr>
            <w:r>
              <w:rPr>
                <w:spacing w:val="-3"/>
              </w:rPr>
              <w:t>（4）加强放射性废物的管理，对贮存的放射性废物在废物桶外标明放射性废物的类型、核素种类和存放日期的说明，并做好相应的记录。放射性废水和放射性固废经足够长的时间衰变后，方可排放或按照普通医疗垃圾处理，并做好监测记录。</w:t>
            </w:r>
          </w:p>
          <w:p w14:paraId="4555BFD5">
            <w:pPr>
              <w:pBdr>
                <w:top w:val="none" w:color="000000" w:sz="0" w:space="0"/>
                <w:left w:val="none" w:color="000000" w:sz="0" w:space="0"/>
                <w:bottom w:val="none" w:color="000000" w:sz="0" w:space="0"/>
                <w:right w:val="none" w:color="000000" w:sz="0" w:space="0"/>
              </w:pBdr>
              <w:ind w:firstLine="468" w:firstLineChars="200"/>
              <w:rPr>
                <w:spacing w:val="-3"/>
              </w:rPr>
            </w:pPr>
            <w:r>
              <w:rPr>
                <w:spacing w:val="-3"/>
              </w:rPr>
              <w:t>（5）正确穿戴个人防护用品，主要包括工作服、工作鞋、帽等基本防护用品，以及铅防护衣、防护镜等附加防护用品。工作人员进入监督区必须穿戴辐射防护用品，个人剂量计佩戴于铅衣内部左胸前。在进行分装及注射放射性药物时穿铅衣、戴口罩、手套，必要时戴防护眼镜。尽量利用长柄钳、镊子等工具操作，增加与放射性药物的距离。为病人注射放射性药物时，工作人员手部有一定受照量，操作者应使用注射器屏蔽设施。</w:t>
            </w:r>
          </w:p>
          <w:p w14:paraId="05AD1591">
            <w:pPr>
              <w:pBdr>
                <w:top w:val="none" w:color="000000" w:sz="0" w:space="0"/>
                <w:left w:val="none" w:color="000000" w:sz="0" w:space="0"/>
                <w:bottom w:val="none" w:color="000000" w:sz="0" w:space="0"/>
                <w:right w:val="none" w:color="000000" w:sz="0" w:space="0"/>
              </w:pBdr>
              <w:ind w:firstLine="468" w:firstLineChars="200"/>
            </w:pPr>
            <w:r>
              <w:rPr>
                <w:spacing w:val="-3"/>
              </w:rPr>
              <w:t>（6）严格按照辐射监测计划进行辐射水平监测，如果监测结果表明屏蔽体外辐射水平偏高，应适当加强屏蔽。</w:t>
            </w:r>
          </w:p>
          <w:p w14:paraId="5C20FE37">
            <w:pPr>
              <w:ind w:firstLine="468" w:firstLineChars="200"/>
              <w:rPr>
                <w:spacing w:val="-3"/>
              </w:rPr>
            </w:pPr>
            <w:r>
              <w:rPr>
                <w:spacing w:val="-3"/>
              </w:rPr>
              <w:t>（7）</w:t>
            </w:r>
            <w:r>
              <w:t>射线装置每次开机前，应检查机房安全装置（如监控系统、门机联锁装置、门灯联锁装置、紧急止动按钮等）的有效性，确保一切正常并安全的情况下，射线装置才能进行开机运行。</w:t>
            </w:r>
          </w:p>
          <w:p w14:paraId="78C57A10">
            <w:pPr>
              <w:ind w:firstLine="480" w:firstLineChars="200"/>
            </w:pPr>
            <w:r>
              <w:t>（8）所有辐射工作人员均需参加辐射安全与防护考核，取得合格证书方可从事辐射活动。</w:t>
            </w:r>
          </w:p>
          <w:p w14:paraId="4AE8C234">
            <w:pPr>
              <w:ind w:firstLine="480" w:firstLineChars="200"/>
            </w:pPr>
            <w:r>
              <w:t>（9）射线装置安装调试时，必须由厂家专业人员负责完成，安装调试时关闭防护门，并在机房门外设立辐射警示标志。</w:t>
            </w:r>
          </w:p>
          <w:p w14:paraId="5E6F319C">
            <w:pPr>
              <w:ind w:firstLine="480" w:firstLineChars="200"/>
            </w:pPr>
            <w:r>
              <w:t>（10）辐射防护管理人员要经常对辐射工作场所进行巡视检查，及时纠正不利于辐射安全防护的行为。</w:t>
            </w:r>
          </w:p>
          <w:p w14:paraId="6ACF1D03">
            <w:pPr>
              <w:rPr>
                <w:rFonts w:eastAsia="黑体"/>
              </w:rPr>
            </w:pPr>
            <w:r>
              <w:rPr>
                <w:rFonts w:eastAsia="黑体"/>
              </w:rPr>
              <w:t>六、事故应急措施</w:t>
            </w:r>
          </w:p>
          <w:p w14:paraId="2698F926">
            <w:pPr>
              <w:ind w:firstLine="480"/>
              <w:rPr>
                <w:b/>
                <w:szCs w:val="22"/>
              </w:rPr>
            </w:pPr>
            <w:r>
              <w:rPr>
                <w:szCs w:val="22"/>
              </w:rPr>
              <w:t>发生辐射事故时，采取的应急处理措施如下：</w:t>
            </w:r>
          </w:p>
          <w:p w14:paraId="559AE06C">
            <w:pPr>
              <w:ind w:firstLine="480"/>
              <w:rPr>
                <w:b/>
              </w:rPr>
            </w:pPr>
            <w:r>
              <w:rPr>
                <w:b/>
                <w:lang w:bidi="ar"/>
              </w:rPr>
              <w:t>1、非密封放射性物质</w:t>
            </w:r>
          </w:p>
          <w:p w14:paraId="31A08339">
            <w:pPr>
              <w:ind w:firstLine="480"/>
              <w:rPr>
                <w:lang w:bidi="ar"/>
              </w:rPr>
            </w:pPr>
            <w:r>
              <w:t>（1）由于操作不慎，有少量的液态药物溅洒。发生这种事故应迅速用吸附衬垫吸干溅洒的液体，以防止污染扩散。然后用备用的塑料袋装清洗过程中产生的污染物品和湿的药棉、纸巾，从溅洒处移去垫子，用药棉或纸巾擦抹，应注意从污染区的边沿向中心擦抹，直到擦干污染区。最后用表面沾污仪测量污染区，</w:t>
            </w:r>
            <w:r>
              <w:rPr>
                <w:lang w:bidi="ar"/>
              </w:rPr>
              <w:t>如果α</w:t>
            </w:r>
            <w:r>
              <w:rPr>
                <w:spacing w:val="-3"/>
                <w:lang w:bidi="ar"/>
              </w:rPr>
              <w:t>表面污染大于0.4Bq/cm</w:t>
            </w:r>
            <w:r>
              <w:rPr>
                <w:spacing w:val="-3"/>
                <w:vertAlign w:val="superscript"/>
                <w:lang w:bidi="ar"/>
              </w:rPr>
              <w:t>2</w:t>
            </w:r>
            <w:r>
              <w:rPr>
                <w:spacing w:val="-3"/>
                <w:lang w:bidi="ar"/>
              </w:rPr>
              <w:t>、</w:t>
            </w:r>
            <w:r>
              <w:rPr>
                <w:lang w:bidi="ar"/>
              </w:rPr>
              <w:t>β表面污染大于4Bq/cm</w:t>
            </w:r>
            <w:r>
              <w:rPr>
                <w:vertAlign w:val="superscript"/>
                <w:lang w:bidi="ar"/>
              </w:rPr>
              <w:t>2</w:t>
            </w:r>
            <w:r>
              <w:rPr>
                <w:lang w:bidi="ar"/>
              </w:rPr>
              <w:t>，表明该污染区未达到标准，这时应用酒精浸湿药棉或纸巾擦拭，直到该污染区α</w:t>
            </w:r>
            <w:r>
              <w:rPr>
                <w:spacing w:val="-3"/>
                <w:lang w:bidi="ar"/>
              </w:rPr>
              <w:t>表面污染小于0.4Bq/cm</w:t>
            </w:r>
            <w:r>
              <w:rPr>
                <w:spacing w:val="-3"/>
                <w:vertAlign w:val="superscript"/>
                <w:lang w:bidi="ar"/>
              </w:rPr>
              <w:t>2</w:t>
            </w:r>
            <w:r>
              <w:rPr>
                <w:spacing w:val="-3"/>
                <w:lang w:bidi="ar"/>
              </w:rPr>
              <w:t>、</w:t>
            </w:r>
            <w:r>
              <w:rPr>
                <w:lang w:bidi="ar"/>
              </w:rPr>
              <w:t>β表面污染小于4Bq/cm</w:t>
            </w:r>
            <w:r>
              <w:rPr>
                <w:vertAlign w:val="superscript"/>
                <w:lang w:bidi="ar"/>
              </w:rPr>
              <w:t>2</w:t>
            </w:r>
            <w:r>
              <w:rPr>
                <w:lang w:bidi="ar"/>
              </w:rPr>
              <w:t>为止。</w:t>
            </w:r>
          </w:p>
          <w:p w14:paraId="75D70270">
            <w:pPr>
              <w:pStyle w:val="19"/>
              <w:ind w:firstLine="480"/>
              <w:jc w:val="both"/>
              <w:rPr>
                <w:b/>
                <w:sz w:val="24"/>
              </w:rPr>
            </w:pPr>
            <w:r>
              <w:rPr>
                <w:sz w:val="24"/>
              </w:rPr>
              <w:t>（2）因不慎造成放射性核素大面积污染了地面或台面时，应先用吸收滤纸将其吸干，以防扩散，并立即标记污染范围，注明放射性核素名称、日期。根据污染程度及时报告上级领导和有关部门。人体溅污放射性核素时，应先用吸水纸吸干体表，避免污染面积扩大，之后根据不同核素分别去污，最终去污标准需达到</w:t>
            </w:r>
            <w:r>
              <w:rPr>
                <w:sz w:val="24"/>
                <w:lang w:bidi="ar"/>
              </w:rPr>
              <w:t>α</w:t>
            </w:r>
            <w:r>
              <w:rPr>
                <w:spacing w:val="-3"/>
                <w:sz w:val="24"/>
                <w:lang w:bidi="ar"/>
              </w:rPr>
              <w:t>表面污染小于0.04Bq/cm</w:t>
            </w:r>
            <w:r>
              <w:rPr>
                <w:spacing w:val="-3"/>
                <w:sz w:val="24"/>
                <w:vertAlign w:val="superscript"/>
                <w:lang w:bidi="ar"/>
              </w:rPr>
              <w:t>2</w:t>
            </w:r>
            <w:r>
              <w:rPr>
                <w:spacing w:val="-3"/>
                <w:sz w:val="24"/>
                <w:lang w:bidi="ar"/>
              </w:rPr>
              <w:t>、</w:t>
            </w:r>
            <w:r>
              <w:rPr>
                <w:sz w:val="24"/>
                <w:lang w:bidi="ar"/>
              </w:rPr>
              <w:t>β表面污染小于0.4Bq/cm</w:t>
            </w:r>
            <w:r>
              <w:rPr>
                <w:sz w:val="24"/>
                <w:vertAlign w:val="superscript"/>
                <w:lang w:bidi="ar"/>
              </w:rPr>
              <w:t>2</w:t>
            </w:r>
            <w:r>
              <w:rPr>
                <w:sz w:val="24"/>
              </w:rPr>
              <w:t>。</w:t>
            </w:r>
          </w:p>
          <w:p w14:paraId="54856FA2">
            <w:pPr>
              <w:ind w:firstLine="480"/>
              <w:rPr>
                <w:szCs w:val="22"/>
              </w:rPr>
            </w:pPr>
            <w:r>
              <w:t>（3）若发生放射性同位素丢失、被盗，应第一时间将事故情况通报有关（环保、公安、卫生等）主管部门；分析</w:t>
            </w:r>
            <w:r>
              <w:rPr>
                <w:szCs w:val="22"/>
              </w:rPr>
              <w:t>确定丢失、被盗事故的具体时间及原因，向相关部门提供信息，根据有关线索，组织人员协同相关部门查找丢失、被盗放射性同位素，在查找过程中携带辐射监测仪器，防止事故处理人员受到照射；对放射性同位素丢失前存放场所进行监测，根据现场辐射剂量率的大小确定是否受污染。如现场受到污染出现辐射剂量率异常情况，根据辐射剂量率大小划定警戒线，撤离警戒区域内的所有人员，事故处理人员应穿戴防护用品，佩戴个人剂量计进入事故现场。</w:t>
            </w:r>
          </w:p>
          <w:p w14:paraId="1E1877E4">
            <w:pPr>
              <w:ind w:firstLine="480"/>
              <w:rPr>
                <w:szCs w:val="22"/>
              </w:rPr>
            </w:pPr>
            <w:r>
              <w:rPr>
                <w:szCs w:val="22"/>
              </w:rPr>
              <w:t>（5）放射性废物处置或管理不当造成污染时，立即划定警戒区，并设置放射性污染标识，限制无关人员靠近，由专业人员处理，经监测满足解控要求后再解除警戒。</w:t>
            </w:r>
          </w:p>
          <w:p w14:paraId="2BBC17BB">
            <w:pPr>
              <w:ind w:firstLine="480"/>
              <w:rPr>
                <w:rFonts w:eastAsia="Times New Roman"/>
                <w:b/>
              </w:rPr>
            </w:pPr>
            <w:r>
              <w:rPr>
                <w:rFonts w:eastAsia="Times New Roman"/>
                <w:b/>
              </w:rPr>
              <w:t>2</w:t>
            </w:r>
            <w:r>
              <w:rPr>
                <w:b/>
              </w:rPr>
              <w:t>、射线装置</w:t>
            </w:r>
          </w:p>
          <w:p w14:paraId="69E739B9">
            <w:pPr>
              <w:ind w:firstLine="480"/>
              <w:rPr>
                <w:szCs w:val="22"/>
              </w:rPr>
            </w:pPr>
            <w:r>
              <w:rPr>
                <w:szCs w:val="22"/>
              </w:rPr>
              <w:t>如出现人员误入射线装置机房或射线装置失控，应</w:t>
            </w:r>
            <w:r>
              <w:t>立即消除事故源，防止事故继续蔓延和扩大，即第一时间断开电源（如立即启动</w:t>
            </w:r>
            <w:r>
              <w:rPr>
                <w:rFonts w:eastAsia="Times New Roman"/>
              </w:rPr>
              <w:t>“</w:t>
            </w:r>
            <w:r>
              <w:t>紧急止动开关</w:t>
            </w:r>
            <w:r>
              <w:rPr>
                <w:rFonts w:eastAsia="Times New Roman"/>
              </w:rPr>
              <w:t>”</w:t>
            </w:r>
            <w:r>
              <w:t>），停止</w:t>
            </w:r>
            <w:r>
              <w:rPr>
                <w:rFonts w:eastAsia="Times New Roman"/>
              </w:rPr>
              <w:t>X</w:t>
            </w:r>
            <w:r>
              <w:t>射线的产生，</w:t>
            </w:r>
            <w:r>
              <w:rPr>
                <w:szCs w:val="22"/>
              </w:rPr>
              <w:t>并对受误照射人员进行医学诊断和观察。</w:t>
            </w:r>
          </w:p>
          <w:p w14:paraId="2000889F">
            <w:pPr>
              <w:pStyle w:val="55"/>
            </w:pPr>
          </w:p>
          <w:p w14:paraId="4F85EF9D">
            <w:pPr>
              <w:pStyle w:val="55"/>
            </w:pPr>
          </w:p>
          <w:p w14:paraId="6046282F">
            <w:pPr>
              <w:pStyle w:val="55"/>
              <w:ind w:firstLine="0"/>
            </w:pPr>
          </w:p>
        </w:tc>
      </w:tr>
    </w:tbl>
    <w:p w14:paraId="227720CF">
      <w:pPr>
        <w:sectPr>
          <w:pgSz w:w="11907" w:h="16839"/>
          <w:pgMar w:top="1106" w:right="1800" w:bottom="1276" w:left="1440" w:header="851" w:footer="567" w:gutter="0"/>
          <w:pgBorders>
            <w:top w:val="none" w:sz="0" w:space="0"/>
            <w:left w:val="none" w:sz="0" w:space="0"/>
            <w:bottom w:val="none" w:sz="0" w:space="0"/>
            <w:right w:val="none" w:sz="0" w:space="0"/>
          </w:pgBorders>
          <w:cols w:space="720" w:num="1"/>
          <w:docGrid w:linePitch="360" w:charSpace="0"/>
        </w:sectPr>
      </w:pPr>
    </w:p>
    <w:p w14:paraId="4F325F6B">
      <w:pPr>
        <w:keepNext/>
        <w:keepLines/>
        <w:pageBreakBefore/>
        <w:spacing w:line="240" w:lineRule="auto"/>
        <w:outlineLvl w:val="0"/>
        <w:rPr>
          <w:b/>
          <w:bCs/>
          <w:sz w:val="28"/>
          <w:szCs w:val="28"/>
        </w:rPr>
      </w:pPr>
      <w:bookmarkStart w:id="66" w:name="_Toc194317401"/>
      <w:bookmarkStart w:id="67" w:name="_Toc15991548"/>
      <w:r>
        <w:rPr>
          <w:b/>
          <w:bCs/>
          <w:sz w:val="28"/>
          <w:szCs w:val="28"/>
        </w:rPr>
        <w:t>表12：辐射安全管理</w:t>
      </w:r>
      <w:bookmarkEnd w:id="66"/>
      <w:bookmarkEnd w:id="67"/>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7F69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5A836AE1">
            <w:pPr>
              <w:widowControl/>
              <w:jc w:val="left"/>
              <w:rPr>
                <w:rFonts w:eastAsia="黑体"/>
              </w:rPr>
            </w:pPr>
            <w:r>
              <w:rPr>
                <w:rFonts w:eastAsia="黑体"/>
              </w:rPr>
              <w:t>辐射安全与环境保护管理机构的设置</w:t>
            </w:r>
          </w:p>
          <w:p w14:paraId="7EA81FDD">
            <w:pPr>
              <w:ind w:firstLine="480"/>
            </w:pPr>
            <w:r>
              <w:t>根据《放射性同位素与射线装置安全和防护条例》、《放射性同位素与射线装置安全许可管理办法》等法律法规要求，使用非密封放射性物质工作场所、Ⅱ/Ⅲ类射线装置和Ⅴ类放射源的单位应设有专门的辐射安全与环境保护管理机构，或者至少有1名具有本科以上学历的技术人员专职负责辐射安全与环境保护管理工作。</w:t>
            </w:r>
          </w:p>
          <w:p w14:paraId="12DB513B">
            <w:pPr>
              <w:ind w:firstLine="480"/>
              <w:rPr>
                <w:highlight w:val="none"/>
              </w:rPr>
            </w:pPr>
            <w:r>
              <w:rPr>
                <w:rFonts w:hint="eastAsia"/>
                <w:bCs/>
                <w:highlight w:val="none"/>
                <w:lang w:eastAsia="zh-CN"/>
              </w:rPr>
              <w:t>四川天府新区人民医院</w:t>
            </w:r>
            <w:r>
              <w:rPr>
                <w:bCs/>
                <w:highlight w:val="none"/>
              </w:rPr>
              <w:t>于202</w:t>
            </w:r>
            <w:r>
              <w:rPr>
                <w:rFonts w:hint="eastAsia"/>
                <w:bCs/>
                <w:highlight w:val="none"/>
                <w:lang w:val="en-US" w:eastAsia="zh-CN"/>
              </w:rPr>
              <w:t>6</w:t>
            </w:r>
            <w:r>
              <w:rPr>
                <w:bCs/>
                <w:highlight w:val="none"/>
              </w:rPr>
              <w:t>年</w:t>
            </w:r>
            <w:r>
              <w:rPr>
                <w:rFonts w:hint="eastAsia"/>
                <w:bCs/>
                <w:highlight w:val="none"/>
                <w:lang w:val="en-US" w:eastAsia="zh-CN"/>
              </w:rPr>
              <w:t>3</w:t>
            </w:r>
            <w:r>
              <w:rPr>
                <w:bCs/>
                <w:highlight w:val="none"/>
              </w:rPr>
              <w:t>月调整了</w:t>
            </w:r>
            <w:r>
              <w:rPr>
                <w:rFonts w:hint="eastAsia"/>
                <w:bCs/>
                <w:highlight w:val="none"/>
              </w:rPr>
              <w:t>辐射安全与环境保护管理领导小组</w:t>
            </w:r>
            <w:r>
              <w:rPr>
                <w:highlight w:val="none"/>
              </w:rPr>
              <w:t>（附件</w:t>
            </w:r>
            <w:r>
              <w:rPr>
                <w:rFonts w:hint="eastAsia"/>
                <w:highlight w:val="none"/>
              </w:rPr>
              <w:t>4</w:t>
            </w:r>
            <w:r>
              <w:rPr>
                <w:highlight w:val="none"/>
              </w:rPr>
              <w:t>），</w:t>
            </w:r>
            <w:r>
              <w:rPr>
                <w:rFonts w:hint="eastAsia"/>
                <w:bCs/>
                <w:highlight w:val="none"/>
              </w:rPr>
              <w:t>辐射安全与环境保护管理领导小组</w:t>
            </w:r>
            <w:r>
              <w:rPr>
                <w:highlight w:val="none"/>
              </w:rPr>
              <w:t>成员组成见表12-1。</w:t>
            </w:r>
          </w:p>
          <w:p w14:paraId="02C8064D">
            <w:pPr>
              <w:spacing w:before="163" w:line="240" w:lineRule="auto"/>
              <w:jc w:val="center"/>
              <w:rPr>
                <w:rFonts w:eastAsia="黑体"/>
                <w:sz w:val="21"/>
                <w:szCs w:val="21"/>
                <w:highlight w:val="none"/>
              </w:rPr>
            </w:pPr>
            <w:r>
              <w:rPr>
                <w:rFonts w:eastAsia="黑体"/>
                <w:sz w:val="21"/>
                <w:szCs w:val="21"/>
                <w:highlight w:val="none"/>
              </w:rPr>
              <w:t xml:space="preserve">表12-1   </w:t>
            </w:r>
            <w:r>
              <w:rPr>
                <w:rFonts w:hint="eastAsia" w:eastAsia="黑体"/>
                <w:sz w:val="21"/>
                <w:szCs w:val="21"/>
                <w:highlight w:val="none"/>
              </w:rPr>
              <w:t>辐射安全与环境保护管理领导小组</w:t>
            </w:r>
            <w:r>
              <w:rPr>
                <w:rFonts w:eastAsia="黑体"/>
                <w:sz w:val="21"/>
                <w:szCs w:val="21"/>
                <w:highlight w:val="none"/>
              </w:rPr>
              <w:t>成员组成表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7195"/>
            </w:tblGrid>
            <w:tr w14:paraId="580A59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67" w:type="pct"/>
                </w:tcPr>
                <w:p w14:paraId="4EA65E7C">
                  <w:pPr>
                    <w:spacing w:line="360" w:lineRule="exact"/>
                    <w:jc w:val="center"/>
                    <w:rPr>
                      <w:sz w:val="21"/>
                      <w:szCs w:val="21"/>
                      <w:highlight w:val="none"/>
                    </w:rPr>
                  </w:pPr>
                  <w:r>
                    <w:rPr>
                      <w:sz w:val="21"/>
                      <w:szCs w:val="21"/>
                      <w:highlight w:val="none"/>
                    </w:rPr>
                    <w:t>职责</w:t>
                  </w:r>
                </w:p>
              </w:tc>
              <w:tc>
                <w:tcPr>
                  <w:tcW w:w="4233" w:type="pct"/>
                </w:tcPr>
                <w:p w14:paraId="5F83A2D3">
                  <w:pPr>
                    <w:spacing w:line="360" w:lineRule="exact"/>
                    <w:jc w:val="center"/>
                    <w:rPr>
                      <w:sz w:val="21"/>
                      <w:szCs w:val="21"/>
                      <w:highlight w:val="none"/>
                    </w:rPr>
                  </w:pPr>
                  <w:r>
                    <w:rPr>
                      <w:sz w:val="21"/>
                      <w:szCs w:val="21"/>
                      <w:highlight w:val="none"/>
                    </w:rPr>
                    <w:t>成员</w:t>
                  </w:r>
                </w:p>
              </w:tc>
            </w:tr>
            <w:tr w14:paraId="26E8D9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67" w:type="pct"/>
                </w:tcPr>
                <w:p w14:paraId="20087211">
                  <w:pPr>
                    <w:spacing w:line="360" w:lineRule="exact"/>
                    <w:jc w:val="center"/>
                    <w:rPr>
                      <w:sz w:val="21"/>
                      <w:szCs w:val="21"/>
                      <w:highlight w:val="none"/>
                    </w:rPr>
                  </w:pPr>
                  <w:r>
                    <w:rPr>
                      <w:sz w:val="21"/>
                      <w:szCs w:val="21"/>
                      <w:highlight w:val="none"/>
                    </w:rPr>
                    <w:t>组长</w:t>
                  </w:r>
                </w:p>
              </w:tc>
              <w:tc>
                <w:tcPr>
                  <w:tcW w:w="4233" w:type="pct"/>
                </w:tcPr>
                <w:p w14:paraId="7F0CBE2E">
                  <w:pPr>
                    <w:spacing w:line="360" w:lineRule="exact"/>
                    <w:jc w:val="center"/>
                    <w:rPr>
                      <w:rFonts w:hint="eastAsia" w:eastAsia="宋体"/>
                      <w:sz w:val="21"/>
                      <w:szCs w:val="21"/>
                      <w:highlight w:val="none"/>
                      <w:lang w:eastAsia="zh-CN"/>
                    </w:rPr>
                  </w:pPr>
                  <w:r>
                    <w:rPr>
                      <w:rFonts w:hint="eastAsia"/>
                      <w:sz w:val="21"/>
                      <w:szCs w:val="21"/>
                      <w:highlight w:val="none"/>
                      <w:lang w:val="en-US" w:eastAsia="zh-CN"/>
                    </w:rPr>
                    <w:t>院长</w:t>
                  </w:r>
                </w:p>
              </w:tc>
            </w:tr>
            <w:tr w14:paraId="3A7384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67" w:type="pct"/>
                </w:tcPr>
                <w:p w14:paraId="4DFC6209">
                  <w:pPr>
                    <w:spacing w:line="360" w:lineRule="exact"/>
                    <w:jc w:val="center"/>
                    <w:rPr>
                      <w:sz w:val="21"/>
                      <w:szCs w:val="21"/>
                      <w:highlight w:val="none"/>
                    </w:rPr>
                  </w:pPr>
                  <w:r>
                    <w:rPr>
                      <w:sz w:val="21"/>
                      <w:szCs w:val="21"/>
                      <w:highlight w:val="none"/>
                    </w:rPr>
                    <w:t>副组长</w:t>
                  </w:r>
                </w:p>
              </w:tc>
              <w:tc>
                <w:tcPr>
                  <w:tcW w:w="4233" w:type="pct"/>
                </w:tcPr>
                <w:p w14:paraId="6649DB6B">
                  <w:pPr>
                    <w:spacing w:line="360" w:lineRule="exact"/>
                    <w:jc w:val="center"/>
                    <w:rPr>
                      <w:sz w:val="21"/>
                      <w:szCs w:val="21"/>
                      <w:highlight w:val="none"/>
                    </w:rPr>
                  </w:pPr>
                  <w:r>
                    <w:rPr>
                      <w:sz w:val="21"/>
                      <w:szCs w:val="21"/>
                      <w:highlight w:val="none"/>
                    </w:rPr>
                    <w:t>分管副院长</w:t>
                  </w:r>
                </w:p>
              </w:tc>
            </w:tr>
            <w:tr w14:paraId="179BB6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67" w:type="pct"/>
                  <w:vAlign w:val="center"/>
                </w:tcPr>
                <w:p w14:paraId="7CA144F9">
                  <w:pPr>
                    <w:spacing w:line="360" w:lineRule="exact"/>
                    <w:jc w:val="center"/>
                    <w:rPr>
                      <w:sz w:val="21"/>
                      <w:szCs w:val="21"/>
                      <w:highlight w:val="none"/>
                    </w:rPr>
                  </w:pPr>
                  <w:r>
                    <w:rPr>
                      <w:sz w:val="21"/>
                      <w:szCs w:val="21"/>
                      <w:highlight w:val="none"/>
                    </w:rPr>
                    <w:t>成员</w:t>
                  </w:r>
                </w:p>
              </w:tc>
              <w:tc>
                <w:tcPr>
                  <w:tcW w:w="4233" w:type="pct"/>
                </w:tcPr>
                <w:p w14:paraId="51DFF3E0">
                  <w:pPr>
                    <w:widowControl/>
                    <w:spacing w:line="360" w:lineRule="exact"/>
                    <w:rPr>
                      <w:sz w:val="21"/>
                      <w:szCs w:val="21"/>
                      <w:highlight w:val="none"/>
                    </w:rPr>
                  </w:pPr>
                  <w:r>
                    <w:rPr>
                      <w:rFonts w:hint="eastAsia"/>
                      <w:sz w:val="21"/>
                      <w:szCs w:val="21"/>
                      <w:highlight w:val="none"/>
                    </w:rPr>
                    <w:t>公共卫生部、医务部、护理部、后勤保卫部、医院感染管理部、医学装备部、影像科、骨科、麻醉手术中心、胃肠/肝胆/甲乳外科、呼吸与危重症医学科、肾内科、心血管内科、神经内科、口腔科、老年医学科等相关科室负责人。</w:t>
                  </w:r>
                </w:p>
              </w:tc>
            </w:tr>
          </w:tbl>
          <w:p w14:paraId="4BA632ED">
            <w:pPr>
              <w:ind w:firstLine="480"/>
            </w:pPr>
            <w:r>
              <w:rPr>
                <w:rFonts w:hint="eastAsia"/>
                <w:bCs/>
                <w:highlight w:val="none"/>
              </w:rPr>
              <w:t>辐射安全与环境保护管理领导小组</w:t>
            </w:r>
            <w:r>
              <w:t>的主要职责如下：</w:t>
            </w:r>
          </w:p>
          <w:p w14:paraId="774682AB">
            <w:pPr>
              <w:ind w:firstLine="480"/>
              <w:rPr>
                <w:rFonts w:hint="eastAsia"/>
                <w:highlight w:val="none"/>
              </w:rPr>
            </w:pPr>
            <w:r>
              <w:rPr>
                <w:rFonts w:hint="eastAsia"/>
                <w:highlight w:val="none"/>
              </w:rPr>
              <w:t>（</w:t>
            </w:r>
            <w:r>
              <w:rPr>
                <w:rFonts w:hint="eastAsia"/>
                <w:highlight w:val="none"/>
                <w:lang w:val="en-US" w:eastAsia="zh-CN"/>
              </w:rPr>
              <w:t>1</w:t>
            </w:r>
            <w:r>
              <w:rPr>
                <w:rFonts w:hint="eastAsia"/>
                <w:highlight w:val="none"/>
              </w:rPr>
              <w:t>）按照《中华人民共和国放射性污染防治法》及《放射性同位素与射线装置安全与防护条例》的要求，组织制定并落实医院辐射安全与环境保护管理制度；</w:t>
            </w:r>
          </w:p>
          <w:p w14:paraId="5E0CD2B2">
            <w:pPr>
              <w:ind w:firstLine="480"/>
              <w:rPr>
                <w:rFonts w:hint="eastAsia"/>
                <w:highlight w:val="none"/>
              </w:rPr>
            </w:pPr>
            <w:r>
              <w:rPr>
                <w:rFonts w:hint="eastAsia"/>
                <w:highlight w:val="none"/>
              </w:rPr>
              <w:t>（</w:t>
            </w:r>
            <w:r>
              <w:rPr>
                <w:rFonts w:hint="eastAsia"/>
                <w:highlight w:val="none"/>
                <w:lang w:val="en-US" w:eastAsia="zh-CN"/>
              </w:rPr>
              <w:t>2</w:t>
            </w:r>
            <w:r>
              <w:rPr>
                <w:rFonts w:hint="eastAsia"/>
                <w:highlight w:val="none"/>
              </w:rPr>
              <w:t>）负责射线装置改、扩建时的辐射安全许可证、放射诊疗许可证的办理工作；</w:t>
            </w:r>
          </w:p>
          <w:p w14:paraId="3266EB3D">
            <w:pPr>
              <w:ind w:firstLine="480"/>
              <w:rPr>
                <w:rFonts w:hint="eastAsia"/>
                <w:highlight w:val="none"/>
              </w:rPr>
            </w:pPr>
            <w:r>
              <w:rPr>
                <w:rFonts w:hint="eastAsia"/>
                <w:highlight w:val="none"/>
              </w:rPr>
              <w:t>（</w:t>
            </w:r>
            <w:r>
              <w:rPr>
                <w:rFonts w:hint="eastAsia"/>
                <w:highlight w:val="none"/>
                <w:lang w:val="en-US" w:eastAsia="zh-CN"/>
              </w:rPr>
              <w:t>3</w:t>
            </w:r>
            <w:r>
              <w:rPr>
                <w:rFonts w:hint="eastAsia"/>
                <w:highlight w:val="none"/>
              </w:rPr>
              <w:t>）对辐射安全与防护工作进行监督检查、指导；</w:t>
            </w:r>
          </w:p>
          <w:p w14:paraId="000E39AC">
            <w:pPr>
              <w:ind w:firstLine="480"/>
              <w:rPr>
                <w:rFonts w:hint="eastAsia"/>
                <w:highlight w:val="none"/>
              </w:rPr>
            </w:pPr>
            <w:r>
              <w:rPr>
                <w:rFonts w:hint="eastAsia"/>
                <w:highlight w:val="none"/>
              </w:rPr>
              <w:t>（</w:t>
            </w:r>
            <w:r>
              <w:rPr>
                <w:rFonts w:hint="eastAsia"/>
                <w:highlight w:val="none"/>
                <w:lang w:val="en-US" w:eastAsia="zh-CN"/>
              </w:rPr>
              <w:t>4</w:t>
            </w:r>
            <w:r>
              <w:rPr>
                <w:rFonts w:hint="eastAsia"/>
                <w:highlight w:val="none"/>
              </w:rPr>
              <w:t>）组织制定辐射事件应急预案；</w:t>
            </w:r>
          </w:p>
          <w:p w14:paraId="04C642E7">
            <w:pPr>
              <w:ind w:firstLine="480"/>
              <w:rPr>
                <w:rFonts w:hint="eastAsia"/>
                <w:highlight w:val="none"/>
              </w:rPr>
            </w:pPr>
            <w:r>
              <w:rPr>
                <w:rFonts w:hint="eastAsia"/>
                <w:highlight w:val="none"/>
              </w:rPr>
              <w:t>（</w:t>
            </w:r>
            <w:r>
              <w:rPr>
                <w:rFonts w:hint="eastAsia"/>
                <w:highlight w:val="none"/>
                <w:lang w:val="en-US" w:eastAsia="zh-CN"/>
              </w:rPr>
              <w:t>5</w:t>
            </w:r>
            <w:r>
              <w:rPr>
                <w:rFonts w:hint="eastAsia"/>
                <w:highlight w:val="none"/>
              </w:rPr>
              <w:t>）负责安排射线装置性能监测、工作场所环境监测、工作人员计量监测等各项监测工作以及工作人员的辐射安全培训、健康体检；</w:t>
            </w:r>
          </w:p>
          <w:p w14:paraId="6E30ADC9">
            <w:pPr>
              <w:ind w:firstLine="480"/>
              <w:rPr>
                <w:rFonts w:eastAsia="黑体"/>
                <w:highlight w:val="none"/>
              </w:rPr>
            </w:pPr>
            <w:r>
              <w:rPr>
                <w:rFonts w:hint="eastAsia"/>
                <w:highlight w:val="none"/>
              </w:rPr>
              <w:t>（</w:t>
            </w:r>
            <w:r>
              <w:rPr>
                <w:rFonts w:hint="eastAsia"/>
                <w:highlight w:val="none"/>
                <w:lang w:val="en-US" w:eastAsia="zh-CN"/>
              </w:rPr>
              <w:t>6</w:t>
            </w:r>
            <w:r>
              <w:rPr>
                <w:rFonts w:hint="eastAsia"/>
                <w:highlight w:val="none"/>
              </w:rPr>
              <w:t>）依法对本单位射线装置工作的安全和防护状况进行年度评估，编写年度评估报告，于每年1月31日前报四川省生态环境厅。</w:t>
            </w:r>
          </w:p>
          <w:p w14:paraId="5C87ED0E">
            <w:pPr>
              <w:rPr>
                <w:rFonts w:eastAsia="黑体"/>
              </w:rPr>
            </w:pPr>
            <w:r>
              <w:rPr>
                <w:rFonts w:eastAsia="黑体"/>
              </w:rPr>
              <w:t>二、辐射工作岗位人员配置和能力分析</w:t>
            </w:r>
          </w:p>
          <w:p w14:paraId="659E27CC">
            <w:pPr>
              <w:ind w:firstLine="480"/>
              <w:rPr>
                <w:bCs/>
              </w:rPr>
            </w:pPr>
            <w:r>
              <w:t>本项目拟设置</w:t>
            </w:r>
            <w:r>
              <w:rPr>
                <w:rFonts w:hint="eastAsia"/>
                <w:lang w:val="en-US" w:eastAsia="zh-CN"/>
              </w:rPr>
              <w:t>50</w:t>
            </w:r>
            <w:r>
              <w:t>名辐射工作人员，</w:t>
            </w:r>
            <w:r>
              <w:rPr>
                <w:lang w:bidi="ar"/>
              </w:rPr>
              <w:t>均为新增辐射工作人员，根据《关于核技术利用辐射安全与防护培训和考核有关事项的公告》（生态环境部公告 2019年第57号），新从事辐射活动的人员，应通过国家核技术利用辐射安全与防护培训平台（网址：http://fushe.mee.gov.cn）进行相关知识学习，通过生态环境部培训平台报名并参加考核，取得辐射安全培训合格证书后方可从事辐射活动。根据《放射性同位素与射线装置安全和防护管理办法》，考核合格的人员，每5年接受一次再学习考核。</w:t>
            </w:r>
            <w:r>
              <w:t>本项目投运以后，医院可根据实际发展情况适当增减辐射工作人员。</w:t>
            </w:r>
          </w:p>
        </w:tc>
      </w:tr>
      <w:tr w14:paraId="6D4A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12DEC249">
            <w:pPr>
              <w:widowControl/>
              <w:jc w:val="left"/>
              <w:rPr>
                <w:rFonts w:eastAsia="黑体"/>
              </w:rPr>
            </w:pPr>
            <w:r>
              <w:rPr>
                <w:rFonts w:eastAsia="黑体"/>
              </w:rPr>
              <w:t>辐射安全管理规章制度</w:t>
            </w:r>
          </w:p>
          <w:p w14:paraId="06D02ABD">
            <w:pPr>
              <w:rPr>
                <w:rFonts w:eastAsia="黑体"/>
              </w:rPr>
            </w:pPr>
            <w:r>
              <w:rPr>
                <w:rFonts w:eastAsia="黑体"/>
              </w:rPr>
              <w:t>一、档案分类管理</w:t>
            </w:r>
          </w:p>
          <w:p w14:paraId="7B043B52">
            <w:pPr>
              <w:ind w:firstLine="480"/>
            </w:pPr>
            <w:r>
              <w:t>医院应对本项目相关资料分类归档，档案资料应</w:t>
            </w:r>
            <w:r>
              <w:rPr>
                <w:szCs w:val="22"/>
              </w:rPr>
              <w:t>包括以下九大类：“制度文件”、“环评资料”、“许可证资料”、“射线装置台账”、“监测和检查记录”、“个人剂量档案”、“培训档案”、“辐射应急资料”、“废物处置记录”，</w:t>
            </w:r>
            <w:r>
              <w:t>并由专人进行管理。</w:t>
            </w:r>
          </w:p>
          <w:p w14:paraId="6C64AE80">
            <w:pPr>
              <w:rPr>
                <w:rFonts w:eastAsia="黑体"/>
              </w:rPr>
            </w:pPr>
            <w:r>
              <w:rPr>
                <w:rFonts w:eastAsia="黑体"/>
              </w:rPr>
              <w:t>二、规章制度</w:t>
            </w:r>
          </w:p>
          <w:p w14:paraId="6D874C20">
            <w:pPr>
              <w:ind w:firstLine="480"/>
            </w:pPr>
            <w:r>
              <w:t>根据《放射性同位素与射线装置安全许可管理办法》（2021年第四次修正），使用射线装置的单位申请领取许可证，应当有健全的操作规程、岗位职责、辐射防护和安全保卫制度、设备检修维护制度、人员培训计划、监测方案等，结合生态环境部（国家核安全局）《核技术利用监督检查技术程序》（2020年发布版）和</w:t>
            </w:r>
            <w:r>
              <w:rPr>
                <w:rFonts w:hint="default" w:ascii="Times New Roman" w:hAnsi="Times New Roman" w:eastAsia="宋体" w:cs="Times New Roman"/>
                <w:color w:val="auto"/>
                <w:sz w:val="24"/>
                <w:highlight w:val="none"/>
                <w:lang w:val="en-US" w:eastAsia="zh-CN"/>
              </w:rPr>
              <w:t>《关于印发&lt;</w:t>
            </w:r>
            <w:r>
              <w:rPr>
                <w:rFonts w:hint="eastAsia" w:ascii="Times New Roman" w:hAnsi="Times New Roman" w:eastAsia="宋体" w:cs="Times New Roman"/>
                <w:color w:val="auto"/>
                <w:sz w:val="24"/>
                <w:highlight w:val="none"/>
                <w:lang w:val="en-US" w:eastAsia="zh-CN"/>
              </w:rPr>
              <w:t>四川省核技术利用单位辐射安全工作指引（2025年版）</w:t>
            </w:r>
            <w:r>
              <w:rPr>
                <w:rFonts w:hint="default" w:ascii="Times New Roman" w:hAnsi="Times New Roman" w:eastAsia="宋体" w:cs="Times New Roman"/>
                <w:color w:val="auto"/>
                <w:sz w:val="24"/>
                <w:highlight w:val="none"/>
                <w:lang w:val="en-US" w:eastAsia="zh-CN"/>
              </w:rPr>
              <w:t>&gt;的通知》（</w:t>
            </w:r>
            <w:r>
              <w:rPr>
                <w:rFonts w:hint="eastAsia" w:ascii="Times New Roman" w:hAnsi="Times New Roman" w:eastAsia="宋体" w:cs="Times New Roman"/>
                <w:color w:val="auto"/>
                <w:sz w:val="24"/>
                <w:highlight w:val="none"/>
                <w:lang w:val="en-US" w:eastAsia="zh-CN"/>
              </w:rPr>
              <w:t>川环函〔2025〕616号</w:t>
            </w:r>
            <w:r>
              <w:rPr>
                <w:rFonts w:hint="default" w:ascii="Times New Roman" w:hAnsi="Times New Roman" w:eastAsia="宋体" w:cs="Times New Roman"/>
                <w:color w:val="auto"/>
                <w:sz w:val="24"/>
                <w:highlight w:val="none"/>
                <w:lang w:val="en-US" w:eastAsia="zh-CN"/>
              </w:rPr>
              <w:t>）</w:t>
            </w:r>
            <w:r>
              <w:t>的相关要求中的相关规定，</w:t>
            </w:r>
            <w:r>
              <w:rPr>
                <w:bCs/>
              </w:rPr>
              <w:t>将医院现有制度与相关规定要求进行对照，</w:t>
            </w:r>
            <w:r>
              <w:t>医院需补充或完善的内容见表12-2。</w:t>
            </w:r>
          </w:p>
          <w:p w14:paraId="7A80498E">
            <w:pPr>
              <w:spacing w:before="163" w:line="240" w:lineRule="auto"/>
              <w:jc w:val="center"/>
              <w:rPr>
                <w:rFonts w:eastAsia="黑体"/>
                <w:sz w:val="21"/>
                <w:szCs w:val="21"/>
              </w:rPr>
            </w:pPr>
            <w:r>
              <w:rPr>
                <w:rFonts w:eastAsia="黑体"/>
                <w:sz w:val="21"/>
                <w:szCs w:val="21"/>
              </w:rPr>
              <w:t>表12-2  管理制度汇总对照表</w:t>
            </w:r>
          </w:p>
          <w:tbl>
            <w:tblPr>
              <w:tblStyle w:val="5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68"/>
              <w:gridCol w:w="728"/>
              <w:gridCol w:w="3516"/>
              <w:gridCol w:w="1022"/>
              <w:gridCol w:w="2565"/>
            </w:tblGrid>
            <w:tr w14:paraId="411F55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2692B603">
                  <w:pPr>
                    <w:tabs>
                      <w:tab w:val="left" w:pos="372"/>
                    </w:tabs>
                    <w:spacing w:line="360" w:lineRule="exact"/>
                    <w:jc w:val="center"/>
                    <w:rPr>
                      <w:bCs/>
                      <w:sz w:val="21"/>
                      <w:szCs w:val="21"/>
                    </w:rPr>
                  </w:pPr>
                  <w:r>
                    <w:rPr>
                      <w:bCs/>
                      <w:sz w:val="21"/>
                      <w:szCs w:val="21"/>
                    </w:rPr>
                    <w:t>序号</w:t>
                  </w:r>
                </w:p>
              </w:tc>
              <w:tc>
                <w:tcPr>
                  <w:tcW w:w="2495" w:type="pct"/>
                  <w:gridSpan w:val="2"/>
                  <w:vAlign w:val="center"/>
                </w:tcPr>
                <w:p w14:paraId="655D5A71">
                  <w:pPr>
                    <w:tabs>
                      <w:tab w:val="left" w:pos="372"/>
                      <w:tab w:val="left" w:pos="2760"/>
                      <w:tab w:val="left" w:pos="3240"/>
                    </w:tabs>
                    <w:spacing w:line="360" w:lineRule="exact"/>
                    <w:ind w:left="0" w:leftChars="0" w:firstLine="0" w:firstLineChars="0"/>
                    <w:jc w:val="center"/>
                    <w:rPr>
                      <w:bCs/>
                      <w:sz w:val="21"/>
                      <w:szCs w:val="21"/>
                    </w:rPr>
                  </w:pPr>
                  <w:r>
                    <w:rPr>
                      <w:bCs/>
                      <w:sz w:val="21"/>
                      <w:szCs w:val="21"/>
                    </w:rPr>
                    <w:t>检查项目</w:t>
                  </w:r>
                </w:p>
              </w:tc>
              <w:tc>
                <w:tcPr>
                  <w:tcW w:w="601" w:type="pct"/>
                  <w:vAlign w:val="center"/>
                </w:tcPr>
                <w:p w14:paraId="49639A96">
                  <w:pPr>
                    <w:tabs>
                      <w:tab w:val="left" w:pos="372"/>
                    </w:tabs>
                    <w:spacing w:line="360" w:lineRule="exact"/>
                    <w:jc w:val="center"/>
                    <w:rPr>
                      <w:bCs/>
                      <w:sz w:val="21"/>
                      <w:szCs w:val="21"/>
                    </w:rPr>
                  </w:pPr>
                  <w:r>
                    <w:rPr>
                      <w:bCs/>
                      <w:sz w:val="21"/>
                      <w:szCs w:val="21"/>
                    </w:rPr>
                    <w:t>落实情况</w:t>
                  </w:r>
                </w:p>
              </w:tc>
              <w:tc>
                <w:tcPr>
                  <w:tcW w:w="1508" w:type="pct"/>
                  <w:vAlign w:val="center"/>
                </w:tcPr>
                <w:p w14:paraId="0D2E37CC">
                  <w:pPr>
                    <w:tabs>
                      <w:tab w:val="left" w:pos="372"/>
                    </w:tabs>
                    <w:spacing w:line="360" w:lineRule="exact"/>
                    <w:jc w:val="center"/>
                    <w:rPr>
                      <w:bCs/>
                      <w:sz w:val="21"/>
                      <w:szCs w:val="21"/>
                    </w:rPr>
                  </w:pPr>
                  <w:r>
                    <w:rPr>
                      <w:bCs/>
                      <w:sz w:val="21"/>
                      <w:szCs w:val="21"/>
                    </w:rPr>
                    <w:t>备注</w:t>
                  </w:r>
                </w:p>
              </w:tc>
            </w:tr>
            <w:tr w14:paraId="1C0F22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6A2547D2">
                  <w:pPr>
                    <w:tabs>
                      <w:tab w:val="left" w:pos="372"/>
                    </w:tabs>
                    <w:spacing w:line="360" w:lineRule="exact"/>
                    <w:jc w:val="center"/>
                    <w:rPr>
                      <w:bCs/>
                      <w:sz w:val="21"/>
                      <w:szCs w:val="21"/>
                    </w:rPr>
                  </w:pPr>
                  <w:r>
                    <w:rPr>
                      <w:bCs/>
                      <w:sz w:val="21"/>
                      <w:szCs w:val="21"/>
                    </w:rPr>
                    <w:t>1</w:t>
                  </w:r>
                </w:p>
              </w:tc>
              <w:tc>
                <w:tcPr>
                  <w:tcW w:w="428" w:type="pct"/>
                  <w:vMerge w:val="restart"/>
                  <w:vAlign w:val="center"/>
                </w:tcPr>
                <w:p w14:paraId="33413BED">
                  <w:pPr>
                    <w:tabs>
                      <w:tab w:val="left" w:pos="372"/>
                    </w:tabs>
                    <w:spacing w:line="360" w:lineRule="exact"/>
                    <w:ind w:left="0" w:leftChars="0" w:firstLine="0" w:firstLineChars="0"/>
                    <w:jc w:val="center"/>
                    <w:rPr>
                      <w:bCs/>
                      <w:sz w:val="21"/>
                      <w:szCs w:val="21"/>
                    </w:rPr>
                  </w:pPr>
                  <w:r>
                    <w:rPr>
                      <w:bCs/>
                      <w:sz w:val="21"/>
                      <w:szCs w:val="21"/>
                    </w:rPr>
                    <w:t>综合</w:t>
                  </w:r>
                </w:p>
              </w:tc>
              <w:tc>
                <w:tcPr>
                  <w:tcW w:w="2067" w:type="pct"/>
                  <w:vAlign w:val="center"/>
                </w:tcPr>
                <w:p w14:paraId="68A4B781">
                  <w:pPr>
                    <w:tabs>
                      <w:tab w:val="left" w:pos="372"/>
                    </w:tabs>
                    <w:spacing w:line="360" w:lineRule="exact"/>
                    <w:ind w:left="240" w:leftChars="100" w:firstLine="0" w:firstLineChars="0"/>
                    <w:jc w:val="left"/>
                    <w:rPr>
                      <w:bCs/>
                      <w:sz w:val="21"/>
                      <w:szCs w:val="21"/>
                    </w:rPr>
                  </w:pPr>
                  <w:r>
                    <w:rPr>
                      <w:bCs/>
                      <w:sz w:val="21"/>
                      <w:szCs w:val="21"/>
                    </w:rPr>
                    <w:t>辐射安全和防护管理规定（综合性文件）</w:t>
                  </w:r>
                </w:p>
              </w:tc>
              <w:tc>
                <w:tcPr>
                  <w:tcW w:w="601" w:type="pct"/>
                  <w:vAlign w:val="center"/>
                </w:tcPr>
                <w:p w14:paraId="1220C9DA">
                  <w:pPr>
                    <w:tabs>
                      <w:tab w:val="left" w:pos="372"/>
                    </w:tabs>
                    <w:spacing w:line="360" w:lineRule="exact"/>
                    <w:jc w:val="center"/>
                    <w:rPr>
                      <w:bCs/>
                      <w:sz w:val="21"/>
                      <w:szCs w:val="21"/>
                    </w:rPr>
                  </w:pPr>
                  <w:r>
                    <w:rPr>
                      <w:bCs/>
                      <w:sz w:val="21"/>
                      <w:szCs w:val="21"/>
                    </w:rPr>
                    <w:t>已制定</w:t>
                  </w:r>
                </w:p>
              </w:tc>
              <w:tc>
                <w:tcPr>
                  <w:tcW w:w="1508" w:type="pct"/>
                  <w:vAlign w:val="center"/>
                </w:tcPr>
                <w:p w14:paraId="0EEC5896">
                  <w:pPr>
                    <w:tabs>
                      <w:tab w:val="left" w:pos="372"/>
                    </w:tabs>
                    <w:spacing w:line="360" w:lineRule="exact"/>
                    <w:jc w:val="center"/>
                    <w:rPr>
                      <w:bCs/>
                      <w:sz w:val="21"/>
                      <w:szCs w:val="21"/>
                    </w:rPr>
                  </w:pPr>
                  <w:r>
                    <w:rPr>
                      <w:bCs/>
                      <w:sz w:val="21"/>
                      <w:szCs w:val="21"/>
                    </w:rPr>
                    <w:t>需将本项目纳入并修订完善，每个辐射工作场所应制定针对性的制度并张贴上墙</w:t>
                  </w:r>
                </w:p>
              </w:tc>
            </w:tr>
            <w:tr w14:paraId="03068C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0BA3931B">
                  <w:pPr>
                    <w:tabs>
                      <w:tab w:val="left" w:pos="372"/>
                    </w:tabs>
                    <w:spacing w:line="360" w:lineRule="exact"/>
                    <w:jc w:val="center"/>
                    <w:rPr>
                      <w:bCs/>
                      <w:sz w:val="21"/>
                      <w:szCs w:val="21"/>
                    </w:rPr>
                  </w:pPr>
                  <w:r>
                    <w:rPr>
                      <w:bCs/>
                      <w:sz w:val="21"/>
                      <w:szCs w:val="21"/>
                    </w:rPr>
                    <w:t>2</w:t>
                  </w:r>
                </w:p>
              </w:tc>
              <w:tc>
                <w:tcPr>
                  <w:tcW w:w="428" w:type="pct"/>
                  <w:vMerge w:val="continue"/>
                  <w:vAlign w:val="center"/>
                </w:tcPr>
                <w:p w14:paraId="1D4F2FF4">
                  <w:pPr>
                    <w:tabs>
                      <w:tab w:val="left" w:pos="372"/>
                    </w:tabs>
                    <w:spacing w:line="360" w:lineRule="exact"/>
                    <w:ind w:left="0" w:leftChars="0" w:firstLine="0" w:firstLineChars="0"/>
                    <w:jc w:val="center"/>
                    <w:rPr>
                      <w:bCs/>
                      <w:sz w:val="21"/>
                      <w:szCs w:val="21"/>
                    </w:rPr>
                  </w:pPr>
                </w:p>
              </w:tc>
              <w:tc>
                <w:tcPr>
                  <w:tcW w:w="2067" w:type="pct"/>
                  <w:vAlign w:val="center"/>
                </w:tcPr>
                <w:p w14:paraId="01EF5F83">
                  <w:pPr>
                    <w:tabs>
                      <w:tab w:val="left" w:pos="372"/>
                    </w:tabs>
                    <w:spacing w:line="360" w:lineRule="exact"/>
                    <w:ind w:left="240" w:leftChars="100" w:firstLine="0" w:firstLineChars="0"/>
                    <w:jc w:val="left"/>
                    <w:rPr>
                      <w:bCs/>
                      <w:sz w:val="21"/>
                      <w:szCs w:val="21"/>
                    </w:rPr>
                  </w:pPr>
                  <w:r>
                    <w:rPr>
                      <w:bCs/>
                      <w:sz w:val="21"/>
                      <w:szCs w:val="21"/>
                    </w:rPr>
                    <w:t>放射性药物管理规定</w:t>
                  </w:r>
                </w:p>
              </w:tc>
              <w:tc>
                <w:tcPr>
                  <w:tcW w:w="601" w:type="pct"/>
                  <w:vAlign w:val="center"/>
                </w:tcPr>
                <w:p w14:paraId="572FDD16">
                  <w:pPr>
                    <w:spacing w:line="360" w:lineRule="exact"/>
                    <w:jc w:val="center"/>
                    <w:rPr>
                      <w:bCs/>
                      <w:sz w:val="21"/>
                      <w:szCs w:val="21"/>
                    </w:rPr>
                  </w:pPr>
                  <w:r>
                    <w:rPr>
                      <w:bCs/>
                      <w:sz w:val="21"/>
                      <w:szCs w:val="21"/>
                    </w:rPr>
                    <w:t>已制定</w:t>
                  </w:r>
                </w:p>
              </w:tc>
              <w:tc>
                <w:tcPr>
                  <w:tcW w:w="1508" w:type="pct"/>
                  <w:vMerge w:val="restart"/>
                  <w:vAlign w:val="center"/>
                </w:tcPr>
                <w:p w14:paraId="62416D2F">
                  <w:pPr>
                    <w:tabs>
                      <w:tab w:val="left" w:pos="372"/>
                    </w:tabs>
                    <w:spacing w:line="360" w:lineRule="exact"/>
                    <w:jc w:val="center"/>
                    <w:rPr>
                      <w:bCs/>
                      <w:sz w:val="21"/>
                      <w:szCs w:val="21"/>
                    </w:rPr>
                  </w:pPr>
                  <w:r>
                    <w:rPr>
                      <w:bCs/>
                      <w:sz w:val="21"/>
                      <w:szCs w:val="21"/>
                    </w:rPr>
                    <w:t>需将本项目纳入并修订完善</w:t>
                  </w:r>
                </w:p>
              </w:tc>
            </w:tr>
            <w:tr w14:paraId="3D0FC1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2D5831D1">
                  <w:pPr>
                    <w:tabs>
                      <w:tab w:val="left" w:pos="372"/>
                    </w:tabs>
                    <w:spacing w:line="360" w:lineRule="exact"/>
                    <w:jc w:val="center"/>
                    <w:rPr>
                      <w:bCs/>
                      <w:sz w:val="21"/>
                      <w:szCs w:val="21"/>
                    </w:rPr>
                  </w:pPr>
                  <w:r>
                    <w:rPr>
                      <w:bCs/>
                      <w:sz w:val="21"/>
                      <w:szCs w:val="21"/>
                    </w:rPr>
                    <w:t>3</w:t>
                  </w:r>
                </w:p>
              </w:tc>
              <w:tc>
                <w:tcPr>
                  <w:tcW w:w="428" w:type="pct"/>
                  <w:vMerge w:val="continue"/>
                  <w:vAlign w:val="center"/>
                </w:tcPr>
                <w:p w14:paraId="2B7BE5BD">
                  <w:pPr>
                    <w:tabs>
                      <w:tab w:val="left" w:pos="372"/>
                    </w:tabs>
                    <w:spacing w:line="360" w:lineRule="exact"/>
                    <w:ind w:left="0" w:leftChars="0" w:firstLine="0" w:firstLineChars="0"/>
                    <w:jc w:val="center"/>
                    <w:rPr>
                      <w:bCs/>
                      <w:sz w:val="21"/>
                      <w:szCs w:val="21"/>
                    </w:rPr>
                  </w:pPr>
                </w:p>
              </w:tc>
              <w:tc>
                <w:tcPr>
                  <w:tcW w:w="2067" w:type="pct"/>
                  <w:vAlign w:val="center"/>
                </w:tcPr>
                <w:p w14:paraId="4B2940BA">
                  <w:pPr>
                    <w:tabs>
                      <w:tab w:val="left" w:pos="372"/>
                    </w:tabs>
                    <w:spacing w:line="360" w:lineRule="exact"/>
                    <w:ind w:left="240" w:leftChars="100" w:firstLine="0" w:firstLineChars="0"/>
                    <w:jc w:val="left"/>
                    <w:rPr>
                      <w:bCs/>
                      <w:sz w:val="21"/>
                      <w:szCs w:val="21"/>
                    </w:rPr>
                  </w:pPr>
                  <w:r>
                    <w:rPr>
                      <w:bCs/>
                      <w:sz w:val="21"/>
                      <w:szCs w:val="21"/>
                    </w:rPr>
                    <w:t>辐射工作场所安全保卫制度</w:t>
                  </w:r>
                </w:p>
              </w:tc>
              <w:tc>
                <w:tcPr>
                  <w:tcW w:w="601" w:type="pct"/>
                  <w:vAlign w:val="center"/>
                </w:tcPr>
                <w:p w14:paraId="08A4FAD6">
                  <w:pPr>
                    <w:spacing w:line="360" w:lineRule="exact"/>
                    <w:jc w:val="center"/>
                    <w:rPr>
                      <w:bCs/>
                      <w:sz w:val="21"/>
                      <w:szCs w:val="21"/>
                    </w:rPr>
                  </w:pPr>
                  <w:r>
                    <w:rPr>
                      <w:bCs/>
                      <w:sz w:val="21"/>
                      <w:szCs w:val="21"/>
                    </w:rPr>
                    <w:t>已制定</w:t>
                  </w:r>
                </w:p>
              </w:tc>
              <w:tc>
                <w:tcPr>
                  <w:tcW w:w="1508" w:type="pct"/>
                  <w:vMerge w:val="continue"/>
                  <w:vAlign w:val="center"/>
                </w:tcPr>
                <w:p w14:paraId="3C37A05C">
                  <w:pPr>
                    <w:spacing w:line="360" w:lineRule="exact"/>
                    <w:jc w:val="center"/>
                    <w:rPr>
                      <w:bCs/>
                      <w:sz w:val="21"/>
                      <w:szCs w:val="21"/>
                    </w:rPr>
                  </w:pPr>
                </w:p>
              </w:tc>
            </w:tr>
            <w:tr w14:paraId="4BA245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20751681">
                  <w:pPr>
                    <w:tabs>
                      <w:tab w:val="left" w:pos="372"/>
                    </w:tabs>
                    <w:spacing w:line="360" w:lineRule="exact"/>
                    <w:jc w:val="center"/>
                    <w:rPr>
                      <w:bCs/>
                      <w:sz w:val="21"/>
                      <w:szCs w:val="21"/>
                    </w:rPr>
                  </w:pPr>
                  <w:r>
                    <w:rPr>
                      <w:bCs/>
                      <w:sz w:val="21"/>
                      <w:szCs w:val="21"/>
                    </w:rPr>
                    <w:t>4</w:t>
                  </w:r>
                </w:p>
              </w:tc>
              <w:tc>
                <w:tcPr>
                  <w:tcW w:w="428" w:type="pct"/>
                  <w:vMerge w:val="continue"/>
                  <w:vAlign w:val="center"/>
                </w:tcPr>
                <w:p w14:paraId="46ED286E">
                  <w:pPr>
                    <w:tabs>
                      <w:tab w:val="left" w:pos="372"/>
                    </w:tabs>
                    <w:spacing w:line="360" w:lineRule="exact"/>
                    <w:ind w:left="0" w:leftChars="0" w:firstLine="0" w:firstLineChars="0"/>
                    <w:jc w:val="center"/>
                    <w:rPr>
                      <w:bCs/>
                      <w:sz w:val="21"/>
                      <w:szCs w:val="21"/>
                    </w:rPr>
                  </w:pPr>
                </w:p>
              </w:tc>
              <w:tc>
                <w:tcPr>
                  <w:tcW w:w="2067" w:type="pct"/>
                  <w:vAlign w:val="center"/>
                </w:tcPr>
                <w:p w14:paraId="1334EE70">
                  <w:pPr>
                    <w:tabs>
                      <w:tab w:val="left" w:pos="372"/>
                    </w:tabs>
                    <w:spacing w:line="360" w:lineRule="exact"/>
                    <w:ind w:left="240" w:leftChars="100" w:firstLine="0" w:firstLineChars="0"/>
                    <w:jc w:val="left"/>
                    <w:rPr>
                      <w:bCs/>
                      <w:sz w:val="21"/>
                      <w:szCs w:val="21"/>
                    </w:rPr>
                  </w:pPr>
                  <w:r>
                    <w:rPr>
                      <w:bCs/>
                      <w:sz w:val="21"/>
                      <w:szCs w:val="21"/>
                    </w:rPr>
                    <w:t>放射源管理制度（转让、使用、更换、返回、送贮）</w:t>
                  </w:r>
                </w:p>
              </w:tc>
              <w:tc>
                <w:tcPr>
                  <w:tcW w:w="601" w:type="pct"/>
                  <w:vAlign w:val="center"/>
                </w:tcPr>
                <w:p w14:paraId="70ABF66E">
                  <w:pPr>
                    <w:spacing w:line="360" w:lineRule="exact"/>
                    <w:jc w:val="center"/>
                    <w:rPr>
                      <w:bCs/>
                      <w:sz w:val="21"/>
                      <w:szCs w:val="21"/>
                    </w:rPr>
                  </w:pPr>
                  <w:r>
                    <w:rPr>
                      <w:bCs/>
                      <w:sz w:val="21"/>
                      <w:szCs w:val="21"/>
                    </w:rPr>
                    <w:t>已制定</w:t>
                  </w:r>
                </w:p>
              </w:tc>
              <w:tc>
                <w:tcPr>
                  <w:tcW w:w="1508" w:type="pct"/>
                  <w:vMerge w:val="continue"/>
                  <w:vAlign w:val="center"/>
                </w:tcPr>
                <w:p w14:paraId="1019DF90">
                  <w:pPr>
                    <w:spacing w:line="360" w:lineRule="exact"/>
                    <w:jc w:val="center"/>
                    <w:rPr>
                      <w:bCs/>
                      <w:sz w:val="21"/>
                      <w:szCs w:val="21"/>
                    </w:rPr>
                  </w:pPr>
                </w:p>
              </w:tc>
            </w:tr>
            <w:tr w14:paraId="0CDF6B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2B5881DA">
                  <w:pPr>
                    <w:tabs>
                      <w:tab w:val="left" w:pos="372"/>
                    </w:tabs>
                    <w:spacing w:line="360" w:lineRule="exact"/>
                    <w:jc w:val="center"/>
                    <w:rPr>
                      <w:bCs/>
                      <w:sz w:val="21"/>
                      <w:szCs w:val="21"/>
                    </w:rPr>
                  </w:pPr>
                  <w:r>
                    <w:rPr>
                      <w:bCs/>
                      <w:sz w:val="21"/>
                      <w:szCs w:val="21"/>
                    </w:rPr>
                    <w:t>5</w:t>
                  </w:r>
                </w:p>
              </w:tc>
              <w:tc>
                <w:tcPr>
                  <w:tcW w:w="428" w:type="pct"/>
                  <w:vMerge w:val="continue"/>
                  <w:vAlign w:val="center"/>
                </w:tcPr>
                <w:p w14:paraId="7D7A46E8">
                  <w:pPr>
                    <w:tabs>
                      <w:tab w:val="left" w:pos="372"/>
                    </w:tabs>
                    <w:spacing w:line="360" w:lineRule="exact"/>
                    <w:ind w:left="0" w:leftChars="0" w:firstLine="0" w:firstLineChars="0"/>
                    <w:jc w:val="center"/>
                    <w:rPr>
                      <w:bCs/>
                      <w:sz w:val="21"/>
                      <w:szCs w:val="21"/>
                    </w:rPr>
                  </w:pPr>
                </w:p>
              </w:tc>
              <w:tc>
                <w:tcPr>
                  <w:tcW w:w="2067" w:type="pct"/>
                  <w:vAlign w:val="center"/>
                </w:tcPr>
                <w:p w14:paraId="56FF33C2">
                  <w:pPr>
                    <w:tabs>
                      <w:tab w:val="left" w:pos="372"/>
                    </w:tabs>
                    <w:spacing w:line="360" w:lineRule="exact"/>
                    <w:ind w:left="240" w:leftChars="100" w:firstLine="0" w:firstLineChars="0"/>
                    <w:jc w:val="left"/>
                    <w:rPr>
                      <w:bCs/>
                      <w:sz w:val="21"/>
                      <w:szCs w:val="21"/>
                    </w:rPr>
                  </w:pPr>
                  <w:r>
                    <w:rPr>
                      <w:bCs/>
                      <w:sz w:val="21"/>
                      <w:szCs w:val="21"/>
                    </w:rPr>
                    <w:t>射线装置台账管理制度</w:t>
                  </w:r>
                </w:p>
              </w:tc>
              <w:tc>
                <w:tcPr>
                  <w:tcW w:w="601" w:type="pct"/>
                  <w:vAlign w:val="center"/>
                </w:tcPr>
                <w:p w14:paraId="17716E86">
                  <w:pPr>
                    <w:spacing w:line="360" w:lineRule="exact"/>
                    <w:jc w:val="center"/>
                    <w:rPr>
                      <w:bCs/>
                      <w:sz w:val="21"/>
                      <w:szCs w:val="21"/>
                    </w:rPr>
                  </w:pPr>
                  <w:r>
                    <w:rPr>
                      <w:bCs/>
                      <w:sz w:val="21"/>
                      <w:szCs w:val="21"/>
                    </w:rPr>
                    <w:t>已制定</w:t>
                  </w:r>
                </w:p>
              </w:tc>
              <w:tc>
                <w:tcPr>
                  <w:tcW w:w="1508" w:type="pct"/>
                  <w:vMerge w:val="continue"/>
                  <w:vAlign w:val="center"/>
                </w:tcPr>
                <w:p w14:paraId="75A9C45F">
                  <w:pPr>
                    <w:spacing w:line="360" w:lineRule="exact"/>
                    <w:jc w:val="center"/>
                    <w:rPr>
                      <w:bCs/>
                      <w:sz w:val="21"/>
                      <w:szCs w:val="21"/>
                    </w:rPr>
                  </w:pPr>
                </w:p>
              </w:tc>
            </w:tr>
            <w:tr w14:paraId="6B4CDC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722AB747">
                  <w:pPr>
                    <w:tabs>
                      <w:tab w:val="left" w:pos="372"/>
                    </w:tabs>
                    <w:spacing w:line="360" w:lineRule="exact"/>
                    <w:jc w:val="center"/>
                    <w:rPr>
                      <w:bCs/>
                      <w:sz w:val="21"/>
                      <w:szCs w:val="21"/>
                    </w:rPr>
                  </w:pPr>
                  <w:r>
                    <w:rPr>
                      <w:bCs/>
                      <w:sz w:val="21"/>
                      <w:szCs w:val="21"/>
                    </w:rPr>
                    <w:t>6</w:t>
                  </w:r>
                </w:p>
              </w:tc>
              <w:tc>
                <w:tcPr>
                  <w:tcW w:w="428" w:type="pct"/>
                  <w:vMerge w:val="restart"/>
                  <w:vAlign w:val="center"/>
                </w:tcPr>
                <w:p w14:paraId="6BC61314">
                  <w:pPr>
                    <w:tabs>
                      <w:tab w:val="left" w:pos="372"/>
                    </w:tabs>
                    <w:spacing w:line="360" w:lineRule="exact"/>
                    <w:ind w:left="0" w:leftChars="0" w:firstLine="0" w:firstLineChars="0"/>
                    <w:jc w:val="center"/>
                    <w:rPr>
                      <w:bCs/>
                      <w:sz w:val="21"/>
                      <w:szCs w:val="21"/>
                    </w:rPr>
                  </w:pPr>
                  <w:r>
                    <w:rPr>
                      <w:bCs/>
                      <w:sz w:val="21"/>
                      <w:szCs w:val="21"/>
                    </w:rPr>
                    <w:t>场所</w:t>
                  </w:r>
                </w:p>
              </w:tc>
              <w:tc>
                <w:tcPr>
                  <w:tcW w:w="2067" w:type="pct"/>
                  <w:vAlign w:val="center"/>
                </w:tcPr>
                <w:p w14:paraId="28D6E2E0">
                  <w:pPr>
                    <w:tabs>
                      <w:tab w:val="left" w:pos="372"/>
                    </w:tabs>
                    <w:spacing w:line="360" w:lineRule="exact"/>
                    <w:ind w:left="240" w:leftChars="100" w:firstLine="0" w:firstLineChars="0"/>
                    <w:jc w:val="left"/>
                    <w:rPr>
                      <w:bCs/>
                      <w:sz w:val="21"/>
                      <w:szCs w:val="21"/>
                    </w:rPr>
                  </w:pPr>
                  <w:r>
                    <w:rPr>
                      <w:bCs/>
                      <w:sz w:val="21"/>
                      <w:szCs w:val="21"/>
                    </w:rPr>
                    <w:t>场所分区管理规定（含人流、物流路线图）</w:t>
                  </w:r>
                </w:p>
              </w:tc>
              <w:tc>
                <w:tcPr>
                  <w:tcW w:w="601" w:type="pct"/>
                  <w:vAlign w:val="center"/>
                </w:tcPr>
                <w:p w14:paraId="56CA618C">
                  <w:pPr>
                    <w:spacing w:line="360" w:lineRule="exact"/>
                    <w:jc w:val="center"/>
                    <w:rPr>
                      <w:bCs/>
                      <w:sz w:val="21"/>
                      <w:szCs w:val="21"/>
                    </w:rPr>
                  </w:pPr>
                  <w:r>
                    <w:rPr>
                      <w:bCs/>
                      <w:sz w:val="21"/>
                      <w:szCs w:val="21"/>
                    </w:rPr>
                    <w:t>已制定</w:t>
                  </w:r>
                </w:p>
              </w:tc>
              <w:tc>
                <w:tcPr>
                  <w:tcW w:w="1508" w:type="pct"/>
                  <w:vMerge w:val="continue"/>
                </w:tcPr>
                <w:p w14:paraId="2D0D1E37">
                  <w:pPr>
                    <w:spacing w:line="360" w:lineRule="exact"/>
                    <w:jc w:val="center"/>
                    <w:rPr>
                      <w:bCs/>
                      <w:sz w:val="21"/>
                      <w:szCs w:val="21"/>
                    </w:rPr>
                  </w:pPr>
                </w:p>
              </w:tc>
            </w:tr>
            <w:tr w14:paraId="137EFC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7EA4AD27">
                  <w:pPr>
                    <w:tabs>
                      <w:tab w:val="left" w:pos="372"/>
                    </w:tabs>
                    <w:spacing w:line="360" w:lineRule="exact"/>
                    <w:jc w:val="center"/>
                    <w:rPr>
                      <w:bCs/>
                      <w:sz w:val="21"/>
                      <w:szCs w:val="21"/>
                    </w:rPr>
                  </w:pPr>
                  <w:r>
                    <w:rPr>
                      <w:bCs/>
                      <w:sz w:val="21"/>
                      <w:szCs w:val="21"/>
                    </w:rPr>
                    <w:t>7</w:t>
                  </w:r>
                </w:p>
              </w:tc>
              <w:tc>
                <w:tcPr>
                  <w:tcW w:w="428" w:type="pct"/>
                  <w:vMerge w:val="continue"/>
                  <w:vAlign w:val="center"/>
                </w:tcPr>
                <w:p w14:paraId="0E93BDF6">
                  <w:pPr>
                    <w:tabs>
                      <w:tab w:val="left" w:pos="372"/>
                    </w:tabs>
                    <w:spacing w:line="360" w:lineRule="exact"/>
                    <w:ind w:left="0" w:leftChars="0" w:firstLine="0" w:firstLineChars="0"/>
                    <w:jc w:val="center"/>
                    <w:rPr>
                      <w:bCs/>
                      <w:sz w:val="21"/>
                      <w:szCs w:val="21"/>
                    </w:rPr>
                  </w:pPr>
                </w:p>
              </w:tc>
              <w:tc>
                <w:tcPr>
                  <w:tcW w:w="2067" w:type="pct"/>
                  <w:vAlign w:val="center"/>
                </w:tcPr>
                <w:p w14:paraId="54EB4588">
                  <w:pPr>
                    <w:tabs>
                      <w:tab w:val="left" w:pos="372"/>
                    </w:tabs>
                    <w:spacing w:line="360" w:lineRule="exact"/>
                    <w:ind w:left="240" w:leftChars="100" w:firstLine="0" w:firstLineChars="0"/>
                    <w:jc w:val="left"/>
                    <w:rPr>
                      <w:bCs/>
                      <w:sz w:val="21"/>
                      <w:szCs w:val="21"/>
                    </w:rPr>
                  </w:pPr>
                  <w:r>
                    <w:rPr>
                      <w:bCs/>
                      <w:sz w:val="21"/>
                      <w:szCs w:val="21"/>
                    </w:rPr>
                    <w:t>非密封放射性物质操作规程（分操作核素或诊治类别进行制定）</w:t>
                  </w:r>
                </w:p>
              </w:tc>
              <w:tc>
                <w:tcPr>
                  <w:tcW w:w="601" w:type="pct"/>
                  <w:vAlign w:val="center"/>
                </w:tcPr>
                <w:p w14:paraId="60D750F7">
                  <w:pPr>
                    <w:spacing w:line="360" w:lineRule="exact"/>
                    <w:jc w:val="center"/>
                    <w:rPr>
                      <w:bCs/>
                      <w:sz w:val="21"/>
                      <w:szCs w:val="21"/>
                    </w:rPr>
                  </w:pPr>
                  <w:r>
                    <w:rPr>
                      <w:bCs/>
                      <w:sz w:val="21"/>
                      <w:szCs w:val="21"/>
                    </w:rPr>
                    <w:t>已制定</w:t>
                  </w:r>
                </w:p>
              </w:tc>
              <w:tc>
                <w:tcPr>
                  <w:tcW w:w="1508" w:type="pct"/>
                  <w:vMerge w:val="restart"/>
                  <w:vAlign w:val="center"/>
                </w:tcPr>
                <w:p w14:paraId="3F49F669">
                  <w:pPr>
                    <w:spacing w:line="360" w:lineRule="exact"/>
                    <w:jc w:val="center"/>
                    <w:rPr>
                      <w:bCs/>
                      <w:sz w:val="21"/>
                      <w:szCs w:val="21"/>
                    </w:rPr>
                  </w:pPr>
                  <w:r>
                    <w:rPr>
                      <w:bCs/>
                      <w:sz w:val="21"/>
                      <w:szCs w:val="21"/>
                    </w:rPr>
                    <w:t>需将本项目纳入并修订完善，并张贴上墙</w:t>
                  </w:r>
                </w:p>
              </w:tc>
            </w:tr>
            <w:tr w14:paraId="214239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09A7AD9C">
                  <w:pPr>
                    <w:tabs>
                      <w:tab w:val="left" w:pos="372"/>
                    </w:tabs>
                    <w:spacing w:line="360" w:lineRule="exact"/>
                    <w:jc w:val="center"/>
                    <w:rPr>
                      <w:bCs/>
                      <w:sz w:val="21"/>
                      <w:szCs w:val="21"/>
                    </w:rPr>
                  </w:pPr>
                  <w:r>
                    <w:rPr>
                      <w:bCs/>
                      <w:sz w:val="21"/>
                      <w:szCs w:val="21"/>
                    </w:rPr>
                    <w:t>8</w:t>
                  </w:r>
                </w:p>
              </w:tc>
              <w:tc>
                <w:tcPr>
                  <w:tcW w:w="428" w:type="pct"/>
                  <w:vMerge w:val="continue"/>
                  <w:vAlign w:val="center"/>
                </w:tcPr>
                <w:p w14:paraId="00BBE762">
                  <w:pPr>
                    <w:tabs>
                      <w:tab w:val="left" w:pos="372"/>
                    </w:tabs>
                    <w:spacing w:line="360" w:lineRule="exact"/>
                    <w:ind w:left="0" w:leftChars="0" w:firstLine="0" w:firstLineChars="0"/>
                    <w:jc w:val="center"/>
                    <w:rPr>
                      <w:bCs/>
                      <w:sz w:val="21"/>
                      <w:szCs w:val="21"/>
                    </w:rPr>
                  </w:pPr>
                </w:p>
              </w:tc>
              <w:tc>
                <w:tcPr>
                  <w:tcW w:w="2067" w:type="pct"/>
                  <w:vAlign w:val="center"/>
                </w:tcPr>
                <w:p w14:paraId="43A8466F">
                  <w:pPr>
                    <w:tabs>
                      <w:tab w:val="left" w:pos="372"/>
                    </w:tabs>
                    <w:spacing w:line="360" w:lineRule="exact"/>
                    <w:ind w:left="240" w:leftChars="100" w:firstLine="0" w:firstLineChars="0"/>
                    <w:jc w:val="left"/>
                    <w:rPr>
                      <w:bCs/>
                      <w:sz w:val="21"/>
                      <w:szCs w:val="21"/>
                    </w:rPr>
                  </w:pPr>
                  <w:r>
                    <w:rPr>
                      <w:bCs/>
                      <w:sz w:val="21"/>
                      <w:szCs w:val="21"/>
                    </w:rPr>
                    <w:t>去污操作规程</w:t>
                  </w:r>
                </w:p>
              </w:tc>
              <w:tc>
                <w:tcPr>
                  <w:tcW w:w="601" w:type="pct"/>
                  <w:vAlign w:val="center"/>
                </w:tcPr>
                <w:p w14:paraId="29A2F422">
                  <w:pPr>
                    <w:spacing w:line="360" w:lineRule="exact"/>
                    <w:jc w:val="center"/>
                    <w:rPr>
                      <w:bCs/>
                      <w:sz w:val="21"/>
                      <w:szCs w:val="21"/>
                    </w:rPr>
                  </w:pPr>
                  <w:r>
                    <w:rPr>
                      <w:bCs/>
                      <w:sz w:val="21"/>
                      <w:szCs w:val="21"/>
                    </w:rPr>
                    <w:t>已制定</w:t>
                  </w:r>
                </w:p>
              </w:tc>
              <w:tc>
                <w:tcPr>
                  <w:tcW w:w="1508" w:type="pct"/>
                  <w:vMerge w:val="continue"/>
                </w:tcPr>
                <w:p w14:paraId="6B7C7931">
                  <w:pPr>
                    <w:spacing w:line="360" w:lineRule="exact"/>
                    <w:jc w:val="center"/>
                    <w:rPr>
                      <w:bCs/>
                      <w:sz w:val="21"/>
                      <w:szCs w:val="21"/>
                    </w:rPr>
                  </w:pPr>
                </w:p>
              </w:tc>
            </w:tr>
            <w:tr w14:paraId="5EB578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04A592BD">
                  <w:pPr>
                    <w:tabs>
                      <w:tab w:val="left" w:pos="372"/>
                    </w:tabs>
                    <w:spacing w:line="360" w:lineRule="exact"/>
                    <w:jc w:val="center"/>
                    <w:rPr>
                      <w:bCs/>
                      <w:sz w:val="21"/>
                      <w:szCs w:val="21"/>
                    </w:rPr>
                  </w:pPr>
                  <w:r>
                    <w:rPr>
                      <w:bCs/>
                      <w:sz w:val="21"/>
                      <w:szCs w:val="21"/>
                    </w:rPr>
                    <w:t>9</w:t>
                  </w:r>
                </w:p>
              </w:tc>
              <w:tc>
                <w:tcPr>
                  <w:tcW w:w="428" w:type="pct"/>
                  <w:vMerge w:val="continue"/>
                  <w:vAlign w:val="center"/>
                </w:tcPr>
                <w:p w14:paraId="5EFB13F5">
                  <w:pPr>
                    <w:tabs>
                      <w:tab w:val="left" w:pos="372"/>
                    </w:tabs>
                    <w:spacing w:line="360" w:lineRule="exact"/>
                    <w:ind w:left="0" w:leftChars="0" w:firstLine="0" w:firstLineChars="0"/>
                    <w:jc w:val="center"/>
                    <w:rPr>
                      <w:bCs/>
                      <w:sz w:val="21"/>
                      <w:szCs w:val="21"/>
                    </w:rPr>
                  </w:pPr>
                </w:p>
              </w:tc>
              <w:tc>
                <w:tcPr>
                  <w:tcW w:w="2067" w:type="pct"/>
                  <w:vAlign w:val="center"/>
                </w:tcPr>
                <w:p w14:paraId="613979CA">
                  <w:pPr>
                    <w:tabs>
                      <w:tab w:val="left" w:pos="372"/>
                    </w:tabs>
                    <w:spacing w:line="360" w:lineRule="exact"/>
                    <w:ind w:left="240" w:leftChars="100" w:firstLine="0" w:firstLineChars="0"/>
                    <w:jc w:val="left"/>
                    <w:rPr>
                      <w:bCs/>
                      <w:sz w:val="21"/>
                      <w:szCs w:val="21"/>
                    </w:rPr>
                  </w:pPr>
                  <w:r>
                    <w:rPr>
                      <w:bCs/>
                      <w:sz w:val="21"/>
                      <w:szCs w:val="21"/>
                    </w:rPr>
                    <w:t>射线装置操作规程</w:t>
                  </w:r>
                </w:p>
              </w:tc>
              <w:tc>
                <w:tcPr>
                  <w:tcW w:w="601" w:type="pct"/>
                  <w:vAlign w:val="center"/>
                </w:tcPr>
                <w:p w14:paraId="750227C6">
                  <w:pPr>
                    <w:spacing w:line="360" w:lineRule="exact"/>
                    <w:jc w:val="center"/>
                    <w:rPr>
                      <w:bCs/>
                      <w:sz w:val="21"/>
                      <w:szCs w:val="21"/>
                    </w:rPr>
                  </w:pPr>
                  <w:r>
                    <w:rPr>
                      <w:bCs/>
                      <w:sz w:val="21"/>
                      <w:szCs w:val="21"/>
                    </w:rPr>
                    <w:t>已制定</w:t>
                  </w:r>
                </w:p>
              </w:tc>
              <w:tc>
                <w:tcPr>
                  <w:tcW w:w="1508" w:type="pct"/>
                  <w:vMerge w:val="continue"/>
                  <w:vAlign w:val="center"/>
                </w:tcPr>
                <w:p w14:paraId="6EBCDE9F">
                  <w:pPr>
                    <w:spacing w:line="360" w:lineRule="exact"/>
                    <w:jc w:val="center"/>
                    <w:rPr>
                      <w:bCs/>
                      <w:sz w:val="21"/>
                      <w:szCs w:val="21"/>
                    </w:rPr>
                  </w:pPr>
                </w:p>
              </w:tc>
            </w:tr>
            <w:tr w14:paraId="550480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72CFCD94">
                  <w:pPr>
                    <w:tabs>
                      <w:tab w:val="left" w:pos="372"/>
                    </w:tabs>
                    <w:spacing w:line="360" w:lineRule="exact"/>
                    <w:jc w:val="center"/>
                    <w:rPr>
                      <w:bCs/>
                      <w:sz w:val="21"/>
                      <w:szCs w:val="21"/>
                    </w:rPr>
                  </w:pPr>
                  <w:r>
                    <w:rPr>
                      <w:bCs/>
                      <w:sz w:val="21"/>
                      <w:szCs w:val="21"/>
                    </w:rPr>
                    <w:t>10</w:t>
                  </w:r>
                </w:p>
              </w:tc>
              <w:tc>
                <w:tcPr>
                  <w:tcW w:w="428" w:type="pct"/>
                  <w:vMerge w:val="continue"/>
                  <w:vAlign w:val="center"/>
                </w:tcPr>
                <w:p w14:paraId="290E9D4E">
                  <w:pPr>
                    <w:tabs>
                      <w:tab w:val="left" w:pos="372"/>
                    </w:tabs>
                    <w:spacing w:line="360" w:lineRule="exact"/>
                    <w:ind w:left="0" w:leftChars="0" w:firstLine="0" w:firstLineChars="0"/>
                    <w:jc w:val="center"/>
                    <w:rPr>
                      <w:bCs/>
                      <w:sz w:val="21"/>
                      <w:szCs w:val="21"/>
                    </w:rPr>
                  </w:pPr>
                </w:p>
              </w:tc>
              <w:tc>
                <w:tcPr>
                  <w:tcW w:w="2067" w:type="pct"/>
                  <w:vAlign w:val="center"/>
                </w:tcPr>
                <w:p w14:paraId="30B57A9A">
                  <w:pPr>
                    <w:tabs>
                      <w:tab w:val="left" w:pos="372"/>
                    </w:tabs>
                    <w:spacing w:line="360" w:lineRule="exact"/>
                    <w:ind w:left="240" w:leftChars="100" w:firstLine="0" w:firstLineChars="0"/>
                    <w:jc w:val="left"/>
                    <w:rPr>
                      <w:bCs/>
                      <w:sz w:val="21"/>
                      <w:szCs w:val="21"/>
                    </w:rPr>
                  </w:pPr>
                  <w:r>
                    <w:rPr>
                      <w:bCs/>
                      <w:sz w:val="21"/>
                      <w:szCs w:val="21"/>
                    </w:rPr>
                    <w:t>放射性药物（体内）治疗病房管理规定</w:t>
                  </w:r>
                </w:p>
              </w:tc>
              <w:tc>
                <w:tcPr>
                  <w:tcW w:w="601" w:type="pct"/>
                  <w:vAlign w:val="center"/>
                </w:tcPr>
                <w:p w14:paraId="3D2D2170">
                  <w:pPr>
                    <w:spacing w:line="360" w:lineRule="exact"/>
                    <w:jc w:val="center"/>
                    <w:rPr>
                      <w:bCs/>
                      <w:sz w:val="21"/>
                      <w:szCs w:val="21"/>
                    </w:rPr>
                  </w:pPr>
                  <w:r>
                    <w:rPr>
                      <w:bCs/>
                      <w:sz w:val="21"/>
                      <w:szCs w:val="21"/>
                    </w:rPr>
                    <w:t>已制定</w:t>
                  </w:r>
                </w:p>
              </w:tc>
              <w:tc>
                <w:tcPr>
                  <w:tcW w:w="1508" w:type="pct"/>
                  <w:vMerge w:val="restart"/>
                  <w:vAlign w:val="center"/>
                </w:tcPr>
                <w:p w14:paraId="0768A812">
                  <w:pPr>
                    <w:spacing w:line="360" w:lineRule="exact"/>
                    <w:jc w:val="center"/>
                    <w:rPr>
                      <w:bCs/>
                      <w:sz w:val="21"/>
                      <w:szCs w:val="21"/>
                    </w:rPr>
                  </w:pPr>
                  <w:r>
                    <w:rPr>
                      <w:bCs/>
                      <w:sz w:val="21"/>
                      <w:szCs w:val="21"/>
                    </w:rPr>
                    <w:t>需将本项目纳入并修订完善</w:t>
                  </w:r>
                </w:p>
              </w:tc>
            </w:tr>
            <w:tr w14:paraId="10621C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28D4A068">
                  <w:pPr>
                    <w:tabs>
                      <w:tab w:val="left" w:pos="372"/>
                    </w:tabs>
                    <w:spacing w:line="360" w:lineRule="exact"/>
                    <w:jc w:val="center"/>
                    <w:rPr>
                      <w:bCs/>
                      <w:sz w:val="21"/>
                      <w:szCs w:val="21"/>
                    </w:rPr>
                  </w:pPr>
                  <w:r>
                    <w:rPr>
                      <w:bCs/>
                      <w:sz w:val="21"/>
                      <w:szCs w:val="21"/>
                    </w:rPr>
                    <w:t>11</w:t>
                  </w:r>
                </w:p>
              </w:tc>
              <w:tc>
                <w:tcPr>
                  <w:tcW w:w="428" w:type="pct"/>
                  <w:vMerge w:val="continue"/>
                  <w:vAlign w:val="center"/>
                </w:tcPr>
                <w:p w14:paraId="001A885B">
                  <w:pPr>
                    <w:tabs>
                      <w:tab w:val="left" w:pos="372"/>
                    </w:tabs>
                    <w:spacing w:line="360" w:lineRule="exact"/>
                    <w:ind w:left="0" w:leftChars="0" w:firstLine="0" w:firstLineChars="0"/>
                    <w:jc w:val="center"/>
                    <w:rPr>
                      <w:bCs/>
                      <w:sz w:val="21"/>
                      <w:szCs w:val="21"/>
                    </w:rPr>
                  </w:pPr>
                </w:p>
              </w:tc>
              <w:tc>
                <w:tcPr>
                  <w:tcW w:w="2067" w:type="pct"/>
                  <w:vAlign w:val="center"/>
                </w:tcPr>
                <w:p w14:paraId="14EDC4FB">
                  <w:pPr>
                    <w:tabs>
                      <w:tab w:val="left" w:pos="372"/>
                    </w:tabs>
                    <w:spacing w:line="360" w:lineRule="exact"/>
                    <w:ind w:left="240" w:leftChars="100" w:firstLine="0" w:firstLineChars="0"/>
                    <w:jc w:val="left"/>
                    <w:rPr>
                      <w:bCs/>
                      <w:sz w:val="21"/>
                      <w:szCs w:val="21"/>
                    </w:rPr>
                  </w:pPr>
                  <w:r>
                    <w:rPr>
                      <w:bCs/>
                      <w:sz w:val="21"/>
                      <w:szCs w:val="21"/>
                    </w:rPr>
                    <w:t>辐射安全和防护设施维护维修制度（包括机构人员、维护维修内容与频度）</w:t>
                  </w:r>
                </w:p>
              </w:tc>
              <w:tc>
                <w:tcPr>
                  <w:tcW w:w="601" w:type="pct"/>
                  <w:vAlign w:val="center"/>
                </w:tcPr>
                <w:p w14:paraId="00AA9453">
                  <w:pPr>
                    <w:spacing w:line="360" w:lineRule="exact"/>
                    <w:jc w:val="center"/>
                    <w:rPr>
                      <w:bCs/>
                      <w:sz w:val="21"/>
                      <w:szCs w:val="21"/>
                    </w:rPr>
                  </w:pPr>
                  <w:r>
                    <w:rPr>
                      <w:bCs/>
                      <w:sz w:val="21"/>
                      <w:szCs w:val="21"/>
                    </w:rPr>
                    <w:t>已制定</w:t>
                  </w:r>
                </w:p>
              </w:tc>
              <w:tc>
                <w:tcPr>
                  <w:tcW w:w="1508" w:type="pct"/>
                  <w:vMerge w:val="continue"/>
                  <w:vAlign w:val="center"/>
                </w:tcPr>
                <w:p w14:paraId="2B08EC68">
                  <w:pPr>
                    <w:spacing w:line="360" w:lineRule="exact"/>
                    <w:jc w:val="center"/>
                    <w:rPr>
                      <w:bCs/>
                      <w:sz w:val="21"/>
                      <w:szCs w:val="21"/>
                    </w:rPr>
                  </w:pPr>
                </w:p>
              </w:tc>
            </w:tr>
            <w:tr w14:paraId="2304B9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1EFC314D">
                  <w:pPr>
                    <w:tabs>
                      <w:tab w:val="left" w:pos="372"/>
                    </w:tabs>
                    <w:spacing w:line="360" w:lineRule="exact"/>
                    <w:jc w:val="center"/>
                    <w:rPr>
                      <w:bCs/>
                      <w:sz w:val="21"/>
                      <w:szCs w:val="21"/>
                    </w:rPr>
                  </w:pPr>
                  <w:r>
                    <w:rPr>
                      <w:bCs/>
                      <w:sz w:val="21"/>
                      <w:szCs w:val="21"/>
                    </w:rPr>
                    <w:t>12</w:t>
                  </w:r>
                </w:p>
              </w:tc>
              <w:tc>
                <w:tcPr>
                  <w:tcW w:w="428" w:type="pct"/>
                  <w:vMerge w:val="continue"/>
                  <w:vAlign w:val="center"/>
                </w:tcPr>
                <w:p w14:paraId="4BFC06DA">
                  <w:pPr>
                    <w:tabs>
                      <w:tab w:val="left" w:pos="372"/>
                    </w:tabs>
                    <w:spacing w:line="360" w:lineRule="exact"/>
                    <w:ind w:left="0" w:leftChars="0" w:firstLine="0" w:firstLineChars="0"/>
                    <w:jc w:val="center"/>
                    <w:rPr>
                      <w:bCs/>
                      <w:sz w:val="21"/>
                      <w:szCs w:val="21"/>
                    </w:rPr>
                  </w:pPr>
                </w:p>
              </w:tc>
              <w:tc>
                <w:tcPr>
                  <w:tcW w:w="2067" w:type="pct"/>
                  <w:vAlign w:val="center"/>
                </w:tcPr>
                <w:p w14:paraId="1E9FB5A9">
                  <w:pPr>
                    <w:tabs>
                      <w:tab w:val="left" w:pos="372"/>
                    </w:tabs>
                    <w:spacing w:line="360" w:lineRule="exact"/>
                    <w:ind w:left="240" w:leftChars="100" w:firstLine="0" w:firstLineChars="0"/>
                    <w:jc w:val="left"/>
                    <w:rPr>
                      <w:bCs/>
                      <w:sz w:val="21"/>
                      <w:szCs w:val="21"/>
                    </w:rPr>
                  </w:pPr>
                  <w:r>
                    <w:rPr>
                      <w:bCs/>
                      <w:sz w:val="21"/>
                      <w:szCs w:val="21"/>
                    </w:rPr>
                    <w:t>X射线诊断中受检者防护规定</w:t>
                  </w:r>
                </w:p>
              </w:tc>
              <w:tc>
                <w:tcPr>
                  <w:tcW w:w="601" w:type="pct"/>
                  <w:vAlign w:val="center"/>
                </w:tcPr>
                <w:p w14:paraId="7008CD6A">
                  <w:pPr>
                    <w:spacing w:line="360" w:lineRule="exact"/>
                    <w:jc w:val="center"/>
                    <w:rPr>
                      <w:bCs/>
                      <w:sz w:val="21"/>
                      <w:szCs w:val="21"/>
                    </w:rPr>
                  </w:pPr>
                  <w:r>
                    <w:rPr>
                      <w:bCs/>
                      <w:sz w:val="21"/>
                      <w:szCs w:val="21"/>
                    </w:rPr>
                    <w:t>已制定</w:t>
                  </w:r>
                </w:p>
              </w:tc>
              <w:tc>
                <w:tcPr>
                  <w:tcW w:w="1508" w:type="pct"/>
                  <w:vMerge w:val="continue"/>
                  <w:vAlign w:val="center"/>
                </w:tcPr>
                <w:p w14:paraId="1CBD3E1E">
                  <w:pPr>
                    <w:spacing w:line="360" w:lineRule="exact"/>
                    <w:jc w:val="center"/>
                    <w:rPr>
                      <w:bCs/>
                      <w:sz w:val="21"/>
                      <w:szCs w:val="21"/>
                    </w:rPr>
                  </w:pPr>
                </w:p>
              </w:tc>
            </w:tr>
            <w:tr w14:paraId="5498EC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075B89F7">
                  <w:pPr>
                    <w:tabs>
                      <w:tab w:val="left" w:pos="372"/>
                    </w:tabs>
                    <w:spacing w:line="360" w:lineRule="exact"/>
                    <w:jc w:val="center"/>
                    <w:rPr>
                      <w:bCs/>
                      <w:sz w:val="21"/>
                      <w:szCs w:val="21"/>
                    </w:rPr>
                  </w:pPr>
                  <w:r>
                    <w:rPr>
                      <w:bCs/>
                      <w:sz w:val="21"/>
                      <w:szCs w:val="21"/>
                    </w:rPr>
                    <w:t>13</w:t>
                  </w:r>
                </w:p>
              </w:tc>
              <w:tc>
                <w:tcPr>
                  <w:tcW w:w="428" w:type="pct"/>
                  <w:vMerge w:val="restart"/>
                  <w:vAlign w:val="center"/>
                </w:tcPr>
                <w:p w14:paraId="5DC87610">
                  <w:pPr>
                    <w:tabs>
                      <w:tab w:val="left" w:pos="372"/>
                    </w:tabs>
                    <w:spacing w:line="360" w:lineRule="exact"/>
                    <w:ind w:left="0" w:leftChars="0" w:firstLine="0" w:firstLineChars="0"/>
                    <w:jc w:val="center"/>
                    <w:rPr>
                      <w:bCs/>
                      <w:sz w:val="21"/>
                      <w:szCs w:val="21"/>
                    </w:rPr>
                  </w:pPr>
                  <w:r>
                    <w:rPr>
                      <w:bCs/>
                      <w:sz w:val="21"/>
                      <w:szCs w:val="21"/>
                    </w:rPr>
                    <w:t>监测</w:t>
                  </w:r>
                </w:p>
              </w:tc>
              <w:tc>
                <w:tcPr>
                  <w:tcW w:w="2067" w:type="pct"/>
                  <w:vAlign w:val="center"/>
                </w:tcPr>
                <w:p w14:paraId="6E661987">
                  <w:pPr>
                    <w:tabs>
                      <w:tab w:val="left" w:pos="372"/>
                    </w:tabs>
                    <w:spacing w:line="360" w:lineRule="exact"/>
                    <w:ind w:left="240" w:leftChars="100" w:firstLine="0" w:firstLineChars="0"/>
                    <w:jc w:val="left"/>
                    <w:rPr>
                      <w:bCs/>
                      <w:sz w:val="21"/>
                      <w:szCs w:val="21"/>
                    </w:rPr>
                  </w:pPr>
                  <w:r>
                    <w:rPr>
                      <w:bCs/>
                      <w:sz w:val="21"/>
                      <w:szCs w:val="21"/>
                    </w:rPr>
                    <w:t>监测方案</w:t>
                  </w:r>
                </w:p>
              </w:tc>
              <w:tc>
                <w:tcPr>
                  <w:tcW w:w="601" w:type="pct"/>
                  <w:vAlign w:val="center"/>
                </w:tcPr>
                <w:p w14:paraId="5DEE4874">
                  <w:pPr>
                    <w:spacing w:line="360" w:lineRule="exact"/>
                    <w:jc w:val="center"/>
                    <w:rPr>
                      <w:bCs/>
                      <w:sz w:val="21"/>
                      <w:szCs w:val="21"/>
                    </w:rPr>
                  </w:pPr>
                  <w:r>
                    <w:rPr>
                      <w:bCs/>
                      <w:sz w:val="21"/>
                      <w:szCs w:val="21"/>
                    </w:rPr>
                    <w:t>已制定</w:t>
                  </w:r>
                </w:p>
              </w:tc>
              <w:tc>
                <w:tcPr>
                  <w:tcW w:w="1508" w:type="pct"/>
                  <w:vMerge w:val="continue"/>
                </w:tcPr>
                <w:p w14:paraId="195E6016">
                  <w:pPr>
                    <w:spacing w:line="360" w:lineRule="exact"/>
                    <w:jc w:val="center"/>
                    <w:rPr>
                      <w:bCs/>
                      <w:sz w:val="21"/>
                      <w:szCs w:val="21"/>
                    </w:rPr>
                  </w:pPr>
                </w:p>
              </w:tc>
            </w:tr>
            <w:tr w14:paraId="00DF75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09B8D9A3">
                  <w:pPr>
                    <w:tabs>
                      <w:tab w:val="left" w:pos="372"/>
                    </w:tabs>
                    <w:spacing w:line="360" w:lineRule="exact"/>
                    <w:jc w:val="center"/>
                    <w:rPr>
                      <w:bCs/>
                      <w:sz w:val="21"/>
                      <w:szCs w:val="21"/>
                    </w:rPr>
                  </w:pPr>
                  <w:r>
                    <w:rPr>
                      <w:bCs/>
                      <w:sz w:val="21"/>
                      <w:szCs w:val="21"/>
                    </w:rPr>
                    <w:t>14</w:t>
                  </w:r>
                </w:p>
              </w:tc>
              <w:tc>
                <w:tcPr>
                  <w:tcW w:w="428" w:type="pct"/>
                  <w:vMerge w:val="continue"/>
                  <w:vAlign w:val="center"/>
                </w:tcPr>
                <w:p w14:paraId="1381FCF6">
                  <w:pPr>
                    <w:tabs>
                      <w:tab w:val="left" w:pos="372"/>
                    </w:tabs>
                    <w:spacing w:line="360" w:lineRule="exact"/>
                    <w:ind w:left="0" w:leftChars="0" w:firstLine="0" w:firstLineChars="0"/>
                    <w:jc w:val="center"/>
                    <w:rPr>
                      <w:bCs/>
                      <w:sz w:val="21"/>
                      <w:szCs w:val="21"/>
                    </w:rPr>
                  </w:pPr>
                </w:p>
              </w:tc>
              <w:tc>
                <w:tcPr>
                  <w:tcW w:w="2067" w:type="pct"/>
                  <w:vAlign w:val="center"/>
                </w:tcPr>
                <w:p w14:paraId="7CD22C6D">
                  <w:pPr>
                    <w:tabs>
                      <w:tab w:val="left" w:pos="372"/>
                    </w:tabs>
                    <w:spacing w:line="360" w:lineRule="exact"/>
                    <w:ind w:left="240" w:leftChars="100" w:firstLine="0" w:firstLineChars="0"/>
                    <w:jc w:val="left"/>
                    <w:rPr>
                      <w:bCs/>
                      <w:sz w:val="21"/>
                      <w:szCs w:val="21"/>
                    </w:rPr>
                  </w:pPr>
                  <w:r>
                    <w:rPr>
                      <w:bCs/>
                      <w:sz w:val="21"/>
                      <w:szCs w:val="21"/>
                    </w:rPr>
                    <w:t>监测仪表使用与校验管理制度</w:t>
                  </w:r>
                </w:p>
              </w:tc>
              <w:tc>
                <w:tcPr>
                  <w:tcW w:w="601" w:type="pct"/>
                  <w:vAlign w:val="center"/>
                </w:tcPr>
                <w:p w14:paraId="25FF413E">
                  <w:pPr>
                    <w:spacing w:line="360" w:lineRule="exact"/>
                    <w:jc w:val="center"/>
                    <w:rPr>
                      <w:bCs/>
                      <w:sz w:val="21"/>
                      <w:szCs w:val="21"/>
                    </w:rPr>
                  </w:pPr>
                  <w:r>
                    <w:rPr>
                      <w:bCs/>
                      <w:sz w:val="21"/>
                      <w:szCs w:val="21"/>
                    </w:rPr>
                    <w:t>已制定</w:t>
                  </w:r>
                </w:p>
              </w:tc>
              <w:tc>
                <w:tcPr>
                  <w:tcW w:w="1508" w:type="pct"/>
                  <w:vMerge w:val="continue"/>
                  <w:vAlign w:val="center"/>
                </w:tcPr>
                <w:p w14:paraId="4C76B3E0">
                  <w:pPr>
                    <w:spacing w:line="360" w:lineRule="exact"/>
                    <w:jc w:val="center"/>
                    <w:rPr>
                      <w:bCs/>
                      <w:sz w:val="21"/>
                      <w:szCs w:val="21"/>
                    </w:rPr>
                  </w:pPr>
                </w:p>
              </w:tc>
            </w:tr>
            <w:tr w14:paraId="4C14CE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17B49394">
                  <w:pPr>
                    <w:tabs>
                      <w:tab w:val="left" w:pos="372"/>
                    </w:tabs>
                    <w:spacing w:line="360" w:lineRule="exact"/>
                    <w:jc w:val="center"/>
                    <w:rPr>
                      <w:bCs/>
                      <w:sz w:val="21"/>
                      <w:szCs w:val="21"/>
                    </w:rPr>
                  </w:pPr>
                  <w:r>
                    <w:rPr>
                      <w:bCs/>
                      <w:sz w:val="21"/>
                      <w:szCs w:val="21"/>
                    </w:rPr>
                    <w:t>15</w:t>
                  </w:r>
                </w:p>
              </w:tc>
              <w:tc>
                <w:tcPr>
                  <w:tcW w:w="428" w:type="pct"/>
                  <w:vMerge w:val="restart"/>
                  <w:vAlign w:val="center"/>
                </w:tcPr>
                <w:p w14:paraId="058E45EC">
                  <w:pPr>
                    <w:tabs>
                      <w:tab w:val="left" w:pos="372"/>
                    </w:tabs>
                    <w:spacing w:line="360" w:lineRule="exact"/>
                    <w:ind w:left="0" w:leftChars="0" w:firstLine="0" w:firstLineChars="0"/>
                    <w:jc w:val="center"/>
                    <w:rPr>
                      <w:bCs/>
                      <w:sz w:val="21"/>
                      <w:szCs w:val="21"/>
                    </w:rPr>
                  </w:pPr>
                  <w:r>
                    <w:rPr>
                      <w:bCs/>
                      <w:sz w:val="21"/>
                      <w:szCs w:val="21"/>
                    </w:rPr>
                    <w:t>人员</w:t>
                  </w:r>
                </w:p>
              </w:tc>
              <w:tc>
                <w:tcPr>
                  <w:tcW w:w="2067" w:type="pct"/>
                  <w:vAlign w:val="center"/>
                </w:tcPr>
                <w:p w14:paraId="3E1D33B5">
                  <w:pPr>
                    <w:tabs>
                      <w:tab w:val="left" w:pos="372"/>
                    </w:tabs>
                    <w:spacing w:line="360" w:lineRule="exact"/>
                    <w:ind w:left="240" w:leftChars="100" w:firstLine="0" w:firstLineChars="0"/>
                    <w:jc w:val="left"/>
                    <w:rPr>
                      <w:bCs/>
                      <w:sz w:val="21"/>
                      <w:szCs w:val="21"/>
                    </w:rPr>
                  </w:pPr>
                  <w:r>
                    <w:rPr>
                      <w:bCs/>
                      <w:sz w:val="21"/>
                      <w:szCs w:val="21"/>
                    </w:rPr>
                    <w:t>辐射工作人员培训/再培训管理制度</w:t>
                  </w:r>
                </w:p>
              </w:tc>
              <w:tc>
                <w:tcPr>
                  <w:tcW w:w="601" w:type="pct"/>
                  <w:vAlign w:val="center"/>
                </w:tcPr>
                <w:p w14:paraId="01557518">
                  <w:pPr>
                    <w:spacing w:line="360" w:lineRule="exact"/>
                    <w:jc w:val="center"/>
                    <w:rPr>
                      <w:bCs/>
                      <w:sz w:val="21"/>
                      <w:szCs w:val="21"/>
                    </w:rPr>
                  </w:pPr>
                  <w:r>
                    <w:rPr>
                      <w:bCs/>
                      <w:sz w:val="21"/>
                      <w:szCs w:val="21"/>
                    </w:rPr>
                    <w:t>已制定</w:t>
                  </w:r>
                </w:p>
              </w:tc>
              <w:tc>
                <w:tcPr>
                  <w:tcW w:w="1508" w:type="pct"/>
                  <w:vMerge w:val="continue"/>
                </w:tcPr>
                <w:p w14:paraId="4679DCB4">
                  <w:pPr>
                    <w:spacing w:line="360" w:lineRule="exact"/>
                    <w:jc w:val="center"/>
                    <w:rPr>
                      <w:bCs/>
                      <w:sz w:val="21"/>
                      <w:szCs w:val="21"/>
                    </w:rPr>
                  </w:pPr>
                </w:p>
              </w:tc>
            </w:tr>
            <w:tr w14:paraId="4A0B40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55323DF6">
                  <w:pPr>
                    <w:tabs>
                      <w:tab w:val="left" w:pos="372"/>
                    </w:tabs>
                    <w:spacing w:line="360" w:lineRule="exact"/>
                    <w:jc w:val="center"/>
                    <w:rPr>
                      <w:bCs/>
                      <w:sz w:val="21"/>
                      <w:szCs w:val="21"/>
                    </w:rPr>
                  </w:pPr>
                  <w:r>
                    <w:rPr>
                      <w:bCs/>
                      <w:sz w:val="21"/>
                      <w:szCs w:val="21"/>
                    </w:rPr>
                    <w:t>16</w:t>
                  </w:r>
                </w:p>
              </w:tc>
              <w:tc>
                <w:tcPr>
                  <w:tcW w:w="428" w:type="pct"/>
                  <w:vMerge w:val="continue"/>
                  <w:vAlign w:val="center"/>
                </w:tcPr>
                <w:p w14:paraId="037FF3C4">
                  <w:pPr>
                    <w:tabs>
                      <w:tab w:val="left" w:pos="372"/>
                    </w:tabs>
                    <w:spacing w:line="360" w:lineRule="exact"/>
                    <w:ind w:left="0" w:leftChars="0" w:firstLine="0" w:firstLineChars="0"/>
                    <w:jc w:val="center"/>
                    <w:rPr>
                      <w:bCs/>
                      <w:sz w:val="21"/>
                      <w:szCs w:val="21"/>
                    </w:rPr>
                  </w:pPr>
                </w:p>
              </w:tc>
              <w:tc>
                <w:tcPr>
                  <w:tcW w:w="2067" w:type="pct"/>
                  <w:vAlign w:val="center"/>
                </w:tcPr>
                <w:p w14:paraId="5EB7612C">
                  <w:pPr>
                    <w:tabs>
                      <w:tab w:val="left" w:pos="372"/>
                    </w:tabs>
                    <w:spacing w:line="360" w:lineRule="exact"/>
                    <w:ind w:left="240" w:leftChars="100" w:firstLine="0" w:firstLineChars="0"/>
                    <w:jc w:val="left"/>
                    <w:rPr>
                      <w:bCs/>
                      <w:sz w:val="21"/>
                      <w:szCs w:val="21"/>
                    </w:rPr>
                  </w:pPr>
                  <w:r>
                    <w:rPr>
                      <w:bCs/>
                      <w:sz w:val="21"/>
                      <w:szCs w:val="21"/>
                    </w:rPr>
                    <w:t>辐射工作人员个人剂量管理制度</w:t>
                  </w:r>
                </w:p>
              </w:tc>
              <w:tc>
                <w:tcPr>
                  <w:tcW w:w="601" w:type="pct"/>
                  <w:vAlign w:val="center"/>
                </w:tcPr>
                <w:p w14:paraId="3C17ACF3">
                  <w:pPr>
                    <w:spacing w:line="360" w:lineRule="exact"/>
                    <w:jc w:val="center"/>
                    <w:rPr>
                      <w:bCs/>
                      <w:sz w:val="21"/>
                      <w:szCs w:val="21"/>
                    </w:rPr>
                  </w:pPr>
                  <w:r>
                    <w:rPr>
                      <w:bCs/>
                      <w:sz w:val="21"/>
                      <w:szCs w:val="21"/>
                    </w:rPr>
                    <w:t>已制定</w:t>
                  </w:r>
                </w:p>
              </w:tc>
              <w:tc>
                <w:tcPr>
                  <w:tcW w:w="1508" w:type="pct"/>
                  <w:vMerge w:val="continue"/>
                  <w:vAlign w:val="center"/>
                </w:tcPr>
                <w:p w14:paraId="7352C98E">
                  <w:pPr>
                    <w:spacing w:line="360" w:lineRule="exact"/>
                    <w:jc w:val="center"/>
                    <w:rPr>
                      <w:bCs/>
                      <w:sz w:val="21"/>
                      <w:szCs w:val="21"/>
                    </w:rPr>
                  </w:pPr>
                </w:p>
              </w:tc>
            </w:tr>
            <w:tr w14:paraId="27BA4E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2CADA8A7">
                  <w:pPr>
                    <w:tabs>
                      <w:tab w:val="left" w:pos="372"/>
                    </w:tabs>
                    <w:spacing w:line="360" w:lineRule="exact"/>
                    <w:jc w:val="center"/>
                    <w:rPr>
                      <w:bCs/>
                      <w:sz w:val="21"/>
                      <w:szCs w:val="21"/>
                    </w:rPr>
                  </w:pPr>
                  <w:r>
                    <w:rPr>
                      <w:bCs/>
                      <w:sz w:val="21"/>
                      <w:szCs w:val="21"/>
                    </w:rPr>
                    <w:t>17</w:t>
                  </w:r>
                </w:p>
              </w:tc>
              <w:tc>
                <w:tcPr>
                  <w:tcW w:w="428" w:type="pct"/>
                  <w:vMerge w:val="continue"/>
                  <w:vAlign w:val="center"/>
                </w:tcPr>
                <w:p w14:paraId="1D2BE5BD">
                  <w:pPr>
                    <w:tabs>
                      <w:tab w:val="left" w:pos="372"/>
                    </w:tabs>
                    <w:spacing w:line="360" w:lineRule="exact"/>
                    <w:ind w:left="0" w:leftChars="0" w:firstLine="0" w:firstLineChars="0"/>
                    <w:jc w:val="center"/>
                    <w:rPr>
                      <w:bCs/>
                      <w:sz w:val="21"/>
                      <w:szCs w:val="21"/>
                    </w:rPr>
                  </w:pPr>
                </w:p>
              </w:tc>
              <w:tc>
                <w:tcPr>
                  <w:tcW w:w="2067" w:type="pct"/>
                  <w:vAlign w:val="center"/>
                </w:tcPr>
                <w:p w14:paraId="381939AF">
                  <w:pPr>
                    <w:tabs>
                      <w:tab w:val="left" w:pos="372"/>
                    </w:tabs>
                    <w:spacing w:line="360" w:lineRule="exact"/>
                    <w:ind w:left="240" w:leftChars="100" w:firstLine="0" w:firstLineChars="0"/>
                    <w:jc w:val="left"/>
                    <w:rPr>
                      <w:bCs/>
                      <w:sz w:val="21"/>
                      <w:szCs w:val="21"/>
                    </w:rPr>
                  </w:pPr>
                  <w:r>
                    <w:rPr>
                      <w:bCs/>
                      <w:sz w:val="21"/>
                      <w:szCs w:val="21"/>
                    </w:rPr>
                    <w:t>辐射工作人员岗位职责</w:t>
                  </w:r>
                </w:p>
              </w:tc>
              <w:tc>
                <w:tcPr>
                  <w:tcW w:w="601" w:type="pct"/>
                  <w:vAlign w:val="center"/>
                </w:tcPr>
                <w:p w14:paraId="3AC6C6FE">
                  <w:pPr>
                    <w:spacing w:line="360" w:lineRule="exact"/>
                    <w:jc w:val="center"/>
                    <w:rPr>
                      <w:bCs/>
                      <w:sz w:val="21"/>
                      <w:szCs w:val="21"/>
                    </w:rPr>
                  </w:pPr>
                  <w:r>
                    <w:rPr>
                      <w:bCs/>
                      <w:sz w:val="21"/>
                      <w:szCs w:val="21"/>
                    </w:rPr>
                    <w:t>已制定</w:t>
                  </w:r>
                </w:p>
              </w:tc>
              <w:tc>
                <w:tcPr>
                  <w:tcW w:w="1508" w:type="pct"/>
                </w:tcPr>
                <w:p w14:paraId="76CCBEA2">
                  <w:pPr>
                    <w:spacing w:line="360" w:lineRule="exact"/>
                    <w:jc w:val="center"/>
                    <w:rPr>
                      <w:bCs/>
                      <w:sz w:val="21"/>
                      <w:szCs w:val="21"/>
                    </w:rPr>
                  </w:pPr>
                  <w:r>
                    <w:rPr>
                      <w:bCs/>
                      <w:sz w:val="21"/>
                      <w:szCs w:val="21"/>
                    </w:rPr>
                    <w:t>需将本项目纳入并修订完善，并张贴上墙</w:t>
                  </w:r>
                </w:p>
              </w:tc>
            </w:tr>
            <w:tr w14:paraId="62E9B6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315601F8">
                  <w:pPr>
                    <w:tabs>
                      <w:tab w:val="left" w:pos="372"/>
                    </w:tabs>
                    <w:spacing w:line="360" w:lineRule="exact"/>
                    <w:jc w:val="center"/>
                    <w:rPr>
                      <w:bCs/>
                      <w:sz w:val="21"/>
                      <w:szCs w:val="21"/>
                    </w:rPr>
                  </w:pPr>
                  <w:r>
                    <w:rPr>
                      <w:bCs/>
                      <w:sz w:val="21"/>
                      <w:szCs w:val="21"/>
                    </w:rPr>
                    <w:t>18</w:t>
                  </w:r>
                </w:p>
              </w:tc>
              <w:tc>
                <w:tcPr>
                  <w:tcW w:w="428" w:type="pct"/>
                  <w:vAlign w:val="center"/>
                </w:tcPr>
                <w:p w14:paraId="4B9656F8">
                  <w:pPr>
                    <w:tabs>
                      <w:tab w:val="left" w:pos="372"/>
                    </w:tabs>
                    <w:spacing w:line="360" w:lineRule="exact"/>
                    <w:ind w:left="0" w:leftChars="0" w:firstLine="0" w:firstLineChars="0"/>
                    <w:jc w:val="center"/>
                    <w:rPr>
                      <w:bCs/>
                      <w:sz w:val="21"/>
                      <w:szCs w:val="21"/>
                    </w:rPr>
                  </w:pPr>
                  <w:r>
                    <w:rPr>
                      <w:bCs/>
                      <w:sz w:val="21"/>
                      <w:szCs w:val="21"/>
                    </w:rPr>
                    <w:t>应急</w:t>
                  </w:r>
                </w:p>
              </w:tc>
              <w:tc>
                <w:tcPr>
                  <w:tcW w:w="2067" w:type="pct"/>
                  <w:vAlign w:val="center"/>
                </w:tcPr>
                <w:p w14:paraId="619333B2">
                  <w:pPr>
                    <w:tabs>
                      <w:tab w:val="left" w:pos="372"/>
                    </w:tabs>
                    <w:spacing w:line="360" w:lineRule="exact"/>
                    <w:ind w:left="240" w:leftChars="100" w:firstLine="0" w:firstLineChars="0"/>
                    <w:jc w:val="left"/>
                    <w:rPr>
                      <w:bCs/>
                      <w:sz w:val="21"/>
                      <w:szCs w:val="21"/>
                    </w:rPr>
                  </w:pPr>
                  <w:r>
                    <w:rPr>
                      <w:bCs/>
                      <w:sz w:val="21"/>
                      <w:szCs w:val="21"/>
                    </w:rPr>
                    <w:t>辐射事故/事件应急预案</w:t>
                  </w:r>
                </w:p>
              </w:tc>
              <w:tc>
                <w:tcPr>
                  <w:tcW w:w="601" w:type="pct"/>
                  <w:vAlign w:val="center"/>
                </w:tcPr>
                <w:p w14:paraId="67331811">
                  <w:pPr>
                    <w:spacing w:line="360" w:lineRule="exact"/>
                    <w:jc w:val="center"/>
                    <w:rPr>
                      <w:bCs/>
                      <w:sz w:val="21"/>
                      <w:szCs w:val="21"/>
                    </w:rPr>
                  </w:pPr>
                  <w:r>
                    <w:rPr>
                      <w:bCs/>
                      <w:sz w:val="21"/>
                      <w:szCs w:val="21"/>
                    </w:rPr>
                    <w:t>已制定</w:t>
                  </w:r>
                </w:p>
              </w:tc>
              <w:tc>
                <w:tcPr>
                  <w:tcW w:w="1508" w:type="pct"/>
                  <w:vAlign w:val="center"/>
                </w:tcPr>
                <w:p w14:paraId="2E2F2D4D">
                  <w:pPr>
                    <w:spacing w:line="360" w:lineRule="exact"/>
                    <w:jc w:val="center"/>
                    <w:rPr>
                      <w:bCs/>
                      <w:sz w:val="21"/>
                      <w:szCs w:val="21"/>
                    </w:rPr>
                  </w:pPr>
                  <w:r>
                    <w:rPr>
                      <w:bCs/>
                      <w:sz w:val="21"/>
                      <w:szCs w:val="21"/>
                    </w:rPr>
                    <w:t>需将本项目纳入并修订完善，并将“应急响应程序”张贴上墙</w:t>
                  </w:r>
                </w:p>
              </w:tc>
            </w:tr>
            <w:tr w14:paraId="248EAC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3B1473B6">
                  <w:pPr>
                    <w:tabs>
                      <w:tab w:val="left" w:pos="372"/>
                    </w:tabs>
                    <w:spacing w:line="360" w:lineRule="exact"/>
                    <w:jc w:val="center"/>
                    <w:rPr>
                      <w:bCs/>
                      <w:sz w:val="21"/>
                      <w:szCs w:val="21"/>
                    </w:rPr>
                  </w:pPr>
                  <w:r>
                    <w:rPr>
                      <w:bCs/>
                      <w:sz w:val="21"/>
                      <w:szCs w:val="21"/>
                    </w:rPr>
                    <w:t>19</w:t>
                  </w:r>
                </w:p>
              </w:tc>
              <w:tc>
                <w:tcPr>
                  <w:tcW w:w="428" w:type="pct"/>
                  <w:vAlign w:val="center"/>
                </w:tcPr>
                <w:p w14:paraId="1AA7DB0C">
                  <w:pPr>
                    <w:tabs>
                      <w:tab w:val="left" w:pos="372"/>
                    </w:tabs>
                    <w:spacing w:line="360" w:lineRule="exact"/>
                    <w:ind w:left="0" w:leftChars="0" w:firstLine="0" w:firstLineChars="0"/>
                    <w:jc w:val="center"/>
                    <w:rPr>
                      <w:bCs/>
                      <w:sz w:val="21"/>
                      <w:szCs w:val="21"/>
                    </w:rPr>
                  </w:pPr>
                  <w:r>
                    <w:rPr>
                      <w:bCs/>
                      <w:sz w:val="21"/>
                      <w:szCs w:val="21"/>
                    </w:rPr>
                    <w:t>三废</w:t>
                  </w:r>
                </w:p>
              </w:tc>
              <w:tc>
                <w:tcPr>
                  <w:tcW w:w="2067" w:type="pct"/>
                  <w:vAlign w:val="center"/>
                </w:tcPr>
                <w:p w14:paraId="348B0B3D">
                  <w:pPr>
                    <w:tabs>
                      <w:tab w:val="left" w:pos="372"/>
                    </w:tabs>
                    <w:spacing w:line="360" w:lineRule="exact"/>
                    <w:ind w:left="240" w:leftChars="100" w:firstLine="0" w:firstLineChars="0"/>
                    <w:jc w:val="left"/>
                    <w:rPr>
                      <w:bCs/>
                      <w:sz w:val="21"/>
                      <w:szCs w:val="21"/>
                    </w:rPr>
                  </w:pPr>
                  <w:r>
                    <w:rPr>
                      <w:bCs/>
                      <w:sz w:val="21"/>
                      <w:szCs w:val="21"/>
                    </w:rPr>
                    <w:t>放射性“三废”管理规定</w:t>
                  </w:r>
                </w:p>
              </w:tc>
              <w:tc>
                <w:tcPr>
                  <w:tcW w:w="601" w:type="pct"/>
                  <w:vAlign w:val="center"/>
                </w:tcPr>
                <w:p w14:paraId="553AFF9F">
                  <w:pPr>
                    <w:spacing w:line="360" w:lineRule="exact"/>
                    <w:jc w:val="center"/>
                    <w:rPr>
                      <w:bCs/>
                      <w:sz w:val="21"/>
                      <w:szCs w:val="21"/>
                    </w:rPr>
                  </w:pPr>
                  <w:r>
                    <w:rPr>
                      <w:bCs/>
                      <w:sz w:val="21"/>
                      <w:szCs w:val="21"/>
                    </w:rPr>
                    <w:t>已制定</w:t>
                  </w:r>
                </w:p>
              </w:tc>
              <w:tc>
                <w:tcPr>
                  <w:tcW w:w="1508" w:type="pct"/>
                  <w:vMerge w:val="restart"/>
                  <w:vAlign w:val="center"/>
                </w:tcPr>
                <w:p w14:paraId="536D5625">
                  <w:pPr>
                    <w:spacing w:line="360" w:lineRule="exact"/>
                    <w:jc w:val="center"/>
                    <w:rPr>
                      <w:bCs/>
                      <w:sz w:val="21"/>
                      <w:szCs w:val="21"/>
                    </w:rPr>
                  </w:pPr>
                  <w:r>
                    <w:rPr>
                      <w:bCs/>
                      <w:sz w:val="21"/>
                      <w:szCs w:val="21"/>
                    </w:rPr>
                    <w:t>需将本项目纳入并修订完善</w:t>
                  </w:r>
                </w:p>
              </w:tc>
            </w:tr>
            <w:tr w14:paraId="059896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93" w:type="pct"/>
                  <w:vAlign w:val="center"/>
                </w:tcPr>
                <w:p w14:paraId="106B23B3">
                  <w:pPr>
                    <w:tabs>
                      <w:tab w:val="left" w:pos="372"/>
                    </w:tabs>
                    <w:spacing w:line="360" w:lineRule="exact"/>
                    <w:jc w:val="center"/>
                    <w:rPr>
                      <w:bCs/>
                      <w:sz w:val="21"/>
                      <w:szCs w:val="21"/>
                    </w:rPr>
                  </w:pPr>
                  <w:r>
                    <w:rPr>
                      <w:bCs/>
                      <w:sz w:val="21"/>
                      <w:szCs w:val="21"/>
                    </w:rPr>
                    <w:t>20</w:t>
                  </w:r>
                </w:p>
              </w:tc>
              <w:tc>
                <w:tcPr>
                  <w:tcW w:w="428" w:type="pct"/>
                  <w:vAlign w:val="center"/>
                </w:tcPr>
                <w:p w14:paraId="79454D9C">
                  <w:pPr>
                    <w:tabs>
                      <w:tab w:val="left" w:pos="372"/>
                    </w:tabs>
                    <w:spacing w:line="360" w:lineRule="exact"/>
                    <w:ind w:left="0" w:leftChars="0" w:firstLine="0" w:firstLineChars="0"/>
                    <w:jc w:val="center"/>
                    <w:rPr>
                      <w:bCs/>
                      <w:sz w:val="21"/>
                      <w:szCs w:val="21"/>
                    </w:rPr>
                  </w:pPr>
                  <w:r>
                    <w:rPr>
                      <w:bCs/>
                      <w:sz w:val="21"/>
                      <w:szCs w:val="21"/>
                    </w:rPr>
                    <w:t>大纲</w:t>
                  </w:r>
                </w:p>
              </w:tc>
              <w:tc>
                <w:tcPr>
                  <w:tcW w:w="2067" w:type="pct"/>
                  <w:vAlign w:val="center"/>
                </w:tcPr>
                <w:p w14:paraId="72BF53BA">
                  <w:pPr>
                    <w:tabs>
                      <w:tab w:val="left" w:pos="372"/>
                    </w:tabs>
                    <w:spacing w:line="360" w:lineRule="exact"/>
                    <w:ind w:left="240" w:leftChars="100" w:firstLine="0" w:firstLineChars="0"/>
                    <w:jc w:val="left"/>
                    <w:rPr>
                      <w:bCs/>
                      <w:sz w:val="21"/>
                      <w:szCs w:val="21"/>
                    </w:rPr>
                  </w:pPr>
                  <w:r>
                    <w:rPr>
                      <w:bCs/>
                      <w:sz w:val="21"/>
                      <w:szCs w:val="21"/>
                    </w:rPr>
                    <w:t>质量保证大纲和质量控制检测计划</w:t>
                  </w:r>
                </w:p>
              </w:tc>
              <w:tc>
                <w:tcPr>
                  <w:tcW w:w="601" w:type="pct"/>
                  <w:vAlign w:val="center"/>
                </w:tcPr>
                <w:p w14:paraId="30FC02BA">
                  <w:pPr>
                    <w:spacing w:line="360" w:lineRule="exact"/>
                    <w:jc w:val="center"/>
                    <w:rPr>
                      <w:bCs/>
                      <w:sz w:val="21"/>
                      <w:szCs w:val="21"/>
                    </w:rPr>
                  </w:pPr>
                  <w:r>
                    <w:rPr>
                      <w:bCs/>
                      <w:sz w:val="21"/>
                      <w:szCs w:val="21"/>
                    </w:rPr>
                    <w:t>已制定</w:t>
                  </w:r>
                </w:p>
              </w:tc>
              <w:tc>
                <w:tcPr>
                  <w:tcW w:w="1508" w:type="pct"/>
                  <w:vMerge w:val="continue"/>
                  <w:vAlign w:val="center"/>
                </w:tcPr>
                <w:p w14:paraId="4F0172A9">
                  <w:pPr>
                    <w:spacing w:line="360" w:lineRule="exact"/>
                    <w:jc w:val="center"/>
                    <w:rPr>
                      <w:bCs/>
                      <w:sz w:val="21"/>
                      <w:szCs w:val="21"/>
                    </w:rPr>
                  </w:pPr>
                </w:p>
              </w:tc>
            </w:tr>
          </w:tbl>
          <w:p w14:paraId="49C38C69">
            <w:pPr>
              <w:ind w:firstLine="480"/>
            </w:pPr>
            <w:r>
              <w:t>医院需在</w:t>
            </w:r>
            <w:r>
              <w:rPr>
                <w:bCs/>
              </w:rPr>
              <w:t>放射防护与辐射安全领导小组</w:t>
            </w:r>
            <w:r>
              <w:t>的组织下及时完善上述规章制度，将本项目辐射工作场所纳入相应制度管理，明确各科室人员责任，并严格落实。医院需定期对辐射安全规章制度执行情况进行评议，且应根据国家发布的新的相关法规内容，结合实际及时对各项规章制度补充修改，使之更能符合实际需要。</w:t>
            </w:r>
          </w:p>
          <w:p w14:paraId="6DEE629F">
            <w:pPr>
              <w:ind w:firstLine="480"/>
            </w:pPr>
            <w:r>
              <w:t>同时根据</w:t>
            </w:r>
            <w:r>
              <w:rPr>
                <w:rFonts w:hint="default" w:ascii="Times New Roman" w:hAnsi="Times New Roman" w:eastAsia="宋体" w:cs="Times New Roman"/>
                <w:color w:val="auto"/>
                <w:sz w:val="24"/>
                <w:highlight w:val="none"/>
                <w:lang w:val="en-US" w:eastAsia="zh-CN"/>
              </w:rPr>
              <w:t>《关于印发&lt;</w:t>
            </w:r>
            <w:r>
              <w:rPr>
                <w:rFonts w:hint="eastAsia" w:ascii="Times New Roman" w:hAnsi="Times New Roman" w:eastAsia="宋体" w:cs="Times New Roman"/>
                <w:color w:val="auto"/>
                <w:sz w:val="24"/>
                <w:highlight w:val="none"/>
                <w:lang w:val="en-US" w:eastAsia="zh-CN"/>
              </w:rPr>
              <w:t>四川省核技术利用单位辐射安全工作指引（2025年版）</w:t>
            </w:r>
            <w:r>
              <w:rPr>
                <w:rFonts w:hint="default" w:ascii="Times New Roman" w:hAnsi="Times New Roman" w:eastAsia="宋体" w:cs="Times New Roman"/>
                <w:color w:val="auto"/>
                <w:sz w:val="24"/>
                <w:highlight w:val="none"/>
                <w:lang w:val="en-US" w:eastAsia="zh-CN"/>
              </w:rPr>
              <w:t>&gt;的通知》（</w:t>
            </w:r>
            <w:r>
              <w:rPr>
                <w:rFonts w:hint="eastAsia" w:ascii="Times New Roman" w:hAnsi="Times New Roman" w:eastAsia="宋体" w:cs="Times New Roman"/>
                <w:color w:val="auto"/>
                <w:sz w:val="24"/>
                <w:highlight w:val="none"/>
                <w:lang w:val="en-US" w:eastAsia="zh-CN"/>
              </w:rPr>
              <w:t>川环函〔2025〕616号</w:t>
            </w:r>
            <w:r>
              <w:rPr>
                <w:rFonts w:hint="default" w:ascii="Times New Roman" w:hAnsi="Times New Roman" w:eastAsia="宋体" w:cs="Times New Roman"/>
                <w:color w:val="auto"/>
                <w:sz w:val="24"/>
                <w:highlight w:val="none"/>
                <w:lang w:val="en-US" w:eastAsia="zh-CN"/>
              </w:rPr>
              <w:t>）</w:t>
            </w:r>
            <w:r>
              <w:t>，各辐射工作场所职业人员操作室或办公室内需将“辐射工作场所安全管理制度”、“操作规程”、“辐射工作人员岗位职责”和“应急响应程序”的内容张贴上墙，且上墙制度的长宽尺寸不得小于600mm×400mm。</w:t>
            </w:r>
          </w:p>
        </w:tc>
      </w:tr>
      <w:tr w14:paraId="4689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58D44C39">
            <w:pPr>
              <w:widowControl/>
              <w:jc w:val="left"/>
              <w:rPr>
                <w:rFonts w:eastAsia="黑体"/>
              </w:rPr>
            </w:pPr>
            <w:r>
              <w:rPr>
                <w:rFonts w:eastAsia="黑体"/>
              </w:rPr>
              <w:t>辐射监测</w:t>
            </w:r>
          </w:p>
          <w:p w14:paraId="637CFBE6">
            <w:pPr>
              <w:ind w:firstLine="480"/>
            </w:pPr>
            <w:r>
              <w:t>根据《四川省辐射污染防治条例》“使用放射性同位素和射线装置的单位应当建立辐射监测制度，组织对从业人员个人辐射剂量、工作场所及周围环境进行监测，并建立相应档案”，又根据《电离辐射防护与辐射源安全基本标准》（GB18871-2002）、《操作非密封源的辐射防护规定》（GB11930-2010）、《职业性外照射个人监测规范》（GBZ128-2019）、《环境γ辐射剂量率测量技术规范》（HJ1157-2021）、《辐射环境监测技术规范》（HJ61-2021）中的相关规定，本项目个人辐射剂量、工作场所及周围环境监测要求如下。</w:t>
            </w:r>
          </w:p>
          <w:p w14:paraId="4CD8948D">
            <w:pPr>
              <w:ind w:firstLine="482"/>
              <w:rPr>
                <w:b/>
              </w:rPr>
            </w:pPr>
            <w:r>
              <w:rPr>
                <w:b/>
              </w:rPr>
              <w:t>1、个人剂量监测</w:t>
            </w:r>
          </w:p>
          <w:p w14:paraId="2BC7B193">
            <w:pPr>
              <w:ind w:firstLine="480"/>
              <w:rPr>
                <w:bCs/>
              </w:rPr>
            </w:pPr>
            <w:r>
              <w:rPr>
                <w:bCs/>
              </w:rPr>
              <w:t>项目建成投运后，医院应保证每名辐射工作人员均配备个人剂量计，并根据原四川省环境保护厅“关于进一步加强辐射工作人员个人剂量管理的通知”（川环办发[2010]49号）做好个人剂量管理的工作。同时根据</w:t>
            </w:r>
            <w:r>
              <w:t>《职业性外照射个人监测规范》（GBZ128-2019）个人剂量常规监测周期一般为1个月，最长不应超过3个月，医院应</w:t>
            </w:r>
            <w:r>
              <w:rPr>
                <w:bCs/>
              </w:rPr>
              <w:t>建立个人剂量档案（</w:t>
            </w:r>
            <w:r>
              <w:t>包括个人基本信息、工作岗位、剂量监测结果等信息</w:t>
            </w:r>
            <w:r>
              <w:rPr>
                <w:bCs/>
              </w:rPr>
              <w:t>），并将个人剂量档案保存终身。</w:t>
            </w:r>
          </w:p>
          <w:p w14:paraId="26F431C4">
            <w:pPr>
              <w:ind w:firstLine="480"/>
              <w:rPr>
                <w:bCs/>
              </w:rPr>
            </w:pPr>
            <w:r>
              <w:rPr>
                <w:bCs/>
              </w:rPr>
              <w:t>辐射工作人员在日常接触辐射工作过程中应正确佩戴个人剂量计，于比较均匀的辐射场，当辐射主要来自前方时，剂量计应佩戴在人体躯干前方中部位置，一般在左胸前或锁骨对应的领口位置；当辐射主要来自人体背面时，剂量计应佩戴在背部中间。对核医学放射药物分装与注射等全身受照不均匀的工作情况，应在铅围裙外锁骨对应的领口位置佩戴剂量计，并建议采用双剂量计监测方法（在铅围裙内躯干上再佩戴另一个剂量计），且宜在身体可能受到较大照射的部位佩戴局部剂量计(如头箍剂量计、腕部剂量计、指环剂量计等）。</w:t>
            </w:r>
          </w:p>
          <w:p w14:paraId="0125EC1F">
            <w:pPr>
              <w:ind w:firstLine="480"/>
              <w:rPr>
                <w:bCs/>
              </w:rPr>
            </w:pPr>
            <w:r>
              <w:rPr>
                <w:bCs/>
              </w:rPr>
              <w:t>当单个季度个人剂量超过1.25mSv时，</w:t>
            </w:r>
            <w:r>
              <w:t>医院</w:t>
            </w:r>
            <w:r>
              <w:rPr>
                <w:bCs/>
              </w:rPr>
              <w:t>要对该辐射工作人员进行干预，要进一步调查明确原因，并由当事人在情况调查报告上签字确认；当全年个人剂量超过5mSv时，</w:t>
            </w:r>
            <w:r>
              <w:t>医院</w:t>
            </w:r>
            <w:r>
              <w:rPr>
                <w:bCs/>
              </w:rPr>
              <w:t>需进行原因调查，并最终形成正式调查报告，经本人签字确认后，上报发证机关，检测报告及有关调查报告应存档备查；当单年个人剂量超过50mSv时，</w:t>
            </w:r>
            <w:r>
              <w:t>立即暂停该辐射工作人员继续从事放射性作业，同时进行原因调查，若构成辐射事故，医院应当立即启动辐射事故应急预案，有关检测报告及调查报告应存档备查</w:t>
            </w:r>
            <w:r>
              <w:rPr>
                <w:bCs/>
              </w:rPr>
              <w:t>。</w:t>
            </w:r>
          </w:p>
          <w:p w14:paraId="26E0126B">
            <w:pPr>
              <w:ind w:firstLine="482"/>
              <w:rPr>
                <w:b/>
              </w:rPr>
            </w:pPr>
            <w:r>
              <w:rPr>
                <w:b/>
              </w:rPr>
              <w:t>2、辐射工作场所监测</w:t>
            </w:r>
          </w:p>
          <w:p w14:paraId="7D2F4C57">
            <w:pPr>
              <w:ind w:firstLine="480"/>
              <w:rPr>
                <w:bCs/>
              </w:rPr>
            </w:pPr>
            <w:r>
              <w:rPr>
                <w:bCs/>
              </w:rPr>
              <w:t>（1）监测内容：</w:t>
            </w:r>
          </w:p>
          <w:p w14:paraId="1A909729">
            <w:pPr>
              <w:ind w:firstLine="480"/>
            </w:pPr>
            <w:r>
              <w:t>①非密封放射性物质工作场所：</w:t>
            </w:r>
            <w:r>
              <w:rPr>
                <w:rFonts w:hint="eastAsia"/>
                <w:lang w:val="en-US" w:eastAsia="zh-CN"/>
              </w:rPr>
              <w:t>X-</w:t>
            </w:r>
            <w:r>
              <w:t>γ辐射空气吸收剂量率、β表面污染。</w:t>
            </w:r>
          </w:p>
          <w:p w14:paraId="057D21B7">
            <w:pPr>
              <w:ind w:firstLine="480"/>
            </w:pPr>
            <w:r>
              <w:t>②</w:t>
            </w:r>
            <w:r>
              <w:rPr>
                <w:rFonts w:hint="default" w:ascii="Times New Roman" w:hAnsi="Times New Roman" w:cs="Times New Roman"/>
              </w:rPr>
              <w:t>Ⅱ</w:t>
            </w:r>
            <w:r>
              <w:rPr>
                <w:rFonts w:hint="eastAsia"/>
                <w:lang w:val="en-US" w:eastAsia="zh-CN"/>
              </w:rPr>
              <w:t>类/</w:t>
            </w:r>
            <w:r>
              <w:t>Ⅲ类射线装置机房：</w:t>
            </w:r>
            <w:r>
              <w:rPr>
                <w:rFonts w:hint="eastAsia"/>
                <w:lang w:val="en-US" w:eastAsia="zh-CN"/>
              </w:rPr>
              <w:t>X-</w:t>
            </w:r>
            <w:r>
              <w:t>γ辐射空气吸收剂量率。</w:t>
            </w:r>
          </w:p>
          <w:p w14:paraId="2C8325F3">
            <w:pPr>
              <w:ind w:firstLine="480"/>
              <w:rPr>
                <w:bCs/>
              </w:rPr>
            </w:pPr>
            <w:r>
              <w:t>③其他：衰变池废水：</w:t>
            </w:r>
            <w:r>
              <w:rPr>
                <w:bCs/>
              </w:rPr>
              <w:t>总</w:t>
            </w:r>
            <w:r>
              <w:t>α、总β和碘-131活度浓度；放射性固废：γ辐射空气吸收剂量率和β表面污染。</w:t>
            </w:r>
          </w:p>
          <w:p w14:paraId="3E53A528">
            <w:pPr>
              <w:ind w:firstLine="480"/>
              <w:rPr>
                <w:bCs/>
              </w:rPr>
            </w:pPr>
            <w:r>
              <w:rPr>
                <w:bCs/>
              </w:rPr>
              <w:t>（2）监测布点及数据管理：监测布点应与验收监测布点一致</w:t>
            </w:r>
            <w:r>
              <w:t>（详见表12-3）</w:t>
            </w:r>
            <w:r>
              <w:rPr>
                <w:bCs/>
              </w:rPr>
              <w:t>，监测数据应记录完善，并将数据实时汇总，建立好监测数据台账以便核查。</w:t>
            </w:r>
          </w:p>
          <w:p w14:paraId="29F3CD1E">
            <w:pPr>
              <w:tabs>
                <w:tab w:val="left" w:pos="2290"/>
              </w:tabs>
              <w:ind w:firstLine="480"/>
              <w:rPr>
                <w:bCs/>
              </w:rPr>
            </w:pPr>
            <w:r>
              <w:rPr>
                <w:bCs/>
              </w:rPr>
              <w:t>（3）监测频度：对于</w:t>
            </w:r>
            <w:r>
              <w:rPr>
                <w:rFonts w:hint="eastAsia"/>
                <w:bCs/>
                <w:lang w:val="en-US" w:eastAsia="zh-CN"/>
              </w:rPr>
              <w:t>X-</w:t>
            </w:r>
            <w:r>
              <w:t>γ辐射空气吸收剂量率和β表面污染，</w:t>
            </w:r>
            <w:r>
              <w:rPr>
                <w:bCs/>
              </w:rPr>
              <w:t>医院</w:t>
            </w:r>
            <w:r>
              <w:t>应</w:t>
            </w:r>
            <w:r>
              <w:rPr>
                <w:bCs/>
              </w:rPr>
              <w:t>自行配备监测仪器</w:t>
            </w:r>
            <w:r>
              <w:t>进行定期监测</w:t>
            </w:r>
            <w:r>
              <w:rPr>
                <w:bCs/>
              </w:rPr>
              <w:t>；对于废水总</w:t>
            </w:r>
            <w:r>
              <w:t>α、</w:t>
            </w:r>
            <w:r>
              <w:rPr>
                <w:bCs/>
              </w:rPr>
              <w:t>总β、碘-131活度浓度，应在暂存时间不满足解控要求、需排放时，委托有资质单位进行采样监测，监测结果达标后可后排放；对于气载流出物，应每年委托有资质单位监测1次。另外，需委托</w:t>
            </w:r>
            <w:r>
              <w:t>有资质单位在项目投运后开展验收监测，并在投运后每年定期开展年度监测，</w:t>
            </w:r>
            <w:r>
              <w:rPr>
                <w:bCs/>
              </w:rPr>
              <w:t>监测报告附到年度评估报告中，于每年1月31日前将评估报告上传至全国核技术利用辐射安全申报系统（网址：http://rr.mee.gov.cn）。</w:t>
            </w:r>
          </w:p>
          <w:p w14:paraId="0910CCB9">
            <w:pPr>
              <w:tabs>
                <w:tab w:val="left" w:pos="2290"/>
              </w:tabs>
              <w:ind w:firstLine="480"/>
              <w:rPr>
                <w:bCs/>
              </w:rPr>
            </w:pPr>
            <w:r>
              <w:rPr>
                <w:bCs/>
              </w:rPr>
              <w:t>（4）监测范围：</w:t>
            </w:r>
          </w:p>
          <w:p w14:paraId="648A79FF">
            <w:pPr>
              <w:ind w:firstLine="480"/>
            </w:pPr>
            <w:r>
              <w:t>①非密封放射性物质工作场所：控制区内所有区域、控制区外临近房间的γ辐射空气吸收剂量率；控制区内人员</w:t>
            </w:r>
            <w:r>
              <w:rPr>
                <w:bCs/>
              </w:rPr>
              <w:t>易接触的工作台、地面、墙面、病床、桌椅等的</w:t>
            </w:r>
            <w:r>
              <w:t>β表面污染。</w:t>
            </w:r>
          </w:p>
          <w:p w14:paraId="052AFEB6">
            <w:pPr>
              <w:ind w:firstLine="480"/>
            </w:pPr>
            <w:r>
              <w:t>③</w:t>
            </w:r>
            <w:r>
              <w:rPr>
                <w:rFonts w:hint="default" w:ascii="Times New Roman" w:hAnsi="Times New Roman" w:cs="Times New Roman"/>
              </w:rPr>
              <w:t>Ⅱ</w:t>
            </w:r>
            <w:r>
              <w:rPr>
                <w:rFonts w:hint="eastAsia"/>
                <w:lang w:val="en-US" w:eastAsia="zh-CN"/>
              </w:rPr>
              <w:t>类/</w:t>
            </w:r>
            <w:r>
              <w:t>Ⅲ类射线装置机房：机房屏蔽体（</w:t>
            </w:r>
            <w:r>
              <w:rPr>
                <w:bCs/>
              </w:rPr>
              <w:t>墙体、防护门、观察窗</w:t>
            </w:r>
            <w:r>
              <w:t>）外及穿线孔洞处、控制室操作台和机房楼上、楼下区域γ辐射空气吸收剂量率。</w:t>
            </w:r>
          </w:p>
          <w:p w14:paraId="5D7A3746">
            <w:pPr>
              <w:tabs>
                <w:tab w:val="left" w:pos="2290"/>
              </w:tabs>
              <w:ind w:firstLine="480"/>
              <w:rPr>
                <w:bCs/>
              </w:rPr>
            </w:pPr>
            <w:r>
              <w:rPr>
                <w:bCs/>
              </w:rPr>
              <w:t>（5）监测设备：X-γ辐射剂量率仪、</w:t>
            </w:r>
            <w:r>
              <w:t>α、β表面沾污仪</w:t>
            </w:r>
            <w:r>
              <w:rPr>
                <w:bCs/>
              </w:rPr>
              <w:t>。</w:t>
            </w:r>
          </w:p>
          <w:p w14:paraId="47707310">
            <w:pPr>
              <w:spacing w:before="163" w:line="240" w:lineRule="auto"/>
              <w:jc w:val="center"/>
              <w:rPr>
                <w:rFonts w:eastAsia="黑体"/>
                <w:sz w:val="21"/>
                <w:szCs w:val="21"/>
              </w:rPr>
            </w:pPr>
            <w:r>
              <w:rPr>
                <w:rFonts w:eastAsia="黑体"/>
                <w:sz w:val="21"/>
                <w:szCs w:val="21"/>
              </w:rPr>
              <w:t>表12-3  监测计划一览表</w:t>
            </w:r>
          </w:p>
          <w:tbl>
            <w:tblPr>
              <w:tblStyle w:val="57"/>
              <w:tblW w:w="499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1022"/>
              <w:gridCol w:w="731"/>
              <w:gridCol w:w="1273"/>
              <w:gridCol w:w="2227"/>
              <w:gridCol w:w="1385"/>
              <w:gridCol w:w="1232"/>
            </w:tblGrid>
            <w:tr w14:paraId="17677A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Align w:val="center"/>
                </w:tcPr>
                <w:p w14:paraId="3FFAFFD5">
                  <w:pPr>
                    <w:spacing w:line="360" w:lineRule="exact"/>
                    <w:jc w:val="center"/>
                    <w:rPr>
                      <w:bCs/>
                      <w:spacing w:val="-11"/>
                      <w:sz w:val="21"/>
                      <w:szCs w:val="21"/>
                    </w:rPr>
                  </w:pPr>
                  <w:r>
                    <w:rPr>
                      <w:bCs/>
                      <w:spacing w:val="-11"/>
                      <w:sz w:val="21"/>
                      <w:szCs w:val="21"/>
                    </w:rPr>
                    <w:t>项目</w:t>
                  </w:r>
                </w:p>
              </w:tc>
              <w:tc>
                <w:tcPr>
                  <w:tcW w:w="601" w:type="pct"/>
                  <w:vAlign w:val="center"/>
                </w:tcPr>
                <w:p w14:paraId="1B35721C">
                  <w:pPr>
                    <w:spacing w:line="360" w:lineRule="exact"/>
                    <w:jc w:val="center"/>
                    <w:rPr>
                      <w:bCs/>
                      <w:spacing w:val="-11"/>
                      <w:sz w:val="21"/>
                      <w:szCs w:val="21"/>
                    </w:rPr>
                  </w:pPr>
                  <w:r>
                    <w:rPr>
                      <w:bCs/>
                      <w:spacing w:val="-11"/>
                      <w:sz w:val="21"/>
                      <w:szCs w:val="21"/>
                    </w:rPr>
                    <w:t>工作场所</w:t>
                  </w:r>
                </w:p>
              </w:tc>
              <w:tc>
                <w:tcPr>
                  <w:tcW w:w="1179" w:type="pct"/>
                  <w:gridSpan w:val="2"/>
                  <w:vAlign w:val="center"/>
                </w:tcPr>
                <w:p w14:paraId="6C676CF1">
                  <w:pPr>
                    <w:spacing w:line="360" w:lineRule="exact"/>
                    <w:jc w:val="center"/>
                    <w:rPr>
                      <w:bCs/>
                      <w:spacing w:val="-11"/>
                      <w:sz w:val="21"/>
                      <w:szCs w:val="21"/>
                    </w:rPr>
                  </w:pPr>
                  <w:r>
                    <w:rPr>
                      <w:bCs/>
                      <w:spacing w:val="-11"/>
                      <w:sz w:val="21"/>
                      <w:szCs w:val="21"/>
                    </w:rPr>
                    <w:t>监测项目</w:t>
                  </w:r>
                </w:p>
              </w:tc>
              <w:tc>
                <w:tcPr>
                  <w:tcW w:w="1310" w:type="pct"/>
                  <w:vAlign w:val="center"/>
                </w:tcPr>
                <w:p w14:paraId="56CB5269">
                  <w:pPr>
                    <w:spacing w:line="360" w:lineRule="exact"/>
                    <w:jc w:val="center"/>
                    <w:rPr>
                      <w:bCs/>
                      <w:spacing w:val="-11"/>
                      <w:sz w:val="21"/>
                      <w:szCs w:val="21"/>
                    </w:rPr>
                  </w:pPr>
                  <w:r>
                    <w:rPr>
                      <w:bCs/>
                      <w:spacing w:val="-11"/>
                      <w:sz w:val="21"/>
                      <w:szCs w:val="21"/>
                    </w:rPr>
                    <w:t>监测范围</w:t>
                  </w:r>
                </w:p>
              </w:tc>
              <w:tc>
                <w:tcPr>
                  <w:tcW w:w="815" w:type="pct"/>
                  <w:vAlign w:val="center"/>
                </w:tcPr>
                <w:p w14:paraId="51255F89">
                  <w:pPr>
                    <w:spacing w:line="360" w:lineRule="exact"/>
                    <w:jc w:val="center"/>
                    <w:rPr>
                      <w:bCs/>
                      <w:spacing w:val="-11"/>
                      <w:sz w:val="21"/>
                      <w:szCs w:val="21"/>
                    </w:rPr>
                  </w:pPr>
                  <w:r>
                    <w:rPr>
                      <w:bCs/>
                      <w:spacing w:val="-11"/>
                      <w:sz w:val="21"/>
                      <w:szCs w:val="21"/>
                    </w:rPr>
                    <w:t>监测频次</w:t>
                  </w:r>
                </w:p>
              </w:tc>
              <w:tc>
                <w:tcPr>
                  <w:tcW w:w="725" w:type="pct"/>
                  <w:vAlign w:val="center"/>
                </w:tcPr>
                <w:p w14:paraId="21CED8FF">
                  <w:pPr>
                    <w:spacing w:line="360" w:lineRule="exact"/>
                    <w:jc w:val="center"/>
                    <w:rPr>
                      <w:bCs/>
                      <w:spacing w:val="-11"/>
                      <w:sz w:val="21"/>
                      <w:szCs w:val="21"/>
                    </w:rPr>
                  </w:pPr>
                  <w:r>
                    <w:rPr>
                      <w:bCs/>
                      <w:spacing w:val="-11"/>
                      <w:sz w:val="21"/>
                      <w:szCs w:val="21"/>
                    </w:rPr>
                    <w:t>监测设备</w:t>
                  </w:r>
                </w:p>
              </w:tc>
            </w:tr>
            <w:tr w14:paraId="32971D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restart"/>
                  <w:vAlign w:val="center"/>
                </w:tcPr>
                <w:p w14:paraId="335F2A89">
                  <w:pPr>
                    <w:spacing w:line="360" w:lineRule="exact"/>
                    <w:jc w:val="center"/>
                    <w:rPr>
                      <w:rFonts w:hint="default" w:eastAsia="宋体"/>
                      <w:bCs/>
                      <w:spacing w:val="-11"/>
                      <w:sz w:val="21"/>
                      <w:szCs w:val="21"/>
                      <w:lang w:val="en-US" w:eastAsia="zh-CN"/>
                    </w:rPr>
                  </w:pPr>
                  <w:r>
                    <w:rPr>
                      <w:rFonts w:hint="eastAsia"/>
                      <w:bCs/>
                      <w:spacing w:val="-11"/>
                      <w:sz w:val="21"/>
                      <w:szCs w:val="21"/>
                      <w:lang w:val="en-US" w:eastAsia="zh-CN"/>
                    </w:rPr>
                    <w:t>自主监测</w:t>
                  </w:r>
                </w:p>
              </w:tc>
              <w:tc>
                <w:tcPr>
                  <w:tcW w:w="601" w:type="pct"/>
                  <w:vAlign w:val="center"/>
                </w:tcPr>
                <w:p w14:paraId="64EF9179">
                  <w:pPr>
                    <w:spacing w:line="360" w:lineRule="exact"/>
                    <w:jc w:val="center"/>
                    <w:rPr>
                      <w:bCs/>
                      <w:spacing w:val="-11"/>
                      <w:sz w:val="21"/>
                      <w:szCs w:val="21"/>
                    </w:rPr>
                  </w:pPr>
                  <w:r>
                    <w:rPr>
                      <w:rFonts w:hint="default" w:ascii="Times New Roman" w:hAnsi="Times New Roman" w:cs="Times New Roman"/>
                      <w:bCs/>
                      <w:spacing w:val="-11"/>
                      <w:sz w:val="21"/>
                      <w:szCs w:val="21"/>
                    </w:rPr>
                    <w:t>Ⅱ</w:t>
                  </w:r>
                  <w:r>
                    <w:rPr>
                      <w:rFonts w:hint="eastAsia"/>
                      <w:bCs/>
                      <w:spacing w:val="-11"/>
                      <w:sz w:val="21"/>
                      <w:szCs w:val="21"/>
                      <w:lang w:val="en-US" w:eastAsia="zh-CN"/>
                    </w:rPr>
                    <w:t>类/</w:t>
                  </w:r>
                  <w:r>
                    <w:rPr>
                      <w:bCs/>
                      <w:spacing w:val="-11"/>
                      <w:sz w:val="21"/>
                      <w:szCs w:val="21"/>
                    </w:rPr>
                    <w:t>Ⅲ类射线装置机房</w:t>
                  </w:r>
                </w:p>
              </w:tc>
              <w:tc>
                <w:tcPr>
                  <w:tcW w:w="1179" w:type="pct"/>
                  <w:gridSpan w:val="2"/>
                  <w:vAlign w:val="center"/>
                </w:tcPr>
                <w:p w14:paraId="55ACC8A4">
                  <w:pPr>
                    <w:spacing w:line="360" w:lineRule="exact"/>
                    <w:jc w:val="center"/>
                    <w:rPr>
                      <w:bCs/>
                      <w:spacing w:val="-11"/>
                      <w:sz w:val="21"/>
                      <w:szCs w:val="21"/>
                    </w:rPr>
                  </w:pPr>
                  <w:r>
                    <w:rPr>
                      <w:bCs/>
                      <w:spacing w:val="-11"/>
                      <w:sz w:val="21"/>
                      <w:szCs w:val="21"/>
                    </w:rPr>
                    <w:t>γ辐射空气吸收剂量率</w:t>
                  </w:r>
                </w:p>
              </w:tc>
              <w:tc>
                <w:tcPr>
                  <w:tcW w:w="1310" w:type="pct"/>
                  <w:vAlign w:val="center"/>
                </w:tcPr>
                <w:p w14:paraId="609A14D1">
                  <w:pPr>
                    <w:spacing w:line="360" w:lineRule="exact"/>
                    <w:rPr>
                      <w:bCs/>
                      <w:spacing w:val="-11"/>
                      <w:sz w:val="21"/>
                      <w:szCs w:val="21"/>
                    </w:rPr>
                  </w:pPr>
                  <w:r>
                    <w:rPr>
                      <w:spacing w:val="-11"/>
                      <w:sz w:val="21"/>
                      <w:szCs w:val="21"/>
                    </w:rPr>
                    <w:t>屏蔽体（</w:t>
                  </w:r>
                  <w:r>
                    <w:rPr>
                      <w:bCs/>
                      <w:spacing w:val="-11"/>
                      <w:sz w:val="21"/>
                      <w:szCs w:val="21"/>
                    </w:rPr>
                    <w:t>墙体、防护门、观察窗</w:t>
                  </w:r>
                  <w:r>
                    <w:rPr>
                      <w:spacing w:val="-11"/>
                      <w:sz w:val="21"/>
                      <w:szCs w:val="21"/>
                    </w:rPr>
                    <w:t>）外及穿线孔洞处、控制室操作台和机房楼上、楼下区域</w:t>
                  </w:r>
                </w:p>
              </w:tc>
              <w:tc>
                <w:tcPr>
                  <w:tcW w:w="815" w:type="pct"/>
                  <w:vAlign w:val="center"/>
                </w:tcPr>
                <w:p w14:paraId="121D7C95">
                  <w:pPr>
                    <w:spacing w:line="360" w:lineRule="exact"/>
                    <w:jc w:val="center"/>
                    <w:rPr>
                      <w:spacing w:val="-11"/>
                      <w:sz w:val="21"/>
                      <w:szCs w:val="21"/>
                    </w:rPr>
                  </w:pPr>
                  <w:r>
                    <w:rPr>
                      <w:spacing w:val="-11"/>
                      <w:sz w:val="21"/>
                      <w:szCs w:val="21"/>
                    </w:rPr>
                    <w:t>每月一次</w:t>
                  </w:r>
                </w:p>
                <w:p w14:paraId="10410DC3">
                  <w:pPr>
                    <w:spacing w:line="360" w:lineRule="exact"/>
                    <w:jc w:val="center"/>
                    <w:rPr>
                      <w:bCs/>
                      <w:spacing w:val="-11"/>
                      <w:sz w:val="21"/>
                      <w:szCs w:val="21"/>
                    </w:rPr>
                  </w:pPr>
                  <w:r>
                    <w:rPr>
                      <w:spacing w:val="-11"/>
                      <w:sz w:val="21"/>
                      <w:szCs w:val="21"/>
                    </w:rPr>
                    <w:t>（记录监测数据存档）</w:t>
                  </w:r>
                </w:p>
              </w:tc>
              <w:tc>
                <w:tcPr>
                  <w:tcW w:w="725" w:type="pct"/>
                  <w:vAlign w:val="center"/>
                </w:tcPr>
                <w:p w14:paraId="2AB9BD12">
                  <w:pPr>
                    <w:spacing w:line="360" w:lineRule="exact"/>
                    <w:jc w:val="center"/>
                    <w:rPr>
                      <w:bCs/>
                      <w:spacing w:val="-11"/>
                      <w:sz w:val="21"/>
                      <w:szCs w:val="21"/>
                    </w:rPr>
                  </w:pPr>
                  <w:r>
                    <w:rPr>
                      <w:bCs/>
                      <w:spacing w:val="-11"/>
                      <w:sz w:val="21"/>
                      <w:szCs w:val="21"/>
                    </w:rPr>
                    <w:t>X-γ辐射剂量率仪</w:t>
                  </w:r>
                </w:p>
              </w:tc>
            </w:tr>
            <w:tr w14:paraId="4C5357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367" w:type="pct"/>
                  <w:vMerge w:val="continue"/>
                  <w:vAlign w:val="center"/>
                </w:tcPr>
                <w:p w14:paraId="6A4445CF">
                  <w:pPr>
                    <w:spacing w:line="360" w:lineRule="exact"/>
                    <w:jc w:val="center"/>
                    <w:rPr>
                      <w:bCs/>
                      <w:spacing w:val="-11"/>
                      <w:sz w:val="21"/>
                      <w:szCs w:val="21"/>
                    </w:rPr>
                  </w:pPr>
                </w:p>
              </w:tc>
              <w:tc>
                <w:tcPr>
                  <w:tcW w:w="601" w:type="pct"/>
                  <w:vMerge w:val="restart"/>
                  <w:vAlign w:val="center"/>
                </w:tcPr>
                <w:p w14:paraId="58370E75">
                  <w:pPr>
                    <w:spacing w:line="360" w:lineRule="exact"/>
                    <w:jc w:val="center"/>
                    <w:rPr>
                      <w:bCs/>
                      <w:spacing w:val="-11"/>
                      <w:sz w:val="21"/>
                      <w:szCs w:val="21"/>
                    </w:rPr>
                  </w:pPr>
                  <w:r>
                    <w:rPr>
                      <w:bCs/>
                      <w:spacing w:val="-11"/>
                      <w:sz w:val="21"/>
                      <w:szCs w:val="21"/>
                    </w:rPr>
                    <w:t>非密封放射性物质工作场所</w:t>
                  </w:r>
                </w:p>
              </w:tc>
              <w:tc>
                <w:tcPr>
                  <w:tcW w:w="1179" w:type="pct"/>
                  <w:gridSpan w:val="2"/>
                  <w:vAlign w:val="center"/>
                </w:tcPr>
                <w:p w14:paraId="53328CCC">
                  <w:pPr>
                    <w:spacing w:line="360" w:lineRule="exact"/>
                    <w:jc w:val="center"/>
                    <w:rPr>
                      <w:bCs/>
                      <w:spacing w:val="-11"/>
                      <w:sz w:val="21"/>
                      <w:szCs w:val="21"/>
                    </w:rPr>
                  </w:pPr>
                  <w:r>
                    <w:rPr>
                      <w:bCs/>
                      <w:spacing w:val="-11"/>
                      <w:sz w:val="21"/>
                      <w:szCs w:val="21"/>
                    </w:rPr>
                    <w:t>γ辐射空气吸收剂量率</w:t>
                  </w:r>
                </w:p>
              </w:tc>
              <w:tc>
                <w:tcPr>
                  <w:tcW w:w="1310" w:type="pct"/>
                  <w:vAlign w:val="center"/>
                </w:tcPr>
                <w:p w14:paraId="55505655">
                  <w:pPr>
                    <w:spacing w:line="360" w:lineRule="exact"/>
                    <w:rPr>
                      <w:bCs/>
                      <w:spacing w:val="-11"/>
                      <w:sz w:val="21"/>
                      <w:szCs w:val="21"/>
                    </w:rPr>
                  </w:pPr>
                  <w:r>
                    <w:rPr>
                      <w:spacing w:val="-11"/>
                      <w:sz w:val="21"/>
                      <w:szCs w:val="21"/>
                    </w:rPr>
                    <w:t>控制区内所有区域、控制区外临近房间</w:t>
                  </w:r>
                </w:p>
              </w:tc>
              <w:tc>
                <w:tcPr>
                  <w:tcW w:w="815" w:type="pct"/>
                  <w:vAlign w:val="center"/>
                </w:tcPr>
                <w:p w14:paraId="060CEE1F">
                  <w:pPr>
                    <w:spacing w:line="360" w:lineRule="exact"/>
                    <w:jc w:val="center"/>
                    <w:rPr>
                      <w:spacing w:val="-11"/>
                      <w:sz w:val="21"/>
                      <w:szCs w:val="21"/>
                    </w:rPr>
                  </w:pPr>
                  <w:r>
                    <w:rPr>
                      <w:spacing w:val="-11"/>
                      <w:sz w:val="21"/>
                      <w:szCs w:val="21"/>
                    </w:rPr>
                    <w:t>每月一次</w:t>
                  </w:r>
                </w:p>
                <w:p w14:paraId="3917DCAD">
                  <w:pPr>
                    <w:spacing w:line="360" w:lineRule="exact"/>
                    <w:jc w:val="center"/>
                    <w:rPr>
                      <w:bCs/>
                      <w:spacing w:val="-11"/>
                      <w:sz w:val="21"/>
                      <w:szCs w:val="21"/>
                    </w:rPr>
                  </w:pPr>
                  <w:r>
                    <w:rPr>
                      <w:spacing w:val="-11"/>
                      <w:sz w:val="21"/>
                      <w:szCs w:val="21"/>
                    </w:rPr>
                    <w:t>（记录监测数据存档）</w:t>
                  </w:r>
                </w:p>
              </w:tc>
              <w:tc>
                <w:tcPr>
                  <w:tcW w:w="725" w:type="pct"/>
                  <w:vAlign w:val="center"/>
                </w:tcPr>
                <w:p w14:paraId="6379A247">
                  <w:pPr>
                    <w:spacing w:line="360" w:lineRule="exact"/>
                    <w:jc w:val="center"/>
                    <w:rPr>
                      <w:bCs/>
                      <w:spacing w:val="-11"/>
                      <w:sz w:val="21"/>
                      <w:szCs w:val="21"/>
                    </w:rPr>
                  </w:pPr>
                  <w:r>
                    <w:rPr>
                      <w:bCs/>
                      <w:spacing w:val="-11"/>
                      <w:sz w:val="21"/>
                      <w:szCs w:val="21"/>
                    </w:rPr>
                    <w:t>X-γ辐射剂量率仪</w:t>
                  </w:r>
                </w:p>
              </w:tc>
            </w:tr>
            <w:tr w14:paraId="372B28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67" w:type="pct"/>
                  <w:vMerge w:val="continue"/>
                  <w:vAlign w:val="center"/>
                </w:tcPr>
                <w:p w14:paraId="34613302">
                  <w:pPr>
                    <w:spacing w:line="360" w:lineRule="exact"/>
                    <w:jc w:val="center"/>
                    <w:rPr>
                      <w:bCs/>
                      <w:spacing w:val="-11"/>
                      <w:sz w:val="21"/>
                      <w:szCs w:val="21"/>
                    </w:rPr>
                  </w:pPr>
                </w:p>
              </w:tc>
              <w:tc>
                <w:tcPr>
                  <w:tcW w:w="601" w:type="pct"/>
                  <w:vMerge w:val="continue"/>
                  <w:vAlign w:val="center"/>
                </w:tcPr>
                <w:p w14:paraId="0FEE9CA3">
                  <w:pPr>
                    <w:spacing w:line="360" w:lineRule="exact"/>
                    <w:jc w:val="center"/>
                    <w:rPr>
                      <w:bCs/>
                      <w:spacing w:val="-11"/>
                      <w:sz w:val="21"/>
                      <w:szCs w:val="21"/>
                    </w:rPr>
                  </w:pPr>
                </w:p>
              </w:tc>
              <w:tc>
                <w:tcPr>
                  <w:tcW w:w="1179" w:type="pct"/>
                  <w:gridSpan w:val="2"/>
                  <w:vMerge w:val="restart"/>
                  <w:vAlign w:val="center"/>
                </w:tcPr>
                <w:p w14:paraId="4FFBC293">
                  <w:pPr>
                    <w:spacing w:line="360" w:lineRule="exact"/>
                    <w:jc w:val="center"/>
                    <w:rPr>
                      <w:bCs/>
                      <w:spacing w:val="-11"/>
                      <w:sz w:val="21"/>
                      <w:szCs w:val="21"/>
                    </w:rPr>
                  </w:pPr>
                  <w:r>
                    <w:rPr>
                      <w:bCs/>
                      <w:spacing w:val="-11"/>
                      <w:sz w:val="21"/>
                      <w:szCs w:val="21"/>
                    </w:rPr>
                    <w:t>β表面污染</w:t>
                  </w:r>
                </w:p>
              </w:tc>
              <w:tc>
                <w:tcPr>
                  <w:tcW w:w="1310" w:type="pct"/>
                  <w:vAlign w:val="center"/>
                </w:tcPr>
                <w:p w14:paraId="0864656F">
                  <w:pPr>
                    <w:spacing w:line="360" w:lineRule="exact"/>
                    <w:rPr>
                      <w:bCs/>
                      <w:spacing w:val="-11"/>
                      <w:sz w:val="21"/>
                      <w:szCs w:val="21"/>
                    </w:rPr>
                  </w:pPr>
                  <w:r>
                    <w:rPr>
                      <w:spacing w:val="-11"/>
                      <w:sz w:val="21"/>
                      <w:szCs w:val="21"/>
                    </w:rPr>
                    <w:t>控制区内人员</w:t>
                  </w:r>
                  <w:r>
                    <w:rPr>
                      <w:bCs/>
                      <w:spacing w:val="-11"/>
                      <w:sz w:val="21"/>
                      <w:szCs w:val="21"/>
                    </w:rPr>
                    <w:t>易接触的工作台、地面、墙面、病床、桌椅等</w:t>
                  </w:r>
                </w:p>
              </w:tc>
              <w:tc>
                <w:tcPr>
                  <w:tcW w:w="815" w:type="pct"/>
                  <w:vAlign w:val="center"/>
                </w:tcPr>
                <w:p w14:paraId="0E94199C">
                  <w:pPr>
                    <w:spacing w:line="360" w:lineRule="exact"/>
                    <w:jc w:val="center"/>
                    <w:rPr>
                      <w:spacing w:val="-11"/>
                      <w:sz w:val="21"/>
                      <w:szCs w:val="21"/>
                    </w:rPr>
                  </w:pPr>
                  <w:r>
                    <w:rPr>
                      <w:spacing w:val="-11"/>
                      <w:sz w:val="21"/>
                      <w:szCs w:val="21"/>
                    </w:rPr>
                    <w:t>每月一次</w:t>
                  </w:r>
                </w:p>
                <w:p w14:paraId="62A737AF">
                  <w:pPr>
                    <w:spacing w:line="360" w:lineRule="exact"/>
                    <w:jc w:val="center"/>
                    <w:rPr>
                      <w:bCs/>
                      <w:spacing w:val="-11"/>
                      <w:sz w:val="21"/>
                      <w:szCs w:val="21"/>
                    </w:rPr>
                  </w:pPr>
                  <w:r>
                    <w:rPr>
                      <w:spacing w:val="-11"/>
                      <w:sz w:val="21"/>
                      <w:szCs w:val="21"/>
                    </w:rPr>
                    <w:t>（记录监测数据存档）</w:t>
                  </w:r>
                </w:p>
              </w:tc>
              <w:tc>
                <w:tcPr>
                  <w:tcW w:w="725" w:type="pct"/>
                  <w:vAlign w:val="center"/>
                </w:tcPr>
                <w:p w14:paraId="44100F63">
                  <w:pPr>
                    <w:spacing w:line="360" w:lineRule="exact"/>
                    <w:jc w:val="center"/>
                    <w:rPr>
                      <w:bCs/>
                      <w:spacing w:val="-11"/>
                      <w:sz w:val="21"/>
                      <w:szCs w:val="21"/>
                    </w:rPr>
                  </w:pPr>
                  <w:r>
                    <w:rPr>
                      <w:spacing w:val="-11"/>
                      <w:sz w:val="21"/>
                      <w:szCs w:val="21"/>
                    </w:rPr>
                    <w:t>α、β表面沾污仪</w:t>
                  </w:r>
                </w:p>
              </w:tc>
            </w:tr>
            <w:tr w14:paraId="4C255A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67" w:type="pct"/>
                  <w:vMerge w:val="continue"/>
                  <w:vAlign w:val="center"/>
                </w:tcPr>
                <w:p w14:paraId="0DBD80AF">
                  <w:pPr>
                    <w:spacing w:line="360" w:lineRule="exact"/>
                    <w:jc w:val="center"/>
                    <w:rPr>
                      <w:bCs/>
                      <w:spacing w:val="-11"/>
                      <w:sz w:val="21"/>
                      <w:szCs w:val="21"/>
                    </w:rPr>
                  </w:pPr>
                </w:p>
              </w:tc>
              <w:tc>
                <w:tcPr>
                  <w:tcW w:w="601" w:type="pct"/>
                  <w:vMerge w:val="continue"/>
                  <w:vAlign w:val="center"/>
                </w:tcPr>
                <w:p w14:paraId="39FE664F">
                  <w:pPr>
                    <w:spacing w:line="360" w:lineRule="exact"/>
                    <w:jc w:val="center"/>
                    <w:rPr>
                      <w:bCs/>
                      <w:spacing w:val="-11"/>
                      <w:sz w:val="21"/>
                      <w:szCs w:val="21"/>
                    </w:rPr>
                  </w:pPr>
                </w:p>
              </w:tc>
              <w:tc>
                <w:tcPr>
                  <w:tcW w:w="1179" w:type="pct"/>
                  <w:gridSpan w:val="2"/>
                  <w:vMerge w:val="continue"/>
                  <w:vAlign w:val="center"/>
                </w:tcPr>
                <w:p w14:paraId="6FA7A908">
                  <w:pPr>
                    <w:spacing w:line="360" w:lineRule="exact"/>
                    <w:jc w:val="center"/>
                    <w:rPr>
                      <w:spacing w:val="-11"/>
                      <w:sz w:val="21"/>
                      <w:szCs w:val="21"/>
                    </w:rPr>
                  </w:pPr>
                </w:p>
              </w:tc>
              <w:tc>
                <w:tcPr>
                  <w:tcW w:w="1310" w:type="pct"/>
                  <w:vAlign w:val="center"/>
                </w:tcPr>
                <w:p w14:paraId="0E0C8AED">
                  <w:pPr>
                    <w:spacing w:line="360" w:lineRule="exact"/>
                    <w:rPr>
                      <w:spacing w:val="-11"/>
                      <w:sz w:val="21"/>
                      <w:szCs w:val="21"/>
                    </w:rPr>
                  </w:pPr>
                  <w:r>
                    <w:rPr>
                      <w:spacing w:val="-11"/>
                      <w:sz w:val="21"/>
                      <w:szCs w:val="21"/>
                    </w:rPr>
                    <w:t>手、皮肤暴露部分及工作服、手套、鞋、帽等</w:t>
                  </w:r>
                </w:p>
              </w:tc>
              <w:tc>
                <w:tcPr>
                  <w:tcW w:w="815" w:type="pct"/>
                  <w:vAlign w:val="center"/>
                </w:tcPr>
                <w:p w14:paraId="123A52AF">
                  <w:pPr>
                    <w:spacing w:line="360" w:lineRule="exact"/>
                    <w:jc w:val="center"/>
                    <w:rPr>
                      <w:bCs/>
                      <w:spacing w:val="-11"/>
                      <w:sz w:val="21"/>
                      <w:szCs w:val="21"/>
                    </w:rPr>
                  </w:pPr>
                  <w:r>
                    <w:rPr>
                      <w:bCs/>
                      <w:spacing w:val="-11"/>
                      <w:sz w:val="21"/>
                      <w:szCs w:val="21"/>
                    </w:rPr>
                    <w:t>离开放射性工作场所前</w:t>
                  </w:r>
                </w:p>
              </w:tc>
              <w:tc>
                <w:tcPr>
                  <w:tcW w:w="725" w:type="pct"/>
                  <w:vAlign w:val="center"/>
                </w:tcPr>
                <w:p w14:paraId="6282B9F8">
                  <w:pPr>
                    <w:spacing w:line="360" w:lineRule="exact"/>
                    <w:jc w:val="center"/>
                    <w:rPr>
                      <w:spacing w:val="-11"/>
                      <w:sz w:val="21"/>
                      <w:szCs w:val="21"/>
                    </w:rPr>
                  </w:pPr>
                  <w:r>
                    <w:rPr>
                      <w:spacing w:val="-11"/>
                      <w:sz w:val="21"/>
                      <w:szCs w:val="21"/>
                    </w:rPr>
                    <w:t>α、β表面沾污仪</w:t>
                  </w:r>
                </w:p>
              </w:tc>
            </w:tr>
            <w:tr w14:paraId="676C94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67" w:type="pct"/>
                  <w:vMerge w:val="continue"/>
                  <w:vAlign w:val="center"/>
                </w:tcPr>
                <w:p w14:paraId="500800D1">
                  <w:pPr>
                    <w:spacing w:line="360" w:lineRule="exact"/>
                    <w:jc w:val="center"/>
                    <w:rPr>
                      <w:bCs/>
                      <w:spacing w:val="-11"/>
                      <w:sz w:val="21"/>
                      <w:szCs w:val="21"/>
                    </w:rPr>
                  </w:pPr>
                </w:p>
              </w:tc>
              <w:tc>
                <w:tcPr>
                  <w:tcW w:w="601" w:type="pct"/>
                  <w:vMerge w:val="continue"/>
                  <w:vAlign w:val="center"/>
                </w:tcPr>
                <w:p w14:paraId="5E142EC3">
                  <w:pPr>
                    <w:spacing w:line="360" w:lineRule="exact"/>
                    <w:jc w:val="center"/>
                    <w:rPr>
                      <w:bCs/>
                      <w:spacing w:val="-11"/>
                      <w:sz w:val="21"/>
                      <w:szCs w:val="21"/>
                    </w:rPr>
                  </w:pPr>
                </w:p>
              </w:tc>
              <w:tc>
                <w:tcPr>
                  <w:tcW w:w="1179" w:type="pct"/>
                  <w:gridSpan w:val="2"/>
                  <w:vAlign w:val="center"/>
                </w:tcPr>
                <w:p w14:paraId="4752CAB4">
                  <w:pPr>
                    <w:spacing w:line="360" w:lineRule="exact"/>
                    <w:jc w:val="center"/>
                    <w:rPr>
                      <w:spacing w:val="-11"/>
                      <w:sz w:val="21"/>
                      <w:szCs w:val="21"/>
                    </w:rPr>
                  </w:pPr>
                  <w:r>
                    <w:rPr>
                      <w:spacing w:val="-11"/>
                      <w:sz w:val="21"/>
                      <w:szCs w:val="21"/>
                    </w:rPr>
                    <w:t>放射性固废：γ辐射空气吸收剂量率、</w:t>
                  </w:r>
                  <w:r>
                    <w:rPr>
                      <w:bCs/>
                      <w:spacing w:val="-11"/>
                      <w:sz w:val="21"/>
                      <w:szCs w:val="21"/>
                    </w:rPr>
                    <w:t>β表面污染</w:t>
                  </w:r>
                </w:p>
              </w:tc>
              <w:tc>
                <w:tcPr>
                  <w:tcW w:w="1310" w:type="pct"/>
                  <w:vAlign w:val="center"/>
                </w:tcPr>
                <w:p w14:paraId="4E372964">
                  <w:pPr>
                    <w:spacing w:line="360" w:lineRule="exact"/>
                    <w:jc w:val="center"/>
                    <w:rPr>
                      <w:spacing w:val="-11"/>
                      <w:sz w:val="21"/>
                      <w:szCs w:val="21"/>
                    </w:rPr>
                  </w:pPr>
                  <w:r>
                    <w:rPr>
                      <w:spacing w:val="-11"/>
                      <w:sz w:val="21"/>
                      <w:szCs w:val="21"/>
                    </w:rPr>
                    <w:t>放射性废物包装袋外表面</w:t>
                  </w:r>
                </w:p>
              </w:tc>
              <w:tc>
                <w:tcPr>
                  <w:tcW w:w="815" w:type="pct"/>
                  <w:vAlign w:val="center"/>
                </w:tcPr>
                <w:p w14:paraId="353BBE8A">
                  <w:pPr>
                    <w:spacing w:line="360" w:lineRule="exact"/>
                    <w:jc w:val="center"/>
                    <w:rPr>
                      <w:bCs/>
                      <w:spacing w:val="-11"/>
                      <w:sz w:val="21"/>
                      <w:szCs w:val="21"/>
                    </w:rPr>
                  </w:pPr>
                  <w:r>
                    <w:rPr>
                      <w:bCs/>
                      <w:spacing w:val="-11"/>
                      <w:sz w:val="21"/>
                      <w:szCs w:val="21"/>
                    </w:rPr>
                    <w:t>解控前</w:t>
                  </w:r>
                </w:p>
              </w:tc>
              <w:tc>
                <w:tcPr>
                  <w:tcW w:w="725" w:type="pct"/>
                  <w:vAlign w:val="center"/>
                </w:tcPr>
                <w:p w14:paraId="50098C79">
                  <w:pPr>
                    <w:spacing w:line="360" w:lineRule="exact"/>
                    <w:jc w:val="center"/>
                    <w:rPr>
                      <w:bCs/>
                      <w:spacing w:val="-11"/>
                      <w:sz w:val="21"/>
                      <w:szCs w:val="21"/>
                    </w:rPr>
                  </w:pPr>
                  <w:r>
                    <w:rPr>
                      <w:bCs/>
                      <w:spacing w:val="-11"/>
                      <w:sz w:val="21"/>
                      <w:szCs w:val="21"/>
                    </w:rPr>
                    <w:t>X-γ辐射剂量率仪、</w:t>
                  </w:r>
                </w:p>
                <w:p w14:paraId="195EDDB8">
                  <w:pPr>
                    <w:spacing w:line="360" w:lineRule="exact"/>
                    <w:jc w:val="center"/>
                    <w:rPr>
                      <w:spacing w:val="-11"/>
                      <w:sz w:val="21"/>
                      <w:szCs w:val="21"/>
                    </w:rPr>
                  </w:pPr>
                  <w:r>
                    <w:rPr>
                      <w:spacing w:val="-11"/>
                      <w:sz w:val="21"/>
                      <w:szCs w:val="21"/>
                    </w:rPr>
                    <w:t>α、β表面沾污仪</w:t>
                  </w:r>
                </w:p>
              </w:tc>
            </w:tr>
            <w:tr w14:paraId="7D26EC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67" w:type="pct"/>
                  <w:vMerge w:val="restart"/>
                  <w:vAlign w:val="center"/>
                </w:tcPr>
                <w:p w14:paraId="4B8C4568">
                  <w:pPr>
                    <w:spacing w:line="360" w:lineRule="exact"/>
                    <w:jc w:val="center"/>
                    <w:rPr>
                      <w:bCs/>
                      <w:spacing w:val="-11"/>
                      <w:sz w:val="21"/>
                      <w:szCs w:val="21"/>
                    </w:rPr>
                  </w:pPr>
                  <w:r>
                    <w:rPr>
                      <w:bCs/>
                      <w:spacing w:val="-11"/>
                      <w:sz w:val="21"/>
                      <w:szCs w:val="21"/>
                    </w:rPr>
                    <w:t>委托监测</w:t>
                  </w:r>
                </w:p>
              </w:tc>
              <w:tc>
                <w:tcPr>
                  <w:tcW w:w="601" w:type="pct"/>
                  <w:shd w:val="clear" w:color="auto" w:fill="auto"/>
                  <w:vAlign w:val="center"/>
                </w:tcPr>
                <w:p w14:paraId="5F4F929A">
                  <w:pPr>
                    <w:spacing w:line="360" w:lineRule="exact"/>
                    <w:jc w:val="center"/>
                    <w:rPr>
                      <w:rFonts w:ascii="Times New Roman" w:hAnsi="Times New Roman" w:eastAsia="宋体" w:cs="Times New Roman"/>
                      <w:bCs/>
                      <w:spacing w:val="-11"/>
                      <w:sz w:val="21"/>
                      <w:szCs w:val="21"/>
                      <w:lang w:val="en-US" w:eastAsia="zh-CN" w:bidi="ar-SA"/>
                    </w:rPr>
                  </w:pPr>
                  <w:r>
                    <w:rPr>
                      <w:rFonts w:hint="default" w:ascii="Times New Roman" w:hAnsi="Times New Roman" w:cs="Times New Roman"/>
                      <w:bCs/>
                      <w:spacing w:val="-11"/>
                      <w:sz w:val="21"/>
                      <w:szCs w:val="21"/>
                    </w:rPr>
                    <w:t>Ⅱ</w:t>
                  </w:r>
                  <w:r>
                    <w:rPr>
                      <w:rFonts w:hint="eastAsia"/>
                      <w:bCs/>
                      <w:spacing w:val="-11"/>
                      <w:sz w:val="21"/>
                      <w:szCs w:val="21"/>
                      <w:lang w:val="en-US" w:eastAsia="zh-CN"/>
                    </w:rPr>
                    <w:t>类/</w:t>
                  </w:r>
                  <w:r>
                    <w:rPr>
                      <w:bCs/>
                      <w:spacing w:val="-11"/>
                      <w:sz w:val="21"/>
                      <w:szCs w:val="21"/>
                    </w:rPr>
                    <w:t>Ⅲ类射线装置机房</w:t>
                  </w:r>
                </w:p>
              </w:tc>
              <w:tc>
                <w:tcPr>
                  <w:tcW w:w="1179" w:type="pct"/>
                  <w:gridSpan w:val="2"/>
                  <w:shd w:val="clear" w:color="auto" w:fill="auto"/>
                  <w:vAlign w:val="center"/>
                </w:tcPr>
                <w:p w14:paraId="0AB80666">
                  <w:pPr>
                    <w:spacing w:line="360" w:lineRule="exact"/>
                    <w:jc w:val="center"/>
                    <w:rPr>
                      <w:rFonts w:ascii="Times New Roman" w:hAnsi="Times New Roman" w:eastAsia="宋体" w:cs="Times New Roman"/>
                      <w:bCs/>
                      <w:spacing w:val="-11"/>
                      <w:sz w:val="21"/>
                      <w:szCs w:val="21"/>
                      <w:lang w:val="en-US" w:eastAsia="zh-CN" w:bidi="ar-SA"/>
                    </w:rPr>
                  </w:pPr>
                  <w:r>
                    <w:rPr>
                      <w:bCs/>
                      <w:spacing w:val="-11"/>
                      <w:sz w:val="21"/>
                      <w:szCs w:val="21"/>
                    </w:rPr>
                    <w:t>γ辐射空气吸收剂量率</w:t>
                  </w:r>
                </w:p>
              </w:tc>
              <w:tc>
                <w:tcPr>
                  <w:tcW w:w="1310" w:type="pct"/>
                  <w:shd w:val="clear" w:color="auto" w:fill="auto"/>
                  <w:vAlign w:val="center"/>
                </w:tcPr>
                <w:p w14:paraId="50DA3279">
                  <w:pPr>
                    <w:spacing w:line="360" w:lineRule="exact"/>
                    <w:rPr>
                      <w:rFonts w:ascii="Times New Roman" w:hAnsi="Times New Roman" w:eastAsia="宋体" w:cs="Times New Roman"/>
                      <w:bCs/>
                      <w:spacing w:val="-11"/>
                      <w:sz w:val="21"/>
                      <w:szCs w:val="21"/>
                      <w:lang w:val="en-US" w:eastAsia="zh-CN" w:bidi="ar-SA"/>
                    </w:rPr>
                  </w:pPr>
                  <w:r>
                    <w:rPr>
                      <w:spacing w:val="-11"/>
                      <w:sz w:val="21"/>
                      <w:szCs w:val="21"/>
                    </w:rPr>
                    <w:t>机房屏蔽体（</w:t>
                  </w:r>
                  <w:r>
                    <w:rPr>
                      <w:bCs/>
                      <w:spacing w:val="-11"/>
                      <w:sz w:val="21"/>
                      <w:szCs w:val="21"/>
                    </w:rPr>
                    <w:t>墙体、防护门、观察窗</w:t>
                  </w:r>
                  <w:r>
                    <w:rPr>
                      <w:spacing w:val="-11"/>
                      <w:sz w:val="21"/>
                      <w:szCs w:val="21"/>
                    </w:rPr>
                    <w:t>）外及穿线孔洞处、控制室操作台和机房楼上、楼下区域</w:t>
                  </w:r>
                </w:p>
              </w:tc>
              <w:tc>
                <w:tcPr>
                  <w:tcW w:w="815" w:type="pct"/>
                  <w:vMerge w:val="restart"/>
                  <w:vAlign w:val="center"/>
                </w:tcPr>
                <w:p w14:paraId="5DCF275E">
                  <w:pPr>
                    <w:spacing w:line="360" w:lineRule="exact"/>
                    <w:jc w:val="center"/>
                    <w:rPr>
                      <w:bCs/>
                      <w:spacing w:val="-11"/>
                      <w:sz w:val="21"/>
                      <w:szCs w:val="21"/>
                    </w:rPr>
                  </w:pPr>
                  <w:r>
                    <w:rPr>
                      <w:bCs/>
                      <w:spacing w:val="-11"/>
                      <w:sz w:val="21"/>
                      <w:szCs w:val="21"/>
                    </w:rPr>
                    <w:t>①竣工环保验收监测；</w:t>
                  </w:r>
                </w:p>
                <w:p w14:paraId="6F263210">
                  <w:pPr>
                    <w:spacing w:line="360" w:lineRule="exact"/>
                    <w:jc w:val="center"/>
                    <w:rPr>
                      <w:bCs/>
                      <w:spacing w:val="-11"/>
                      <w:sz w:val="21"/>
                      <w:szCs w:val="21"/>
                    </w:rPr>
                  </w:pPr>
                  <w:r>
                    <w:rPr>
                      <w:bCs/>
                      <w:spacing w:val="-11"/>
                      <w:sz w:val="21"/>
                      <w:szCs w:val="21"/>
                    </w:rPr>
                    <w:t>②年度监测</w:t>
                  </w:r>
                </w:p>
              </w:tc>
              <w:tc>
                <w:tcPr>
                  <w:tcW w:w="725" w:type="pct"/>
                  <w:vAlign w:val="center"/>
                </w:tcPr>
                <w:p w14:paraId="275B85C0">
                  <w:pPr>
                    <w:spacing w:line="360" w:lineRule="exact"/>
                    <w:jc w:val="center"/>
                    <w:rPr>
                      <w:bCs/>
                      <w:spacing w:val="-11"/>
                      <w:sz w:val="21"/>
                      <w:szCs w:val="21"/>
                    </w:rPr>
                  </w:pPr>
                  <w:r>
                    <w:rPr>
                      <w:bCs/>
                      <w:spacing w:val="-11"/>
                      <w:sz w:val="21"/>
                      <w:szCs w:val="21"/>
                    </w:rPr>
                    <w:t>X-γ辐射剂量率仪</w:t>
                  </w:r>
                </w:p>
              </w:tc>
            </w:tr>
            <w:tr w14:paraId="26F588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5411359B">
                  <w:pPr>
                    <w:spacing w:line="360" w:lineRule="exact"/>
                    <w:jc w:val="center"/>
                    <w:rPr>
                      <w:bCs/>
                      <w:spacing w:val="-11"/>
                      <w:sz w:val="21"/>
                      <w:szCs w:val="21"/>
                    </w:rPr>
                  </w:pPr>
                </w:p>
              </w:tc>
              <w:tc>
                <w:tcPr>
                  <w:tcW w:w="601" w:type="pct"/>
                  <w:vMerge w:val="restart"/>
                  <w:vAlign w:val="center"/>
                </w:tcPr>
                <w:p w14:paraId="334250CE">
                  <w:pPr>
                    <w:spacing w:line="360" w:lineRule="exact"/>
                    <w:jc w:val="center"/>
                    <w:rPr>
                      <w:bCs/>
                      <w:spacing w:val="-11"/>
                      <w:sz w:val="21"/>
                      <w:szCs w:val="21"/>
                    </w:rPr>
                  </w:pPr>
                  <w:r>
                    <w:rPr>
                      <w:bCs/>
                      <w:spacing w:val="-11"/>
                      <w:sz w:val="21"/>
                      <w:szCs w:val="21"/>
                    </w:rPr>
                    <w:t>非密封放射性物质工作场所</w:t>
                  </w:r>
                </w:p>
              </w:tc>
              <w:tc>
                <w:tcPr>
                  <w:tcW w:w="1179" w:type="pct"/>
                  <w:gridSpan w:val="2"/>
                  <w:vAlign w:val="center"/>
                </w:tcPr>
                <w:p w14:paraId="1222ABFB">
                  <w:pPr>
                    <w:spacing w:line="360" w:lineRule="exact"/>
                    <w:jc w:val="center"/>
                    <w:rPr>
                      <w:bCs/>
                      <w:spacing w:val="-11"/>
                      <w:sz w:val="21"/>
                      <w:szCs w:val="21"/>
                    </w:rPr>
                  </w:pPr>
                  <w:r>
                    <w:rPr>
                      <w:bCs/>
                      <w:spacing w:val="-11"/>
                      <w:sz w:val="21"/>
                      <w:szCs w:val="21"/>
                    </w:rPr>
                    <w:t>γ辐射空气吸收剂量率</w:t>
                  </w:r>
                </w:p>
              </w:tc>
              <w:tc>
                <w:tcPr>
                  <w:tcW w:w="1310" w:type="pct"/>
                  <w:vAlign w:val="center"/>
                </w:tcPr>
                <w:p w14:paraId="572C780D">
                  <w:pPr>
                    <w:spacing w:line="360" w:lineRule="exact"/>
                    <w:rPr>
                      <w:bCs/>
                      <w:spacing w:val="-11"/>
                      <w:sz w:val="21"/>
                      <w:szCs w:val="21"/>
                    </w:rPr>
                  </w:pPr>
                  <w:r>
                    <w:rPr>
                      <w:spacing w:val="-11"/>
                      <w:sz w:val="21"/>
                      <w:szCs w:val="21"/>
                    </w:rPr>
                    <w:t>控制区内所有区域、控制区外临近房间</w:t>
                  </w:r>
                </w:p>
              </w:tc>
              <w:tc>
                <w:tcPr>
                  <w:tcW w:w="815" w:type="pct"/>
                  <w:vMerge w:val="continue"/>
                  <w:vAlign w:val="center"/>
                </w:tcPr>
                <w:p w14:paraId="60066995">
                  <w:pPr>
                    <w:spacing w:line="360" w:lineRule="exact"/>
                    <w:jc w:val="center"/>
                    <w:rPr>
                      <w:bCs/>
                      <w:spacing w:val="-11"/>
                      <w:sz w:val="21"/>
                      <w:szCs w:val="21"/>
                    </w:rPr>
                  </w:pPr>
                </w:p>
              </w:tc>
              <w:tc>
                <w:tcPr>
                  <w:tcW w:w="725" w:type="pct"/>
                  <w:vAlign w:val="center"/>
                </w:tcPr>
                <w:p w14:paraId="710D5151">
                  <w:pPr>
                    <w:spacing w:line="360" w:lineRule="exact"/>
                    <w:jc w:val="center"/>
                    <w:rPr>
                      <w:bCs/>
                      <w:spacing w:val="-11"/>
                      <w:sz w:val="21"/>
                      <w:szCs w:val="21"/>
                    </w:rPr>
                  </w:pPr>
                  <w:r>
                    <w:rPr>
                      <w:bCs/>
                      <w:spacing w:val="-11"/>
                      <w:sz w:val="21"/>
                      <w:szCs w:val="21"/>
                    </w:rPr>
                    <w:t>X-γ辐射剂量率仪</w:t>
                  </w:r>
                </w:p>
              </w:tc>
            </w:tr>
            <w:tr w14:paraId="0DAC52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3486B000">
                  <w:pPr>
                    <w:spacing w:line="360" w:lineRule="exact"/>
                    <w:jc w:val="center"/>
                    <w:rPr>
                      <w:bCs/>
                      <w:spacing w:val="-11"/>
                      <w:sz w:val="21"/>
                      <w:szCs w:val="21"/>
                    </w:rPr>
                  </w:pPr>
                </w:p>
              </w:tc>
              <w:tc>
                <w:tcPr>
                  <w:tcW w:w="601" w:type="pct"/>
                  <w:vMerge w:val="continue"/>
                  <w:vAlign w:val="center"/>
                </w:tcPr>
                <w:p w14:paraId="2E1AB5FC">
                  <w:pPr>
                    <w:spacing w:line="360" w:lineRule="exact"/>
                    <w:jc w:val="center"/>
                    <w:rPr>
                      <w:bCs/>
                      <w:spacing w:val="-11"/>
                      <w:sz w:val="21"/>
                      <w:szCs w:val="21"/>
                    </w:rPr>
                  </w:pPr>
                </w:p>
              </w:tc>
              <w:tc>
                <w:tcPr>
                  <w:tcW w:w="1179" w:type="pct"/>
                  <w:gridSpan w:val="2"/>
                  <w:vAlign w:val="center"/>
                </w:tcPr>
                <w:p w14:paraId="51C4510C">
                  <w:pPr>
                    <w:spacing w:line="360" w:lineRule="exact"/>
                    <w:jc w:val="center"/>
                    <w:rPr>
                      <w:bCs/>
                      <w:spacing w:val="-11"/>
                      <w:sz w:val="21"/>
                      <w:szCs w:val="21"/>
                    </w:rPr>
                  </w:pPr>
                  <w:r>
                    <w:rPr>
                      <w:bCs/>
                      <w:spacing w:val="-11"/>
                      <w:sz w:val="21"/>
                      <w:szCs w:val="21"/>
                    </w:rPr>
                    <w:t>β表面污染</w:t>
                  </w:r>
                </w:p>
              </w:tc>
              <w:tc>
                <w:tcPr>
                  <w:tcW w:w="1310" w:type="pct"/>
                  <w:vAlign w:val="center"/>
                </w:tcPr>
                <w:p w14:paraId="736624A7">
                  <w:pPr>
                    <w:spacing w:line="360" w:lineRule="exact"/>
                    <w:rPr>
                      <w:bCs/>
                      <w:spacing w:val="-11"/>
                      <w:sz w:val="21"/>
                      <w:szCs w:val="21"/>
                    </w:rPr>
                  </w:pPr>
                  <w:r>
                    <w:rPr>
                      <w:spacing w:val="-11"/>
                      <w:sz w:val="21"/>
                      <w:szCs w:val="21"/>
                    </w:rPr>
                    <w:t>控制区内人员</w:t>
                  </w:r>
                  <w:r>
                    <w:rPr>
                      <w:bCs/>
                      <w:spacing w:val="-11"/>
                      <w:sz w:val="21"/>
                      <w:szCs w:val="21"/>
                    </w:rPr>
                    <w:t>易接触的工作台、地面、墙面、病床、桌椅</w:t>
                  </w:r>
                </w:p>
              </w:tc>
              <w:tc>
                <w:tcPr>
                  <w:tcW w:w="815" w:type="pct"/>
                  <w:vMerge w:val="continue"/>
                  <w:vAlign w:val="center"/>
                </w:tcPr>
                <w:p w14:paraId="30991F11">
                  <w:pPr>
                    <w:spacing w:line="360" w:lineRule="exact"/>
                    <w:jc w:val="center"/>
                    <w:rPr>
                      <w:bCs/>
                      <w:spacing w:val="-11"/>
                      <w:sz w:val="21"/>
                      <w:szCs w:val="21"/>
                    </w:rPr>
                  </w:pPr>
                </w:p>
              </w:tc>
              <w:tc>
                <w:tcPr>
                  <w:tcW w:w="725" w:type="pct"/>
                  <w:vAlign w:val="center"/>
                </w:tcPr>
                <w:p w14:paraId="7D49A783">
                  <w:pPr>
                    <w:spacing w:line="360" w:lineRule="exact"/>
                    <w:jc w:val="center"/>
                    <w:rPr>
                      <w:bCs/>
                      <w:spacing w:val="-11"/>
                      <w:sz w:val="21"/>
                      <w:szCs w:val="21"/>
                    </w:rPr>
                  </w:pPr>
                  <w:r>
                    <w:rPr>
                      <w:spacing w:val="-11"/>
                      <w:sz w:val="21"/>
                      <w:szCs w:val="21"/>
                    </w:rPr>
                    <w:t>β表面沾污仪</w:t>
                  </w:r>
                </w:p>
              </w:tc>
            </w:tr>
            <w:tr w14:paraId="7C8783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67" w:type="pct"/>
                  <w:vMerge w:val="continue"/>
                  <w:vAlign w:val="center"/>
                </w:tcPr>
                <w:p w14:paraId="4A8F9BF7">
                  <w:pPr>
                    <w:spacing w:line="360" w:lineRule="exact"/>
                    <w:jc w:val="center"/>
                    <w:rPr>
                      <w:bCs/>
                      <w:spacing w:val="-11"/>
                      <w:sz w:val="21"/>
                      <w:szCs w:val="21"/>
                    </w:rPr>
                  </w:pPr>
                </w:p>
              </w:tc>
              <w:tc>
                <w:tcPr>
                  <w:tcW w:w="601" w:type="pct"/>
                  <w:vMerge w:val="restart"/>
                  <w:vAlign w:val="center"/>
                </w:tcPr>
                <w:p w14:paraId="025F40F4">
                  <w:pPr>
                    <w:spacing w:line="360" w:lineRule="exact"/>
                    <w:jc w:val="center"/>
                    <w:rPr>
                      <w:bCs/>
                      <w:spacing w:val="-11"/>
                      <w:sz w:val="21"/>
                      <w:szCs w:val="21"/>
                    </w:rPr>
                  </w:pPr>
                  <w:r>
                    <w:rPr>
                      <w:bCs/>
                      <w:spacing w:val="-11"/>
                      <w:sz w:val="21"/>
                      <w:szCs w:val="21"/>
                    </w:rPr>
                    <w:t>其它</w:t>
                  </w:r>
                </w:p>
              </w:tc>
              <w:tc>
                <w:tcPr>
                  <w:tcW w:w="1179" w:type="pct"/>
                  <w:gridSpan w:val="2"/>
                  <w:vAlign w:val="center"/>
                </w:tcPr>
                <w:p w14:paraId="1B4B8B89">
                  <w:pPr>
                    <w:spacing w:line="360" w:lineRule="exact"/>
                    <w:jc w:val="center"/>
                    <w:rPr>
                      <w:bCs/>
                      <w:spacing w:val="-11"/>
                      <w:sz w:val="21"/>
                      <w:szCs w:val="21"/>
                    </w:rPr>
                  </w:pPr>
                  <w:r>
                    <w:rPr>
                      <w:bCs/>
                      <w:spacing w:val="-11"/>
                      <w:sz w:val="21"/>
                      <w:szCs w:val="21"/>
                    </w:rPr>
                    <w:t>个人剂量</w:t>
                  </w:r>
                </w:p>
              </w:tc>
              <w:tc>
                <w:tcPr>
                  <w:tcW w:w="1310" w:type="pct"/>
                  <w:vAlign w:val="center"/>
                </w:tcPr>
                <w:p w14:paraId="3C34D7C5">
                  <w:pPr>
                    <w:spacing w:line="360" w:lineRule="exact"/>
                    <w:jc w:val="center"/>
                    <w:rPr>
                      <w:bCs/>
                      <w:spacing w:val="-11"/>
                      <w:sz w:val="21"/>
                      <w:szCs w:val="21"/>
                    </w:rPr>
                  </w:pPr>
                  <w:r>
                    <w:rPr>
                      <w:bCs/>
                      <w:spacing w:val="-11"/>
                      <w:sz w:val="21"/>
                      <w:szCs w:val="21"/>
                    </w:rPr>
                    <w:t>所有辐射工作人员</w:t>
                  </w:r>
                </w:p>
              </w:tc>
              <w:tc>
                <w:tcPr>
                  <w:tcW w:w="815" w:type="pct"/>
                  <w:vAlign w:val="center"/>
                </w:tcPr>
                <w:p w14:paraId="5246789B">
                  <w:pPr>
                    <w:spacing w:line="360" w:lineRule="exact"/>
                    <w:jc w:val="center"/>
                    <w:rPr>
                      <w:bCs/>
                      <w:spacing w:val="-11"/>
                      <w:sz w:val="21"/>
                      <w:szCs w:val="21"/>
                    </w:rPr>
                  </w:pPr>
                  <w:r>
                    <w:rPr>
                      <w:bCs/>
                      <w:spacing w:val="-11"/>
                      <w:sz w:val="21"/>
                      <w:szCs w:val="21"/>
                    </w:rPr>
                    <w:t>一季度一次（需建立个人剂量档案）</w:t>
                  </w:r>
                </w:p>
              </w:tc>
              <w:tc>
                <w:tcPr>
                  <w:tcW w:w="725" w:type="pct"/>
                  <w:vAlign w:val="center"/>
                </w:tcPr>
                <w:p w14:paraId="748DBC8E">
                  <w:pPr>
                    <w:spacing w:line="360" w:lineRule="exact"/>
                    <w:jc w:val="center"/>
                    <w:rPr>
                      <w:bCs/>
                      <w:spacing w:val="-11"/>
                      <w:sz w:val="21"/>
                      <w:szCs w:val="21"/>
                    </w:rPr>
                  </w:pPr>
                  <w:r>
                    <w:rPr>
                      <w:bCs/>
                      <w:spacing w:val="-11"/>
                      <w:sz w:val="21"/>
                      <w:szCs w:val="21"/>
                    </w:rPr>
                    <w:t>个人剂量计</w:t>
                  </w:r>
                </w:p>
              </w:tc>
            </w:tr>
            <w:tr w14:paraId="69368F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67" w:type="pct"/>
                  <w:vMerge w:val="continue"/>
                  <w:vAlign w:val="center"/>
                </w:tcPr>
                <w:p w14:paraId="75BF5AD6">
                  <w:pPr>
                    <w:spacing w:line="360" w:lineRule="exact"/>
                    <w:jc w:val="center"/>
                    <w:rPr>
                      <w:bCs/>
                      <w:spacing w:val="-11"/>
                      <w:sz w:val="21"/>
                      <w:szCs w:val="21"/>
                    </w:rPr>
                  </w:pPr>
                </w:p>
              </w:tc>
              <w:tc>
                <w:tcPr>
                  <w:tcW w:w="601" w:type="pct"/>
                  <w:vMerge w:val="continue"/>
                  <w:vAlign w:val="center"/>
                </w:tcPr>
                <w:p w14:paraId="490CC4B2">
                  <w:pPr>
                    <w:spacing w:line="360" w:lineRule="exact"/>
                    <w:jc w:val="center"/>
                    <w:rPr>
                      <w:bCs/>
                      <w:spacing w:val="-11"/>
                      <w:sz w:val="21"/>
                      <w:szCs w:val="21"/>
                    </w:rPr>
                  </w:pPr>
                </w:p>
              </w:tc>
              <w:tc>
                <w:tcPr>
                  <w:tcW w:w="430" w:type="pct"/>
                  <w:vAlign w:val="center"/>
                </w:tcPr>
                <w:p w14:paraId="09E2AB5F">
                  <w:pPr>
                    <w:spacing w:line="360" w:lineRule="exact"/>
                    <w:jc w:val="center"/>
                    <w:rPr>
                      <w:bCs/>
                      <w:spacing w:val="-11"/>
                      <w:sz w:val="21"/>
                      <w:szCs w:val="21"/>
                    </w:rPr>
                  </w:pPr>
                  <w:r>
                    <w:rPr>
                      <w:bCs/>
                      <w:spacing w:val="-11"/>
                      <w:sz w:val="21"/>
                      <w:szCs w:val="21"/>
                    </w:rPr>
                    <w:t>放射性废水</w:t>
                  </w:r>
                </w:p>
              </w:tc>
              <w:tc>
                <w:tcPr>
                  <w:tcW w:w="749" w:type="pct"/>
                  <w:vAlign w:val="center"/>
                </w:tcPr>
                <w:p w14:paraId="57D512A8">
                  <w:pPr>
                    <w:spacing w:line="360" w:lineRule="exact"/>
                    <w:jc w:val="center"/>
                    <w:rPr>
                      <w:bCs/>
                      <w:spacing w:val="-11"/>
                      <w:sz w:val="21"/>
                      <w:szCs w:val="21"/>
                    </w:rPr>
                  </w:pPr>
                  <w:r>
                    <w:rPr>
                      <w:spacing w:val="-11"/>
                      <w:sz w:val="21"/>
                      <w:szCs w:val="21"/>
                    </w:rPr>
                    <w:t>总α、总β、碘-131活度浓度</w:t>
                  </w:r>
                </w:p>
              </w:tc>
              <w:tc>
                <w:tcPr>
                  <w:tcW w:w="1310" w:type="pct"/>
                  <w:vAlign w:val="center"/>
                </w:tcPr>
                <w:p w14:paraId="2439AB3F">
                  <w:pPr>
                    <w:spacing w:line="360" w:lineRule="exact"/>
                    <w:jc w:val="center"/>
                    <w:rPr>
                      <w:bCs/>
                      <w:spacing w:val="-11"/>
                      <w:sz w:val="21"/>
                      <w:szCs w:val="21"/>
                    </w:rPr>
                  </w:pPr>
                  <w:r>
                    <w:rPr>
                      <w:bCs/>
                      <w:spacing w:val="-11"/>
                      <w:sz w:val="21"/>
                      <w:szCs w:val="21"/>
                    </w:rPr>
                    <w:t>衰变池排放口</w:t>
                  </w:r>
                </w:p>
              </w:tc>
              <w:tc>
                <w:tcPr>
                  <w:tcW w:w="815" w:type="pct"/>
                  <w:vAlign w:val="center"/>
                </w:tcPr>
                <w:p w14:paraId="536B5F29">
                  <w:pPr>
                    <w:spacing w:line="360" w:lineRule="exact"/>
                    <w:jc w:val="center"/>
                    <w:rPr>
                      <w:bCs/>
                      <w:spacing w:val="-11"/>
                      <w:sz w:val="21"/>
                      <w:szCs w:val="21"/>
                    </w:rPr>
                  </w:pPr>
                  <w:r>
                    <w:rPr>
                      <w:bCs/>
                      <w:spacing w:val="-11"/>
                      <w:sz w:val="21"/>
                      <w:szCs w:val="21"/>
                    </w:rPr>
                    <w:t>封闭暂存时间不满足要求时进行监测</w:t>
                  </w:r>
                  <w:r>
                    <w:rPr>
                      <w:rFonts w:hint="eastAsia"/>
                      <w:bCs/>
                      <w:spacing w:val="-11"/>
                      <w:sz w:val="21"/>
                      <w:szCs w:val="21"/>
                      <w:lang w:eastAsia="zh-CN"/>
                    </w:rPr>
                    <w:t>、</w:t>
                  </w:r>
                  <w:r>
                    <w:rPr>
                      <w:bCs/>
                      <w:spacing w:val="-11"/>
                      <w:sz w:val="21"/>
                      <w:szCs w:val="21"/>
                    </w:rPr>
                    <w:t>排放时</w:t>
                  </w:r>
                </w:p>
              </w:tc>
              <w:tc>
                <w:tcPr>
                  <w:tcW w:w="725" w:type="pct"/>
                  <w:vAlign w:val="center"/>
                </w:tcPr>
                <w:p w14:paraId="592E887A">
                  <w:pPr>
                    <w:spacing w:line="360" w:lineRule="exact"/>
                    <w:jc w:val="center"/>
                    <w:rPr>
                      <w:bCs/>
                      <w:spacing w:val="-11"/>
                      <w:sz w:val="21"/>
                      <w:szCs w:val="21"/>
                    </w:rPr>
                  </w:pPr>
                  <w:r>
                    <w:rPr>
                      <w:spacing w:val="-11"/>
                      <w:sz w:val="21"/>
                      <w:szCs w:val="21"/>
                    </w:rPr>
                    <w:t>/</w:t>
                  </w:r>
                </w:p>
              </w:tc>
            </w:tr>
          </w:tbl>
          <w:p w14:paraId="4D1F44E0">
            <w:pPr>
              <w:tabs>
                <w:tab w:val="left" w:pos="2290"/>
              </w:tabs>
              <w:ind w:firstLine="480"/>
            </w:pPr>
            <w:r>
              <w:rPr>
                <w:bCs/>
              </w:rPr>
              <w:t>（6）质量保证：建设单位开展自行监测应制定监测仪表使用、校验管理制度，并利用上级监测部门或有资质监测单位的监测数据与建设单位监测仪器的监测数据进行比对，建立监测仪器比对档案。</w:t>
            </w:r>
            <w:r>
              <w:t>根据前述监测计划，建议建设单位拟配备监测设备情况见表12-4。</w:t>
            </w:r>
          </w:p>
          <w:p w14:paraId="43A223C9">
            <w:pPr>
              <w:widowControl/>
              <w:spacing w:before="163" w:line="240" w:lineRule="auto"/>
              <w:jc w:val="center"/>
              <w:rPr>
                <w:rFonts w:eastAsia="黑体"/>
                <w:sz w:val="21"/>
                <w:szCs w:val="21"/>
              </w:rPr>
            </w:pPr>
            <w:r>
              <w:rPr>
                <w:rFonts w:eastAsia="黑体"/>
                <w:sz w:val="21"/>
                <w:szCs w:val="21"/>
              </w:rPr>
              <w:t>表12-4  建议拟配备辐射监测设备一览表</w:t>
            </w:r>
          </w:p>
          <w:tbl>
            <w:tblPr>
              <w:tblStyle w:val="57"/>
              <w:tblW w:w="49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05"/>
              <w:gridCol w:w="3243"/>
              <w:gridCol w:w="1397"/>
              <w:gridCol w:w="707"/>
            </w:tblGrid>
            <w:tr w14:paraId="781F3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36" w:type="pct"/>
                  <w:tcBorders>
                    <w:top w:val="single" w:color="auto" w:sz="4" w:space="0"/>
                    <w:left w:val="nil"/>
                    <w:bottom w:val="single" w:color="auto" w:sz="4" w:space="0"/>
                    <w:right w:val="single" w:color="auto" w:sz="4" w:space="0"/>
                  </w:tcBorders>
                  <w:vAlign w:val="center"/>
                </w:tcPr>
                <w:p w14:paraId="3E43AAC4">
                  <w:pPr>
                    <w:spacing w:line="360" w:lineRule="exact"/>
                    <w:jc w:val="center"/>
                    <w:rPr>
                      <w:sz w:val="21"/>
                      <w:szCs w:val="21"/>
                    </w:rPr>
                  </w:pPr>
                  <w:r>
                    <w:rPr>
                      <w:sz w:val="21"/>
                      <w:szCs w:val="21"/>
                    </w:rPr>
                    <w:t>监测设备名称</w:t>
                  </w:r>
                </w:p>
              </w:tc>
              <w:tc>
                <w:tcPr>
                  <w:tcW w:w="1918" w:type="pct"/>
                  <w:tcBorders>
                    <w:top w:val="single" w:color="auto" w:sz="4" w:space="0"/>
                    <w:left w:val="single" w:color="auto" w:sz="4" w:space="0"/>
                    <w:bottom w:val="single" w:color="auto" w:sz="4" w:space="0"/>
                    <w:right w:val="single" w:color="auto" w:sz="4" w:space="0"/>
                  </w:tcBorders>
                  <w:vAlign w:val="center"/>
                </w:tcPr>
                <w:p w14:paraId="44FAE563">
                  <w:pPr>
                    <w:spacing w:line="360" w:lineRule="exact"/>
                    <w:jc w:val="center"/>
                    <w:rPr>
                      <w:sz w:val="21"/>
                      <w:szCs w:val="21"/>
                    </w:rPr>
                  </w:pPr>
                  <w:r>
                    <w:rPr>
                      <w:sz w:val="21"/>
                      <w:szCs w:val="21"/>
                    </w:rPr>
                    <w:t>参数需求</w:t>
                  </w:r>
                </w:p>
              </w:tc>
              <w:tc>
                <w:tcPr>
                  <w:tcW w:w="826" w:type="pct"/>
                  <w:tcBorders>
                    <w:top w:val="single" w:color="auto" w:sz="4" w:space="0"/>
                    <w:left w:val="single" w:color="auto" w:sz="4" w:space="0"/>
                    <w:bottom w:val="single" w:color="auto" w:sz="4" w:space="0"/>
                    <w:right w:val="nil"/>
                  </w:tcBorders>
                  <w:vAlign w:val="center"/>
                </w:tcPr>
                <w:p w14:paraId="683EEC0A">
                  <w:pPr>
                    <w:spacing w:line="360" w:lineRule="exact"/>
                    <w:jc w:val="center"/>
                    <w:rPr>
                      <w:sz w:val="21"/>
                      <w:szCs w:val="21"/>
                    </w:rPr>
                  </w:pPr>
                  <w:r>
                    <w:rPr>
                      <w:sz w:val="21"/>
                      <w:szCs w:val="21"/>
                    </w:rPr>
                    <w:t>数量（个）</w:t>
                  </w:r>
                </w:p>
              </w:tc>
              <w:tc>
                <w:tcPr>
                  <w:tcW w:w="418" w:type="pct"/>
                  <w:tcBorders>
                    <w:top w:val="single" w:color="auto" w:sz="4" w:space="0"/>
                    <w:left w:val="single" w:color="auto" w:sz="4" w:space="0"/>
                    <w:bottom w:val="single" w:color="auto" w:sz="4" w:space="0"/>
                    <w:right w:val="nil"/>
                  </w:tcBorders>
                  <w:vAlign w:val="center"/>
                </w:tcPr>
                <w:p w14:paraId="50F23D1C">
                  <w:pPr>
                    <w:spacing w:line="360" w:lineRule="exact"/>
                    <w:jc w:val="center"/>
                    <w:rPr>
                      <w:sz w:val="21"/>
                      <w:szCs w:val="21"/>
                    </w:rPr>
                  </w:pPr>
                  <w:r>
                    <w:rPr>
                      <w:sz w:val="21"/>
                      <w:szCs w:val="21"/>
                    </w:rPr>
                    <w:t>备注</w:t>
                  </w:r>
                </w:p>
              </w:tc>
            </w:tr>
            <w:tr w14:paraId="5B02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836" w:type="pct"/>
                  <w:tcBorders>
                    <w:top w:val="single" w:color="auto" w:sz="4" w:space="0"/>
                    <w:left w:val="nil"/>
                    <w:right w:val="single" w:color="auto" w:sz="4" w:space="0"/>
                  </w:tcBorders>
                  <w:vAlign w:val="center"/>
                </w:tcPr>
                <w:p w14:paraId="1F3CBE63">
                  <w:pPr>
                    <w:spacing w:line="360" w:lineRule="exact"/>
                    <w:jc w:val="center"/>
                    <w:rPr>
                      <w:sz w:val="21"/>
                      <w:szCs w:val="21"/>
                    </w:rPr>
                  </w:pPr>
                  <w:r>
                    <w:rPr>
                      <w:sz w:val="21"/>
                      <w:szCs w:val="21"/>
                    </w:rPr>
                    <w:t>非密封放射性物质工作场所固定式γ辐射监测仪</w:t>
                  </w:r>
                </w:p>
              </w:tc>
              <w:tc>
                <w:tcPr>
                  <w:tcW w:w="1918" w:type="pct"/>
                  <w:tcBorders>
                    <w:top w:val="single" w:color="auto" w:sz="4" w:space="0"/>
                    <w:left w:val="single" w:color="auto" w:sz="4" w:space="0"/>
                    <w:right w:val="single" w:color="auto" w:sz="4" w:space="0"/>
                  </w:tcBorders>
                  <w:vAlign w:val="center"/>
                </w:tcPr>
                <w:p w14:paraId="7860B0B5">
                  <w:pPr>
                    <w:spacing w:line="360" w:lineRule="exact"/>
                    <w:jc w:val="left"/>
                    <w:rPr>
                      <w:sz w:val="21"/>
                      <w:szCs w:val="21"/>
                    </w:rPr>
                  </w:pPr>
                  <w:r>
                    <w:rPr>
                      <w:sz w:val="21"/>
                      <w:szCs w:val="21"/>
                    </w:rPr>
                    <w:t>能量响应范围：20keV~3MeV；</w:t>
                  </w:r>
                </w:p>
                <w:p w14:paraId="3067FA4E">
                  <w:pPr>
                    <w:spacing w:line="360" w:lineRule="exact"/>
                    <w:jc w:val="left"/>
                    <w:rPr>
                      <w:sz w:val="21"/>
                      <w:szCs w:val="21"/>
                    </w:rPr>
                  </w:pPr>
                  <w:r>
                    <w:rPr>
                      <w:sz w:val="21"/>
                      <w:szCs w:val="21"/>
                    </w:rPr>
                    <w:t>探测范围：100nSv/h~0.1Sv/h</w:t>
                  </w:r>
                </w:p>
              </w:tc>
              <w:tc>
                <w:tcPr>
                  <w:tcW w:w="826" w:type="pct"/>
                  <w:tcBorders>
                    <w:top w:val="single" w:color="auto" w:sz="4" w:space="0"/>
                    <w:left w:val="single" w:color="auto" w:sz="4" w:space="0"/>
                    <w:right w:val="nil"/>
                  </w:tcBorders>
                  <w:vAlign w:val="center"/>
                </w:tcPr>
                <w:p w14:paraId="1FFA4134">
                  <w:pPr>
                    <w:spacing w:line="360" w:lineRule="exact"/>
                    <w:jc w:val="center"/>
                    <w:rPr>
                      <w:sz w:val="21"/>
                      <w:szCs w:val="21"/>
                    </w:rPr>
                  </w:pPr>
                  <w:r>
                    <w:rPr>
                      <w:sz w:val="21"/>
                      <w:szCs w:val="21"/>
                    </w:rPr>
                    <w:t>3</w:t>
                  </w:r>
                </w:p>
              </w:tc>
              <w:tc>
                <w:tcPr>
                  <w:tcW w:w="418" w:type="pct"/>
                  <w:tcBorders>
                    <w:top w:val="single" w:color="auto" w:sz="4" w:space="0"/>
                    <w:left w:val="single" w:color="auto" w:sz="4" w:space="0"/>
                    <w:right w:val="nil"/>
                  </w:tcBorders>
                  <w:vAlign w:val="center"/>
                </w:tcPr>
                <w:p w14:paraId="5EA42A93">
                  <w:pPr>
                    <w:spacing w:line="360" w:lineRule="exact"/>
                    <w:jc w:val="center"/>
                    <w:rPr>
                      <w:sz w:val="21"/>
                      <w:szCs w:val="21"/>
                    </w:rPr>
                  </w:pPr>
                  <w:r>
                    <w:rPr>
                      <w:sz w:val="21"/>
                      <w:szCs w:val="21"/>
                    </w:rPr>
                    <w:t>新增</w:t>
                  </w:r>
                </w:p>
              </w:tc>
            </w:tr>
            <w:tr w14:paraId="35AA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836" w:type="pct"/>
                  <w:tcBorders>
                    <w:top w:val="single" w:color="auto" w:sz="4" w:space="0"/>
                    <w:left w:val="nil"/>
                    <w:right w:val="single" w:color="auto" w:sz="4" w:space="0"/>
                  </w:tcBorders>
                  <w:vAlign w:val="center"/>
                </w:tcPr>
                <w:p w14:paraId="2B9CAB13">
                  <w:pPr>
                    <w:widowControl/>
                    <w:spacing w:line="360" w:lineRule="exact"/>
                    <w:jc w:val="center"/>
                    <w:rPr>
                      <w:sz w:val="21"/>
                      <w:szCs w:val="21"/>
                    </w:rPr>
                  </w:pPr>
                  <w:r>
                    <w:rPr>
                      <w:sz w:val="21"/>
                      <w:szCs w:val="21"/>
                    </w:rPr>
                    <w:t>便携式γ剂量率仪</w:t>
                  </w:r>
                </w:p>
              </w:tc>
              <w:tc>
                <w:tcPr>
                  <w:tcW w:w="1918" w:type="pct"/>
                  <w:tcBorders>
                    <w:top w:val="single" w:color="auto" w:sz="4" w:space="0"/>
                    <w:left w:val="single" w:color="auto" w:sz="4" w:space="0"/>
                    <w:right w:val="single" w:color="auto" w:sz="4" w:space="0"/>
                  </w:tcBorders>
                  <w:vAlign w:val="center"/>
                </w:tcPr>
                <w:p w14:paraId="345BC05C">
                  <w:pPr>
                    <w:spacing w:line="360" w:lineRule="exact"/>
                    <w:jc w:val="left"/>
                    <w:rPr>
                      <w:sz w:val="21"/>
                      <w:szCs w:val="21"/>
                    </w:rPr>
                  </w:pPr>
                  <w:r>
                    <w:rPr>
                      <w:sz w:val="21"/>
                      <w:szCs w:val="21"/>
                    </w:rPr>
                    <w:t>能量响应范围：15keV~10MeV；</w:t>
                  </w:r>
                </w:p>
                <w:p w14:paraId="3EEF55B3">
                  <w:pPr>
                    <w:spacing w:line="360" w:lineRule="exact"/>
                    <w:jc w:val="left"/>
                    <w:rPr>
                      <w:sz w:val="21"/>
                      <w:szCs w:val="21"/>
                    </w:rPr>
                  </w:pPr>
                  <w:r>
                    <w:rPr>
                      <w:sz w:val="21"/>
                      <w:szCs w:val="21"/>
                    </w:rPr>
                    <w:t>探测范围：50nSv/h~10Sv/h</w:t>
                  </w:r>
                </w:p>
              </w:tc>
              <w:tc>
                <w:tcPr>
                  <w:tcW w:w="826" w:type="pct"/>
                  <w:tcBorders>
                    <w:top w:val="single" w:color="auto" w:sz="4" w:space="0"/>
                    <w:left w:val="single" w:color="auto" w:sz="4" w:space="0"/>
                    <w:right w:val="nil"/>
                  </w:tcBorders>
                  <w:vAlign w:val="center"/>
                </w:tcPr>
                <w:p w14:paraId="7EB78A6B">
                  <w:pPr>
                    <w:spacing w:line="360" w:lineRule="exact"/>
                    <w:jc w:val="center"/>
                    <w:rPr>
                      <w:rFonts w:hint="eastAsia" w:eastAsia="宋体"/>
                      <w:sz w:val="21"/>
                      <w:szCs w:val="21"/>
                      <w:lang w:eastAsia="zh-CN"/>
                    </w:rPr>
                  </w:pPr>
                  <w:r>
                    <w:rPr>
                      <w:rFonts w:hint="eastAsia"/>
                      <w:sz w:val="21"/>
                      <w:szCs w:val="21"/>
                      <w:lang w:val="en-US" w:eastAsia="zh-CN"/>
                    </w:rPr>
                    <w:t>2</w:t>
                  </w:r>
                </w:p>
              </w:tc>
              <w:tc>
                <w:tcPr>
                  <w:tcW w:w="418" w:type="pct"/>
                  <w:tcBorders>
                    <w:top w:val="single" w:color="auto" w:sz="4" w:space="0"/>
                    <w:left w:val="single" w:color="auto" w:sz="4" w:space="0"/>
                    <w:right w:val="nil"/>
                  </w:tcBorders>
                  <w:vAlign w:val="center"/>
                </w:tcPr>
                <w:p w14:paraId="62461544">
                  <w:pPr>
                    <w:spacing w:line="360" w:lineRule="exact"/>
                    <w:jc w:val="center"/>
                    <w:rPr>
                      <w:sz w:val="21"/>
                      <w:szCs w:val="21"/>
                    </w:rPr>
                  </w:pPr>
                  <w:r>
                    <w:rPr>
                      <w:sz w:val="21"/>
                      <w:szCs w:val="21"/>
                    </w:rPr>
                    <w:t>新增</w:t>
                  </w:r>
                </w:p>
              </w:tc>
            </w:tr>
            <w:tr w14:paraId="55F7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836" w:type="pct"/>
                  <w:tcBorders>
                    <w:top w:val="single" w:color="auto" w:sz="4" w:space="0"/>
                    <w:left w:val="nil"/>
                    <w:right w:val="single" w:color="auto" w:sz="4" w:space="0"/>
                  </w:tcBorders>
                  <w:vAlign w:val="center"/>
                </w:tcPr>
                <w:p w14:paraId="74DC079B">
                  <w:pPr>
                    <w:widowControl/>
                    <w:spacing w:line="360" w:lineRule="exact"/>
                    <w:jc w:val="center"/>
                    <w:rPr>
                      <w:sz w:val="21"/>
                      <w:szCs w:val="21"/>
                    </w:rPr>
                  </w:pPr>
                  <w:r>
                    <w:rPr>
                      <w:sz w:val="21"/>
                      <w:szCs w:val="21"/>
                    </w:rPr>
                    <w:t>便携式表面沾污仪</w:t>
                  </w:r>
                </w:p>
              </w:tc>
              <w:tc>
                <w:tcPr>
                  <w:tcW w:w="1918" w:type="pct"/>
                  <w:tcBorders>
                    <w:top w:val="single" w:color="auto" w:sz="4" w:space="0"/>
                    <w:left w:val="single" w:color="auto" w:sz="4" w:space="0"/>
                    <w:right w:val="single" w:color="auto" w:sz="4" w:space="0"/>
                  </w:tcBorders>
                  <w:vAlign w:val="center"/>
                </w:tcPr>
                <w:p w14:paraId="381CBFF8">
                  <w:pPr>
                    <w:spacing w:line="360" w:lineRule="exact"/>
                    <w:jc w:val="left"/>
                    <w:rPr>
                      <w:sz w:val="21"/>
                      <w:szCs w:val="21"/>
                    </w:rPr>
                  </w:pPr>
                  <w:r>
                    <w:rPr>
                      <w:sz w:val="21"/>
                      <w:szCs w:val="21"/>
                    </w:rPr>
                    <w:t>α探测下限≤0.08Bq/cm</w:t>
                  </w:r>
                  <w:r>
                    <w:rPr>
                      <w:sz w:val="21"/>
                      <w:szCs w:val="21"/>
                      <w:vertAlign w:val="superscript"/>
                    </w:rPr>
                    <w:t>2</w:t>
                  </w:r>
                  <w:r>
                    <w:rPr>
                      <w:sz w:val="21"/>
                      <w:szCs w:val="21"/>
                    </w:rPr>
                    <w:t>；</w:t>
                  </w:r>
                </w:p>
                <w:p w14:paraId="41FD4DE8">
                  <w:pPr>
                    <w:spacing w:line="360" w:lineRule="exact"/>
                    <w:jc w:val="left"/>
                    <w:rPr>
                      <w:sz w:val="21"/>
                      <w:szCs w:val="21"/>
                    </w:rPr>
                  </w:pPr>
                  <w:r>
                    <w:rPr>
                      <w:sz w:val="21"/>
                      <w:szCs w:val="21"/>
                    </w:rPr>
                    <w:t>β探测下限≤0.8Bq/cm</w:t>
                  </w:r>
                  <w:r>
                    <w:rPr>
                      <w:sz w:val="21"/>
                      <w:szCs w:val="21"/>
                      <w:vertAlign w:val="superscript"/>
                    </w:rPr>
                    <w:t>2</w:t>
                  </w:r>
                </w:p>
              </w:tc>
              <w:tc>
                <w:tcPr>
                  <w:tcW w:w="826" w:type="pct"/>
                  <w:tcBorders>
                    <w:top w:val="single" w:color="auto" w:sz="4" w:space="0"/>
                    <w:left w:val="single" w:color="auto" w:sz="4" w:space="0"/>
                    <w:right w:val="nil"/>
                  </w:tcBorders>
                  <w:vAlign w:val="center"/>
                </w:tcPr>
                <w:p w14:paraId="2DA29BB1">
                  <w:pPr>
                    <w:spacing w:line="360" w:lineRule="exact"/>
                    <w:jc w:val="center"/>
                    <w:rPr>
                      <w:sz w:val="21"/>
                      <w:szCs w:val="21"/>
                    </w:rPr>
                  </w:pPr>
                  <w:r>
                    <w:rPr>
                      <w:sz w:val="21"/>
                      <w:szCs w:val="21"/>
                    </w:rPr>
                    <w:t>1</w:t>
                  </w:r>
                </w:p>
              </w:tc>
              <w:tc>
                <w:tcPr>
                  <w:tcW w:w="418" w:type="pct"/>
                  <w:tcBorders>
                    <w:top w:val="single" w:color="auto" w:sz="4" w:space="0"/>
                    <w:left w:val="single" w:color="auto" w:sz="4" w:space="0"/>
                    <w:right w:val="nil"/>
                  </w:tcBorders>
                  <w:vAlign w:val="center"/>
                </w:tcPr>
                <w:p w14:paraId="523BAA0B">
                  <w:pPr>
                    <w:spacing w:line="360" w:lineRule="exact"/>
                    <w:jc w:val="center"/>
                    <w:rPr>
                      <w:sz w:val="21"/>
                      <w:szCs w:val="21"/>
                    </w:rPr>
                  </w:pPr>
                  <w:r>
                    <w:rPr>
                      <w:sz w:val="21"/>
                      <w:szCs w:val="21"/>
                    </w:rPr>
                    <w:t>新增</w:t>
                  </w:r>
                </w:p>
              </w:tc>
            </w:tr>
          </w:tbl>
          <w:p w14:paraId="0C268394">
            <w:pPr>
              <w:ind w:firstLine="482"/>
              <w:rPr>
                <w:b/>
              </w:rPr>
            </w:pPr>
            <w:r>
              <w:rPr>
                <w:b/>
              </w:rPr>
              <w:t>3、年度监测报告情况</w:t>
            </w:r>
          </w:p>
          <w:p w14:paraId="3C927984">
            <w:pPr>
              <w:ind w:firstLine="480"/>
              <w:rPr>
                <w:bCs/>
              </w:rPr>
            </w:pPr>
            <w:r>
              <w:rPr>
                <w:bCs/>
              </w:rPr>
              <w:t>医院应于每年1月31日前将上年度的《放射性同位素与射线装置安全和防护状况年度评估报告》上传至全国核技术利用辐射安全申报系统（网址：http://rr.mee.gov.cn），近一年（四个季度）个人剂量检测报告和辐射工作场所年度监测报告应作为《放射性同位素与射线装置安全和防护状况年度评估报告》的重要组成内容一并提交给发证机关。医院应按照《四川省核技术利用辐射安全监督检查大纲（2016）》（川环函[2016]1400号）规定的格式编写《放射性同位素与射线装置安全和防护状况年度评估报告》。</w:t>
            </w:r>
          </w:p>
          <w:p w14:paraId="5A4C91FF">
            <w:pPr>
              <w:ind w:firstLine="480"/>
              <w:rPr>
                <w:bCs/>
                <w:sz w:val="21"/>
                <w:szCs w:val="21"/>
              </w:rPr>
            </w:pPr>
            <w:r>
              <w:rPr>
                <w:bCs/>
              </w:rPr>
              <w:t>医院必须在“全国核技术利用辐射安全申报系统”（网址：http://rr.mee.gov.cn）中实施申报登记。重新申领、延续、变更许可证，新增、注销以及单位信息变更、个人剂量、年度评估报告等信息均应及时在系统中申报。</w:t>
            </w:r>
          </w:p>
        </w:tc>
      </w:tr>
      <w:tr w14:paraId="2016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2E255842">
            <w:pPr>
              <w:widowControl/>
              <w:jc w:val="left"/>
              <w:rPr>
                <w:rFonts w:eastAsia="黑体"/>
              </w:rPr>
            </w:pPr>
            <w:r>
              <w:rPr>
                <w:rFonts w:eastAsia="黑体"/>
              </w:rPr>
              <w:t>辐射事故应急</w:t>
            </w:r>
          </w:p>
          <w:p w14:paraId="69B7B896">
            <w:pPr>
              <w:tabs>
                <w:tab w:val="left" w:pos="2290"/>
              </w:tabs>
              <w:ind w:firstLine="480"/>
              <w:rPr>
                <w:bCs/>
              </w:rPr>
            </w:pPr>
            <w:r>
              <w:rPr>
                <w:bCs/>
              </w:rPr>
              <w:t>一、医院成立了放射防护与辐射安全领导小组，突发事故应急响应办公室设在医务部，发生事故时由医务部、护理部、保卫部、公共卫生科、后勤保障部、急救中心等部门负责人组成应急救援工作小组，全面负责医院的辐射事故应急工作。</w:t>
            </w:r>
          </w:p>
          <w:p w14:paraId="48313FD0">
            <w:pPr>
              <w:ind w:firstLine="480"/>
              <w:rPr>
                <w:bCs/>
              </w:rPr>
            </w:pPr>
            <w:r>
              <w:rPr>
                <w:bCs/>
              </w:rPr>
              <w:t>二、</w:t>
            </w:r>
            <w:r>
              <w:t>为了加强对非密封放射性物质、射线装置和放射源的安全和防护的监督管理，促进非密封放射性物质、射线装置和放射源的安全使用，保障人体健康，保护环境，</w:t>
            </w:r>
            <w:r>
              <w:rPr>
                <w:bCs/>
              </w:rPr>
              <w:t>医院</w:t>
            </w:r>
            <w:r>
              <w:t>需根据最新要求完善现有的《辐射事故应急预案》，其内容应包括：</w:t>
            </w:r>
            <w:r>
              <w:fldChar w:fldCharType="begin"/>
            </w:r>
            <w:r>
              <w:instrText xml:space="preserve"> = 1 \* GB3 </w:instrText>
            </w:r>
            <w:r>
              <w:fldChar w:fldCharType="separate"/>
            </w:r>
            <w:r>
              <w:t>①</w:t>
            </w:r>
            <w:r>
              <w:fldChar w:fldCharType="end"/>
            </w:r>
            <w:r>
              <w:t>应急机构和职责分工；</w:t>
            </w:r>
            <w:r>
              <w:fldChar w:fldCharType="begin"/>
            </w:r>
            <w:r>
              <w:instrText xml:space="preserve"> = 2 \* GB3 </w:instrText>
            </w:r>
            <w:r>
              <w:fldChar w:fldCharType="separate"/>
            </w:r>
            <w:r>
              <w:t>②</w:t>
            </w:r>
            <w:r>
              <w:fldChar w:fldCharType="end"/>
            </w:r>
            <w:r>
              <w:t>应急人员的组织；</w:t>
            </w:r>
            <w:r>
              <w:fldChar w:fldCharType="begin"/>
            </w:r>
            <w:r>
              <w:instrText xml:space="preserve"> = 3 \* GB3 </w:instrText>
            </w:r>
            <w:r>
              <w:fldChar w:fldCharType="separate"/>
            </w:r>
            <w:r>
              <w:t>③</w:t>
            </w:r>
            <w:r>
              <w:fldChar w:fldCharType="end"/>
            </w:r>
            <w:r>
              <w:t>培训以及应急和救助的装备、资金、物资准备；</w:t>
            </w:r>
            <w:r>
              <w:fldChar w:fldCharType="begin"/>
            </w:r>
            <w:r>
              <w:instrText xml:space="preserve"> = 4 \* GB3 </w:instrText>
            </w:r>
            <w:r>
              <w:fldChar w:fldCharType="separate"/>
            </w:r>
            <w:r>
              <w:t>④</w:t>
            </w:r>
            <w:r>
              <w:fldChar w:fldCharType="end"/>
            </w:r>
            <w:r>
              <w:t>辐射事故分级及应急响应措施；辐射事故调查、报告和处理程序。</w:t>
            </w:r>
            <w:r>
              <w:rPr>
                <w:bCs/>
              </w:rPr>
              <w:t>医院应做好应急人员的组织培训和应急及救助的装备、资金、物资准备，并将本项目纳入应急适用范围。辐射事故应急应纳入本单位安全生产事故应急管理体系，定期组织演练。</w:t>
            </w:r>
          </w:p>
          <w:p w14:paraId="2469E8EE">
            <w:pPr>
              <w:ind w:firstLine="480"/>
            </w:pPr>
            <w:r>
              <w:rPr>
                <w:bCs/>
              </w:rPr>
              <w:t>三、一旦发生辐射事故，立即启动应急预案，采取必要的防范措施，并在2小时内填写《辐射事故初始报告表》，由放射防护与辐射安全领导小组逐级上报当地生态环境主管部门，造成或可能造成人员超剂量照射的，还应同时向当地卫生行政部门报告，并及时组织专业技术人员排除事故，配合各相关部门做好辐射事故调查工作</w:t>
            </w:r>
            <w:r>
              <w:t>。</w:t>
            </w:r>
          </w:p>
          <w:p w14:paraId="4545C151">
            <w:pPr>
              <w:pStyle w:val="55"/>
              <w:ind w:firstLine="0"/>
            </w:pPr>
          </w:p>
        </w:tc>
      </w:tr>
    </w:tbl>
    <w:p w14:paraId="0B846E2C">
      <w:pPr>
        <w:keepNext/>
        <w:keepLines/>
        <w:pageBreakBefore/>
        <w:widowControl/>
        <w:spacing w:line="240" w:lineRule="auto"/>
        <w:outlineLvl w:val="0"/>
        <w:rPr>
          <w:b/>
          <w:bCs/>
          <w:sz w:val="28"/>
          <w:szCs w:val="28"/>
        </w:rPr>
      </w:pPr>
      <w:bookmarkStart w:id="68" w:name="_Toc194317402"/>
      <w:bookmarkStart w:id="69" w:name="_Toc15991549"/>
      <w:r>
        <w:rPr>
          <w:b/>
          <w:bCs/>
          <w:sz w:val="28"/>
          <w:szCs w:val="28"/>
        </w:rPr>
        <w:t>表13：结论与建议</w:t>
      </w:r>
      <w:bookmarkEnd w:id="68"/>
      <w:bookmarkEnd w:id="69"/>
    </w:p>
    <w:tbl>
      <w:tblPr>
        <w:tblStyle w:val="5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3B50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5" w:hRule="atLeast"/>
        </w:trPr>
        <w:tc>
          <w:tcPr>
            <w:tcW w:w="5000" w:type="pct"/>
            <w:tcBorders>
              <w:top w:val="single" w:color="auto" w:sz="4" w:space="0"/>
              <w:left w:val="single" w:color="auto" w:sz="4" w:space="0"/>
              <w:bottom w:val="single" w:color="auto" w:sz="4" w:space="0"/>
              <w:right w:val="single" w:color="auto" w:sz="4" w:space="0"/>
            </w:tcBorders>
          </w:tcPr>
          <w:p w14:paraId="72833B03">
            <w:pPr>
              <w:widowControl/>
              <w:jc w:val="left"/>
              <w:rPr>
                <w:rFonts w:eastAsia="黑体"/>
                <w:sz w:val="21"/>
              </w:rPr>
            </w:pPr>
            <w:r>
              <w:rPr>
                <w:rFonts w:eastAsia="黑体"/>
                <w:lang w:bidi="ar"/>
              </w:rPr>
              <w:t>结论</w:t>
            </w:r>
          </w:p>
          <w:p w14:paraId="2F7BE8AA">
            <w:pPr>
              <w:widowControl/>
              <w:ind w:firstLine="480"/>
              <w:jc w:val="left"/>
              <w:rPr>
                <w:rFonts w:eastAsia="黑体"/>
                <w:sz w:val="21"/>
              </w:rPr>
            </w:pPr>
            <w:r>
              <w:rPr>
                <w:rFonts w:eastAsia="黑体"/>
                <w:lang w:bidi="ar"/>
              </w:rPr>
              <w:t>一、项目概况</w:t>
            </w:r>
          </w:p>
          <w:p w14:paraId="3F997DED">
            <w:pPr>
              <w:ind w:firstLine="480"/>
              <w:rPr>
                <w:sz w:val="21"/>
              </w:rPr>
            </w:pPr>
            <w:r>
              <w:rPr>
                <w:lang w:bidi="ar"/>
              </w:rPr>
              <w:t>项目名称：</w:t>
            </w:r>
            <w:r>
              <w:rPr>
                <w:rFonts w:hint="eastAsia"/>
                <w:bCs/>
                <w:lang w:eastAsia="zh-CN" w:bidi="ar"/>
              </w:rPr>
              <w:t>四川天府新区人民医院新院区核技术利用项目</w:t>
            </w:r>
          </w:p>
          <w:p w14:paraId="7E80C177">
            <w:pPr>
              <w:ind w:firstLine="480"/>
              <w:rPr>
                <w:rFonts w:hint="eastAsia" w:eastAsia="宋体"/>
                <w:sz w:val="21"/>
                <w:lang w:eastAsia="zh-CN"/>
              </w:rPr>
            </w:pPr>
            <w:r>
              <w:rPr>
                <w:lang w:bidi="ar"/>
              </w:rPr>
              <w:t>建设单位：</w:t>
            </w:r>
            <w:r>
              <w:rPr>
                <w:rFonts w:hint="eastAsia"/>
                <w:bCs/>
                <w:lang w:eastAsia="zh-CN" w:bidi="ar"/>
              </w:rPr>
              <w:t>四川天府新区人民医院</w:t>
            </w:r>
          </w:p>
          <w:p w14:paraId="2C8AE04D">
            <w:pPr>
              <w:ind w:firstLine="480"/>
              <w:rPr>
                <w:sz w:val="21"/>
              </w:rPr>
            </w:pPr>
            <w:r>
              <w:rPr>
                <w:lang w:bidi="ar"/>
              </w:rPr>
              <w:t>建设性质：</w:t>
            </w:r>
            <w:r>
              <w:rPr>
                <w:rFonts w:hint="eastAsia"/>
                <w:lang w:val="en-US" w:eastAsia="zh-CN" w:bidi="ar"/>
              </w:rPr>
              <w:t>新</w:t>
            </w:r>
            <w:r>
              <w:rPr>
                <w:lang w:bidi="ar"/>
              </w:rPr>
              <w:t>建</w:t>
            </w:r>
          </w:p>
          <w:p w14:paraId="66CBBD5E">
            <w:pPr>
              <w:ind w:firstLine="456"/>
              <w:rPr>
                <w:spacing w:val="-6"/>
              </w:rPr>
            </w:pPr>
            <w:r>
              <w:rPr>
                <w:spacing w:val="-6"/>
                <w:lang w:bidi="ar"/>
              </w:rPr>
              <w:t>建设地点：</w:t>
            </w:r>
            <w:r>
              <w:rPr>
                <w:rFonts w:hint="eastAsia"/>
              </w:rPr>
              <w:t>四川天府新区万安街道高饭店村、开元村（天津路东段）</w:t>
            </w:r>
            <w:r>
              <w:rPr>
                <w:rFonts w:hint="eastAsia"/>
                <w:bCs/>
                <w:spacing w:val="-6"/>
                <w:lang w:eastAsia="zh-CN"/>
              </w:rPr>
              <w:t>四川天府新区人民医院</w:t>
            </w:r>
            <w:r>
              <w:rPr>
                <w:bCs/>
                <w:spacing w:val="-6"/>
              </w:rPr>
              <w:t>内</w:t>
            </w:r>
          </w:p>
          <w:p w14:paraId="312C9F5C">
            <w:pPr>
              <w:widowControl/>
              <w:ind w:firstLine="480"/>
              <w:rPr>
                <w:bCs/>
              </w:rPr>
            </w:pPr>
            <w:r>
              <w:rPr>
                <w:bCs/>
              </w:rPr>
              <w:t>建设内容：</w:t>
            </w:r>
            <w:r>
              <w:t>拟在</w:t>
            </w:r>
            <w:r>
              <w:rPr>
                <w:rFonts w:hint="eastAsia"/>
              </w:rPr>
              <w:t>四川天府新区万安街道高饭店村、开元村（天津路东段）</w:t>
            </w:r>
            <w:r>
              <w:rPr>
                <w:rFonts w:hint="eastAsia"/>
                <w:bCs/>
                <w:spacing w:val="-6"/>
                <w:lang w:eastAsia="zh-CN"/>
              </w:rPr>
              <w:t>四川天府新区人民医院</w:t>
            </w:r>
            <w:r>
              <w:rPr>
                <w:bCs/>
                <w:spacing w:val="-6"/>
              </w:rPr>
              <w:t>内</w:t>
            </w:r>
            <w:r>
              <w:rPr>
                <w:rFonts w:hint="eastAsia"/>
                <w:lang w:val="en-US" w:eastAsia="zh-CN"/>
              </w:rPr>
              <w:t>新</w:t>
            </w:r>
            <w:r>
              <w:t>建</w:t>
            </w:r>
            <w:r>
              <w:rPr>
                <w:rFonts w:hint="eastAsia"/>
                <w:lang w:val="en-US" w:eastAsia="zh-CN"/>
              </w:rPr>
              <w:t>门诊医技楼</w:t>
            </w:r>
            <w:r>
              <w:rPr>
                <w:rFonts w:hint="eastAsia"/>
                <w:lang w:eastAsia="zh-CN"/>
              </w:rPr>
              <w:t>（</w:t>
            </w:r>
            <w:r>
              <w:t>地上四层，</w:t>
            </w:r>
            <w:r>
              <w:rPr>
                <w:rFonts w:hint="eastAsia"/>
                <w:lang w:eastAsia="zh-CN"/>
              </w:rPr>
              <w:t>地下二层）</w:t>
            </w:r>
            <w:r>
              <w:t>，</w:t>
            </w:r>
            <w:r>
              <w:rPr>
                <w:rFonts w:hint="eastAsia"/>
                <w:lang w:val="en-US" w:eastAsia="zh-CN"/>
              </w:rPr>
              <w:t>拟</w:t>
            </w:r>
            <w:r>
              <w:rPr>
                <w:rFonts w:hint="eastAsia"/>
                <w:spacing w:val="-2"/>
                <w:lang w:eastAsia="zh-CN"/>
              </w:rPr>
              <w:t>在</w:t>
            </w:r>
            <w:r>
              <w:rPr>
                <w:bCs/>
              </w:rPr>
              <w:t>负一层</w:t>
            </w:r>
            <w:r>
              <w:rPr>
                <w:rFonts w:hint="eastAsia"/>
                <w:bCs/>
                <w:lang w:val="en-US" w:eastAsia="zh-CN"/>
              </w:rPr>
              <w:t>西侧中部</w:t>
            </w:r>
            <w:r>
              <w:rPr>
                <w:bCs/>
              </w:rPr>
              <w:t>布置</w:t>
            </w:r>
            <w:r>
              <w:rPr>
                <w:rFonts w:hint="eastAsia"/>
                <w:bCs/>
                <w:lang w:val="en-US" w:eastAsia="zh-CN"/>
              </w:rPr>
              <w:t>核医学科诊疗工作场所</w:t>
            </w:r>
            <w:r>
              <w:rPr>
                <w:bCs/>
              </w:rPr>
              <w:t>及辅助用房，</w:t>
            </w:r>
            <w:r>
              <w:rPr>
                <w:rFonts w:hint="eastAsia"/>
                <w:bCs/>
                <w:lang w:val="en-US" w:eastAsia="zh-CN"/>
              </w:rPr>
              <w:t>包括1</w:t>
            </w:r>
            <w:r>
              <w:t>个乙级非密封放射性物质工作场所使用非密封放射性物</w:t>
            </w:r>
            <w:r>
              <w:rPr>
                <w:highlight w:val="none"/>
              </w:rPr>
              <w:t>质</w:t>
            </w:r>
            <w:r>
              <w:rPr>
                <w:bCs/>
                <w:highlight w:val="none"/>
              </w:rPr>
              <w:t>氟-18、镓-68、</w:t>
            </w:r>
            <w:r>
              <w:rPr>
                <w:rFonts w:hint="eastAsia"/>
                <w:bCs/>
                <w:highlight w:val="none"/>
                <w:lang w:val="en-US" w:eastAsia="zh-CN"/>
              </w:rPr>
              <w:t>锶</w:t>
            </w:r>
            <w:r>
              <w:rPr>
                <w:bCs/>
                <w:highlight w:val="none"/>
              </w:rPr>
              <w:t>-89</w:t>
            </w:r>
            <w:r>
              <w:rPr>
                <w:rFonts w:hint="eastAsia"/>
                <w:bCs/>
                <w:highlight w:val="none"/>
                <w:lang w:eastAsia="zh-CN"/>
              </w:rPr>
              <w:t>、</w:t>
            </w:r>
            <w:r>
              <w:rPr>
                <w:bCs/>
                <w:highlight w:val="none"/>
              </w:rPr>
              <w:t>锝-99m</w:t>
            </w:r>
            <w:r>
              <w:rPr>
                <w:rFonts w:hint="eastAsia"/>
                <w:bCs/>
                <w:highlight w:val="none"/>
                <w:lang w:eastAsia="zh-CN"/>
              </w:rPr>
              <w:t>、</w:t>
            </w:r>
            <w:r>
              <w:rPr>
                <w:bCs/>
                <w:highlight w:val="none"/>
              </w:rPr>
              <w:t>碘-1</w:t>
            </w:r>
            <w:r>
              <w:rPr>
                <w:rFonts w:hint="eastAsia"/>
                <w:bCs/>
                <w:highlight w:val="none"/>
                <w:lang w:val="en-US" w:eastAsia="zh-CN"/>
              </w:rPr>
              <w:t>31和磷-32</w:t>
            </w:r>
            <w:r>
              <w:rPr>
                <w:rFonts w:hint="eastAsia"/>
                <w:lang w:eastAsia="zh-CN"/>
              </w:rPr>
              <w:t>，</w:t>
            </w:r>
            <w:r>
              <w:rPr>
                <w:rFonts w:hint="eastAsia"/>
                <w:lang w:val="en-US" w:eastAsia="zh-CN"/>
              </w:rPr>
              <w:t>配置2</w:t>
            </w:r>
            <w:r>
              <w:t>台Ⅲ类射线装置（1台PET/CT、</w:t>
            </w:r>
            <w:r>
              <w:rPr>
                <w:rFonts w:hint="eastAsia"/>
                <w:lang w:val="en-US" w:eastAsia="zh-CN"/>
              </w:rPr>
              <w:t>1</w:t>
            </w:r>
            <w:r>
              <w:t>台SPECT/CT）</w:t>
            </w:r>
            <w:r>
              <w:rPr>
                <w:rFonts w:hint="eastAsia"/>
                <w:bCs/>
                <w:lang w:eastAsia="zh-CN"/>
              </w:rPr>
              <w:t>；</w:t>
            </w:r>
            <w:r>
              <w:rPr>
                <w:rFonts w:hint="eastAsia"/>
                <w:bCs/>
                <w:lang w:val="en-US" w:eastAsia="zh-CN"/>
              </w:rPr>
              <w:t>拟在</w:t>
            </w:r>
            <w:r>
              <w:rPr>
                <w:rFonts w:hint="eastAsia"/>
                <w:lang w:val="en-US" w:eastAsia="zh-CN"/>
              </w:rPr>
              <w:t>四层布置手术部和内镜中心，手术部拟设1间DSA+CT复合手术室配置1台</w:t>
            </w:r>
            <w:r>
              <w:rPr>
                <w:rFonts w:hint="default" w:ascii="Times New Roman" w:hAnsi="Times New Roman" w:cs="Times New Roman"/>
                <w:lang w:val="en-US" w:eastAsia="zh-CN"/>
              </w:rPr>
              <w:t>Ⅱ</w:t>
            </w:r>
            <w:r>
              <w:rPr>
                <w:rFonts w:hint="eastAsia"/>
                <w:lang w:val="en-US" w:eastAsia="zh-CN"/>
              </w:rPr>
              <w:t>类射线装置（</w:t>
            </w:r>
            <w:r>
              <w:rPr>
                <w:rFonts w:hint="eastAsia"/>
                <w:bCs/>
                <w:lang w:val="en-US" w:eastAsia="zh-CN"/>
              </w:rPr>
              <w:t>DSA+CT复合手术设备</w:t>
            </w:r>
            <w:r>
              <w:rPr>
                <w:rFonts w:hint="eastAsia"/>
                <w:lang w:val="en-US" w:eastAsia="zh-CN"/>
              </w:rPr>
              <w:t>）、3间DSA手术室分别配置1台</w:t>
            </w:r>
            <w:r>
              <w:rPr>
                <w:rFonts w:hint="default" w:ascii="Times New Roman" w:hAnsi="Times New Roman" w:cs="Times New Roman"/>
                <w:lang w:val="en-US" w:eastAsia="zh-CN"/>
              </w:rPr>
              <w:t>Ⅱ</w:t>
            </w:r>
            <w:r>
              <w:rPr>
                <w:rFonts w:hint="eastAsia"/>
                <w:lang w:val="en-US" w:eastAsia="zh-CN"/>
              </w:rPr>
              <w:t>类射线装置（合计3台DSA）；内镜中心拟设1间ERCP室配置1台</w:t>
            </w:r>
            <w:r>
              <w:rPr>
                <w:rFonts w:hint="default" w:ascii="Times New Roman" w:hAnsi="Times New Roman" w:cs="Times New Roman"/>
                <w:lang w:val="en-US" w:eastAsia="zh-CN"/>
              </w:rPr>
              <w:t>Ⅱ</w:t>
            </w:r>
            <w:r>
              <w:rPr>
                <w:rFonts w:hint="eastAsia"/>
                <w:lang w:val="en-US" w:eastAsia="zh-CN"/>
              </w:rPr>
              <w:t>类射线装置（ERCP）。</w:t>
            </w:r>
          </w:p>
          <w:p w14:paraId="17EA4898">
            <w:pPr>
              <w:widowControl/>
              <w:ind w:firstLine="480"/>
              <w:rPr>
                <w:rFonts w:eastAsia="黑体"/>
                <w:sz w:val="21"/>
              </w:rPr>
            </w:pPr>
            <w:r>
              <w:rPr>
                <w:rFonts w:eastAsia="黑体"/>
                <w:lang w:bidi="ar"/>
              </w:rPr>
              <w:t>二、本项目产业政策符合性分析</w:t>
            </w:r>
          </w:p>
          <w:p w14:paraId="11EF9D3A">
            <w:pPr>
              <w:ind w:firstLine="480"/>
              <w:rPr>
                <w:sz w:val="21"/>
              </w:rPr>
            </w:pPr>
            <w:r>
              <w:rPr>
                <w:bCs/>
                <w:lang w:bidi="ar"/>
              </w:rPr>
              <w:t>本项目属于核技术在医学领域应用，根据</w:t>
            </w:r>
            <w:r>
              <w:rPr>
                <w:lang w:bidi="ar"/>
              </w:rPr>
              <w:t>国家发展和改革委员会</w:t>
            </w:r>
            <w:r>
              <w:rPr>
                <w:bCs/>
                <w:lang w:bidi="ar"/>
              </w:rPr>
              <w:t>令第7号《产业结构调整指导目录（2024年本）》，</w:t>
            </w:r>
            <w:r>
              <w:rPr>
                <w:bCs/>
              </w:rPr>
              <w:t>本项目属鼓励类第</w:t>
            </w:r>
            <w:r>
              <w:rPr>
                <w:rFonts w:hint="eastAsia"/>
                <w:bCs/>
              </w:rPr>
              <w:t>三十七</w:t>
            </w:r>
            <w:r>
              <w:rPr>
                <w:bCs/>
              </w:rPr>
              <w:t>项“</w:t>
            </w:r>
            <w:r>
              <w:rPr>
                <w:rFonts w:hint="eastAsia"/>
                <w:bCs/>
              </w:rPr>
              <w:t>卫生健康</w:t>
            </w:r>
            <w:r>
              <w:rPr>
                <w:bCs/>
              </w:rPr>
              <w:t>”第</w:t>
            </w:r>
            <w:r>
              <w:rPr>
                <w:rFonts w:hint="eastAsia"/>
                <w:bCs/>
              </w:rPr>
              <w:t>1</w:t>
            </w:r>
            <w:r>
              <w:rPr>
                <w:bCs/>
              </w:rPr>
              <w:t>条</w:t>
            </w:r>
            <w:r>
              <w:rPr>
                <w:rFonts w:hint="eastAsia"/>
                <w:bCs/>
              </w:rPr>
              <w:t xml:space="preserve"> “</w:t>
            </w:r>
            <w:r>
              <w:rPr>
                <w:bCs/>
              </w:rPr>
              <w:t>医疗服务设施建设</w:t>
            </w:r>
            <w:r>
              <w:rPr>
                <w:rFonts w:hint="eastAsia"/>
                <w:bCs/>
              </w:rPr>
              <w:t>”</w:t>
            </w:r>
            <w:r>
              <w:rPr>
                <w:bCs/>
                <w:lang w:bidi="ar"/>
              </w:rPr>
              <w:t>，符合国家产业发展政策。</w:t>
            </w:r>
          </w:p>
          <w:p w14:paraId="306F81C7">
            <w:pPr>
              <w:widowControl/>
              <w:ind w:firstLine="480"/>
              <w:rPr>
                <w:rFonts w:eastAsia="黑体"/>
                <w:sz w:val="21"/>
              </w:rPr>
            </w:pPr>
            <w:r>
              <w:rPr>
                <w:rFonts w:eastAsia="黑体"/>
                <w:lang w:bidi="ar"/>
              </w:rPr>
              <w:t>三、本项目选址及平面布局合理性分析</w:t>
            </w:r>
          </w:p>
          <w:p w14:paraId="40D2829D">
            <w:pPr>
              <w:ind w:left="17" w:firstLine="480"/>
              <w:rPr>
                <w:sz w:val="21"/>
              </w:rPr>
            </w:pPr>
            <w:r>
              <w:rPr>
                <w:bCs/>
                <w:lang w:bidi="ar"/>
              </w:rPr>
              <w:t>医院所在区域道路、给排水、电力等城市基础配套设施完善，为项目建设提供了良好条件；医院周围没有项目建设的制约因素，且本项目辐射工作场所相对独立，为专门的辐射工作场所，本项目产生的辐射通过采取相应的治理措施后对周围环境影响较小，其选址是合理的。本项目辐射工作场所根据工作要求、有利于辐射防护和环境保护来进行布置，功能分区明确，既能有机联系，又不互相干扰；在设计阶段，所有辐射工作场所均进行了合理的优化布局，同时兼顾了病人就诊的方便性。综上所述，项目平面布置是合理的。</w:t>
            </w:r>
          </w:p>
          <w:p w14:paraId="66E99A46">
            <w:pPr>
              <w:widowControl/>
              <w:ind w:firstLine="480"/>
              <w:rPr>
                <w:rFonts w:eastAsia="黑体"/>
                <w:sz w:val="21"/>
              </w:rPr>
            </w:pPr>
            <w:r>
              <w:rPr>
                <w:rFonts w:eastAsia="黑体"/>
                <w:lang w:bidi="ar"/>
              </w:rPr>
              <w:t>四、工程所在地区环境质量现状</w:t>
            </w:r>
          </w:p>
          <w:p w14:paraId="51770460">
            <w:pPr>
              <w:ind w:firstLine="480"/>
              <w:rPr>
                <w:lang w:bidi="ar"/>
              </w:rPr>
            </w:pPr>
            <w:r>
              <w:t>根据表8-4、表8-5，本</w:t>
            </w:r>
            <w:r>
              <w:rPr>
                <w:lang w:bidi="ar"/>
              </w:rPr>
              <w:t>项目拟建地及周围各监测点α表面污染活度范围均低于仪器检出限（&lt;0.01Bq/cm</w:t>
            </w:r>
            <w:r>
              <w:rPr>
                <w:vertAlign w:val="superscript"/>
                <w:lang w:bidi="ar"/>
              </w:rPr>
              <w:t>2</w:t>
            </w:r>
            <w:r>
              <w:rPr>
                <w:lang w:bidi="ar"/>
              </w:rPr>
              <w:t>），β表面污染活度范围为</w:t>
            </w:r>
            <w:r>
              <w:rPr>
                <w:rFonts w:hint="default" w:ascii="Times New Roman" w:hAnsi="Times New Roman" w:cs="Times New Roman"/>
                <w:lang w:val="en-US" w:eastAsia="zh-CN" w:bidi="ar"/>
              </w:rPr>
              <w:t>≤</w:t>
            </w:r>
            <w:r>
              <w:rPr>
                <w:lang w:bidi="ar"/>
              </w:rPr>
              <w:t>0.01Bq/cm</w:t>
            </w:r>
            <w:r>
              <w:rPr>
                <w:vertAlign w:val="superscript"/>
                <w:lang w:bidi="ar"/>
              </w:rPr>
              <w:t>2</w:t>
            </w:r>
            <w:r>
              <w:rPr>
                <w:lang w:bidi="ar"/>
              </w:rPr>
              <w:t>。</w:t>
            </w:r>
          </w:p>
          <w:p w14:paraId="3AE288F1">
            <w:pPr>
              <w:ind w:firstLine="480"/>
            </w:pPr>
            <w:r>
              <w:t>根据表8-6，本</w:t>
            </w:r>
            <w:r>
              <w:rPr>
                <w:lang w:bidi="ar"/>
              </w:rPr>
              <w:t>项目拟建地及周围X-γ辐射剂量率范围为8.</w:t>
            </w:r>
            <w:r>
              <w:rPr>
                <w:rFonts w:hint="eastAsia"/>
                <w:lang w:val="en-US" w:eastAsia="zh-CN" w:bidi="ar"/>
              </w:rPr>
              <w:t>2</w:t>
            </w:r>
            <w:r>
              <w:rPr>
                <w:lang w:bidi="ar"/>
              </w:rPr>
              <w:t>×10</w:t>
            </w:r>
            <w:r>
              <w:rPr>
                <w:vertAlign w:val="superscript"/>
                <w:lang w:bidi="ar"/>
              </w:rPr>
              <w:t>-8</w:t>
            </w:r>
            <w:r>
              <w:rPr>
                <w:lang w:bidi="ar"/>
              </w:rPr>
              <w:t>Gy/h ~1</w:t>
            </w:r>
            <w:r>
              <w:rPr>
                <w:rFonts w:hint="eastAsia"/>
                <w:lang w:val="en-US" w:eastAsia="zh-CN" w:bidi="ar"/>
              </w:rPr>
              <w:t>0.3</w:t>
            </w:r>
            <w:r>
              <w:rPr>
                <w:lang w:bidi="ar"/>
              </w:rPr>
              <w:t>×10</w:t>
            </w:r>
            <w:r>
              <w:rPr>
                <w:vertAlign w:val="superscript"/>
                <w:lang w:bidi="ar"/>
              </w:rPr>
              <w:t>-8</w:t>
            </w:r>
            <w:r>
              <w:rPr>
                <w:lang w:bidi="ar"/>
              </w:rPr>
              <w:t>Gy/h（</w:t>
            </w:r>
            <w:r>
              <w:t>即8</w:t>
            </w:r>
            <w:r>
              <w:rPr>
                <w:rFonts w:hint="eastAsia"/>
                <w:lang w:val="en-US" w:eastAsia="zh-CN"/>
              </w:rPr>
              <w:t>2</w:t>
            </w:r>
            <w:r>
              <w:t>nGy/h~1</w:t>
            </w:r>
            <w:r>
              <w:rPr>
                <w:rFonts w:hint="eastAsia"/>
                <w:lang w:val="en-US" w:eastAsia="zh-CN"/>
              </w:rPr>
              <w:t>03</w:t>
            </w:r>
            <w:r>
              <w:t>nGy/h</w:t>
            </w:r>
            <w:r>
              <w:rPr>
                <w:lang w:bidi="ar"/>
              </w:rPr>
              <w:t>）</w:t>
            </w:r>
            <w:r>
              <w:t>，与《</w:t>
            </w:r>
            <w:r>
              <w:rPr>
                <w:shd w:val="clear" w:color="auto" w:fill="FFFFFF"/>
              </w:rPr>
              <w:t>202</w:t>
            </w:r>
            <w:r>
              <w:rPr>
                <w:rFonts w:hint="eastAsia"/>
                <w:shd w:val="clear" w:color="auto" w:fill="FFFFFF"/>
                <w:lang w:val="en-US" w:eastAsia="zh-CN"/>
              </w:rPr>
              <w:t>5</w:t>
            </w:r>
            <w:r>
              <w:rPr>
                <w:rFonts w:hint="eastAsia"/>
                <w:shd w:val="clear" w:color="auto" w:fill="FFFFFF"/>
              </w:rPr>
              <w:t>成都生态环境质量</w:t>
            </w:r>
            <w:r>
              <w:rPr>
                <w:rFonts w:hint="eastAsia"/>
                <w:shd w:val="clear" w:color="auto" w:fill="FFFFFF"/>
                <w:lang w:val="en-US" w:eastAsia="zh-CN"/>
              </w:rPr>
              <w:t>状况</w:t>
            </w:r>
            <w:r>
              <w:t>》中环境</w:t>
            </w:r>
            <w:r>
              <w:rPr>
                <w:lang w:bidi="ar"/>
              </w:rPr>
              <w:t>γ</w:t>
            </w:r>
            <w:r>
              <w:t>辐射剂量率连续自动监测年均值范围</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66.</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nGy/h～1</w:t>
            </w:r>
            <w:r>
              <w:rPr>
                <w:rFonts w:hint="eastAsia" w:cs="Times New Roman"/>
                <w:color w:val="auto"/>
                <w:sz w:val="24"/>
                <w:szCs w:val="24"/>
                <w:highlight w:val="none"/>
                <w:lang w:val="en-US" w:eastAsia="zh-CN"/>
              </w:rPr>
              <w:t>23.4</w:t>
            </w:r>
            <w:r>
              <w:rPr>
                <w:rFonts w:hint="default" w:ascii="Times New Roman" w:hAnsi="Times New Roman" w:eastAsia="宋体" w:cs="Times New Roman"/>
                <w:color w:val="auto"/>
                <w:sz w:val="24"/>
                <w:szCs w:val="24"/>
                <w:highlight w:val="none"/>
              </w:rPr>
              <w:t>nGy/h</w:t>
            </w:r>
            <w:r>
              <w:rPr>
                <w:rFonts w:hint="default" w:ascii="Times New Roman" w:hAnsi="Times New Roman" w:eastAsia="宋体" w:cs="Times New Roman"/>
                <w:color w:val="auto"/>
                <w:sz w:val="24"/>
                <w:szCs w:val="24"/>
                <w:highlight w:val="none"/>
                <w:lang w:eastAsia="zh-CN"/>
              </w:rPr>
              <w:t>）</w:t>
            </w:r>
            <w:r>
              <w:t>相当，处于当地天然本底涨落范围。</w:t>
            </w:r>
          </w:p>
          <w:p w14:paraId="158337A0">
            <w:pPr>
              <w:widowControl/>
              <w:ind w:firstLine="480"/>
              <w:rPr>
                <w:rFonts w:eastAsia="黑体"/>
                <w:sz w:val="21"/>
              </w:rPr>
            </w:pPr>
            <w:r>
              <w:rPr>
                <w:rFonts w:eastAsia="黑体"/>
                <w:lang w:bidi="ar"/>
              </w:rPr>
              <w:t>五、环境影响评价结论</w:t>
            </w:r>
          </w:p>
          <w:p w14:paraId="65F9C05A">
            <w:pPr>
              <w:ind w:firstLine="480"/>
              <w:rPr>
                <w:sz w:val="21"/>
              </w:rPr>
            </w:pPr>
            <w:r>
              <w:rPr>
                <w:lang w:bidi="ar"/>
              </w:rPr>
              <w:t>1、辐射环境影响分析</w:t>
            </w:r>
          </w:p>
          <w:p w14:paraId="3955249F">
            <w:pPr>
              <w:ind w:firstLine="480"/>
              <w:rPr>
                <w:sz w:val="21"/>
              </w:rPr>
            </w:pPr>
            <w:r>
              <w:rPr>
                <w:lang w:bidi="ar"/>
              </w:rPr>
              <w:t>经模式预测，在正常工况下，对职业人员造成的年附加有效剂量低于本次评价5mSv的职业人员年剂量约束值，对公众造成的年附加有效剂量低于本次评价0.1mSv的公众人员年剂量约束值。</w:t>
            </w:r>
          </w:p>
          <w:p w14:paraId="126ABF22">
            <w:pPr>
              <w:ind w:firstLine="480"/>
              <w:rPr>
                <w:sz w:val="21"/>
              </w:rPr>
            </w:pPr>
            <w:r>
              <w:rPr>
                <w:lang w:bidi="ar"/>
              </w:rPr>
              <w:t>2、大气的环境影响分析</w:t>
            </w:r>
          </w:p>
          <w:p w14:paraId="243326E3">
            <w:pPr>
              <w:ind w:firstLine="480"/>
              <w:rPr>
                <w:sz w:val="21"/>
              </w:rPr>
            </w:pPr>
            <w:r>
              <w:rPr>
                <w:lang w:bidi="ar"/>
              </w:rPr>
              <w:t>本项目非密封放射性物质工作场所产生的少量</w:t>
            </w:r>
            <w:r>
              <w:rPr>
                <w:bCs/>
                <w:lang w:bidi="ar"/>
              </w:rPr>
              <w:t>放射性废气、臭氧、氮氧化物</w:t>
            </w:r>
            <w:r>
              <w:rPr>
                <w:lang w:bidi="ar"/>
              </w:rPr>
              <w:t>经独立排风管道引至楼顶经过滤器过滤后排放，对周围环境影响较小。</w:t>
            </w:r>
          </w:p>
          <w:p w14:paraId="59679A65">
            <w:pPr>
              <w:ind w:firstLine="480"/>
              <w:rPr>
                <w:sz w:val="21"/>
              </w:rPr>
            </w:pPr>
            <w:r>
              <w:rPr>
                <w:lang w:bidi="ar"/>
              </w:rPr>
              <w:t>3、废水的环境影响分析</w:t>
            </w:r>
          </w:p>
          <w:p w14:paraId="769AFCEA">
            <w:pPr>
              <w:ind w:firstLine="480"/>
              <w:rPr>
                <w:bCs/>
                <w:sz w:val="21"/>
              </w:rPr>
            </w:pPr>
            <w:r>
              <w:rPr>
                <w:bCs/>
                <w:lang w:bidi="ar"/>
              </w:rPr>
              <w:t>本项目放射性废水通过专用管道分别排至衰变池中暂存。衰变池放射性废水暂存超过180天或暂存不满180天但经监测达标（总β≤10Bq/L、碘-131活度浓度≤10Bq/L）后排放至医院污水管网。本项目放射性废水经衰变池收集暂存衰变并经监测达标后排放对地表水环境影响较小。本项目运行期间产生的非放射性废水经医院污水管网后排入医院污水处理站，处理达标后排入市政污水管网，对地表水环境影响较小。</w:t>
            </w:r>
          </w:p>
          <w:p w14:paraId="32E59040">
            <w:pPr>
              <w:ind w:firstLine="480"/>
              <w:rPr>
                <w:sz w:val="21"/>
              </w:rPr>
            </w:pPr>
            <w:r>
              <w:rPr>
                <w:lang w:bidi="ar"/>
              </w:rPr>
              <w:t>4、固体废物的环境影响分析</w:t>
            </w:r>
          </w:p>
          <w:p w14:paraId="2BDBA8D0">
            <w:pPr>
              <w:ind w:firstLine="470"/>
              <w:rPr>
                <w:bCs/>
                <w:sz w:val="21"/>
              </w:rPr>
            </w:pPr>
            <w:r>
              <w:rPr>
                <w:bCs/>
                <w:lang w:bidi="ar"/>
              </w:rPr>
              <w:t>本项目放射性固废采用专门的放射性固废收集桶分类收集后，转入相应</w:t>
            </w:r>
            <w:r>
              <w:rPr>
                <w:rFonts w:hint="eastAsia"/>
                <w:bCs/>
                <w:lang w:eastAsia="zh-CN" w:bidi="ar"/>
              </w:rPr>
              <w:t>放废暂存间</w:t>
            </w:r>
            <w:r>
              <w:rPr>
                <w:bCs/>
                <w:lang w:bidi="ar"/>
              </w:rPr>
              <w:t>内采用放射性固废暂存容器进行暂存衰变，所含核素半衰期小于24小时的放射性固体废物暂存时间超过30天，所含核素半衰期大于24小时的放射性固体废物暂存时间超过核素最长半衰期的10倍，含碘-131核素的放射性固体废物暂存超过180天，</w:t>
            </w:r>
            <w:r>
              <w:rPr>
                <w:lang w:bidi="ar"/>
              </w:rPr>
              <w:t>经监测达标（辐射剂量率满足所处环境本底水平、α表面污染小于0.08Bq/cm</w:t>
            </w:r>
            <w:r>
              <w:rPr>
                <w:vertAlign w:val="superscript"/>
                <w:lang w:bidi="ar"/>
              </w:rPr>
              <w:t>2</w:t>
            </w:r>
            <w:r>
              <w:rPr>
                <w:lang w:bidi="ar"/>
              </w:rPr>
              <w:t>、β表面污染小于0.8Bq/cm</w:t>
            </w:r>
            <w:r>
              <w:rPr>
                <w:vertAlign w:val="superscript"/>
                <w:lang w:bidi="ar"/>
              </w:rPr>
              <w:t>2</w:t>
            </w:r>
            <w:r>
              <w:rPr>
                <w:lang w:bidi="ar"/>
              </w:rPr>
              <w:t>）后，转入医院</w:t>
            </w:r>
            <w:r>
              <w:rPr>
                <w:kern w:val="2"/>
              </w:rPr>
              <w:t>医疗垃圾暂存间</w:t>
            </w:r>
            <w:r>
              <w:rPr>
                <w:lang w:bidi="ar"/>
              </w:rPr>
              <w:t>，按照普通医疗废物</w:t>
            </w:r>
            <w:r>
              <w:rPr>
                <w:bCs/>
                <w:lang w:bidi="ar"/>
              </w:rPr>
              <w:t>执行转移联单制度，由有资质单位统一处理。本项目产生的放射性固废均能得到妥善处置，对周围环境影响较小。</w:t>
            </w:r>
          </w:p>
          <w:p w14:paraId="24E80AEE">
            <w:pPr>
              <w:ind w:firstLine="470"/>
              <w:rPr>
                <w:sz w:val="21"/>
              </w:rPr>
            </w:pPr>
            <w:r>
              <w:rPr>
                <w:bCs/>
                <w:lang w:bidi="ar"/>
              </w:rPr>
              <w:t>本项目产生的生活垃圾依托</w:t>
            </w:r>
            <w:r>
              <w:rPr>
                <w:rFonts w:hint="eastAsia"/>
                <w:bCs/>
                <w:lang w:eastAsia="zh-CN" w:bidi="ar"/>
              </w:rPr>
              <w:t>门诊医技楼</w:t>
            </w:r>
            <w:r>
              <w:rPr>
                <w:bCs/>
                <w:lang w:bidi="ar"/>
              </w:rPr>
              <w:t>拟建的收集系统进行收集后，</w:t>
            </w:r>
            <w:r>
              <w:rPr>
                <w:lang w:bidi="ar"/>
              </w:rPr>
              <w:t>及时交由市政环卫清运，对周围环境影响较小。</w:t>
            </w:r>
          </w:p>
          <w:p w14:paraId="74F81E5B">
            <w:pPr>
              <w:widowControl/>
              <w:ind w:firstLine="480"/>
              <w:jc w:val="left"/>
              <w:rPr>
                <w:rFonts w:eastAsia="黑体"/>
                <w:lang w:bidi="ar"/>
              </w:rPr>
            </w:pPr>
            <w:r>
              <w:rPr>
                <w:rFonts w:eastAsia="黑体"/>
                <w:lang w:bidi="ar"/>
              </w:rPr>
              <w:t>五、声环境影响分析</w:t>
            </w:r>
          </w:p>
          <w:p w14:paraId="6DB1775A">
            <w:pPr>
              <w:widowControl/>
              <w:ind w:firstLine="480"/>
              <w:rPr>
                <w:bCs/>
              </w:rPr>
            </w:pPr>
            <w:r>
              <w:rPr>
                <w:bCs/>
              </w:rPr>
              <w:t>本项目噪声主要来源于场所通排风系统的风机。各辐射工作场所的送风机位于相应楼层的风机房或者房间吊顶内，排风机集中布置于</w:t>
            </w:r>
            <w:r>
              <w:rPr>
                <w:rFonts w:hint="eastAsia"/>
                <w:bCs/>
                <w:lang w:eastAsia="zh-CN"/>
              </w:rPr>
              <w:t>门诊医技楼</w:t>
            </w:r>
            <w:r>
              <w:rPr>
                <w:bCs/>
              </w:rPr>
              <w:t>楼顶（远离保护目标）的风机房内。本项目通排风系统拟采用低噪声风机，风机工作时噪声源强最大为65dB(A)，通过使用低噪声设备、安装消音器、基础减振等措施，加上建筑物墙体的隔声作用及医院</w:t>
            </w:r>
            <w:r>
              <w:rPr>
                <w:bCs/>
                <w:lang w:bidi="ar"/>
              </w:rPr>
              <w:t>场址内的距离衰减，噪声较小，对周围声环境影响较小。</w:t>
            </w:r>
          </w:p>
          <w:p w14:paraId="4C3C9FEC">
            <w:pPr>
              <w:widowControl/>
              <w:ind w:firstLine="480"/>
              <w:jc w:val="left"/>
              <w:rPr>
                <w:rFonts w:eastAsia="黑体"/>
                <w:sz w:val="21"/>
              </w:rPr>
            </w:pPr>
            <w:r>
              <w:rPr>
                <w:rFonts w:eastAsia="黑体"/>
                <w:lang w:bidi="ar"/>
              </w:rPr>
              <w:t>六、事故风险与防范</w:t>
            </w:r>
          </w:p>
          <w:p w14:paraId="4CCFEDAF">
            <w:pPr>
              <w:ind w:firstLine="480"/>
              <w:rPr>
                <w:sz w:val="21"/>
              </w:rPr>
            </w:pPr>
            <w:r>
              <w:rPr>
                <w:lang w:bidi="ar"/>
              </w:rPr>
              <w:t>建设单位需按本报告提出的要求补充制定相关安全管理规章制度并完善辐射事故应急预案，项目建成投运后，应认真贯彻实施，以减少和避免发生辐射事故与突发事件。</w:t>
            </w:r>
          </w:p>
          <w:p w14:paraId="5FDE4151">
            <w:pPr>
              <w:widowControl/>
              <w:ind w:firstLine="480"/>
              <w:jc w:val="left"/>
              <w:rPr>
                <w:rFonts w:eastAsia="黑体"/>
                <w:sz w:val="21"/>
              </w:rPr>
            </w:pPr>
            <w:r>
              <w:rPr>
                <w:rFonts w:eastAsia="黑体"/>
                <w:lang w:bidi="ar"/>
              </w:rPr>
              <w:t>七、环保设施与保护目标</w:t>
            </w:r>
          </w:p>
          <w:p w14:paraId="6C7CAC18">
            <w:pPr>
              <w:ind w:firstLine="480"/>
              <w:rPr>
                <w:sz w:val="21"/>
              </w:rPr>
            </w:pPr>
            <w:r>
              <w:rPr>
                <w:lang w:bidi="ar"/>
              </w:rPr>
              <w:t>建设单位需按环评要求配备较全、效能良好的环保设施，使本次环评中确定的绝大多数保护目标，所受的辐射剂量，保持在合理的、可达到的尽可能低的水平。</w:t>
            </w:r>
          </w:p>
          <w:p w14:paraId="05E31599">
            <w:pPr>
              <w:widowControl/>
              <w:ind w:firstLine="480"/>
              <w:jc w:val="left"/>
              <w:rPr>
                <w:rFonts w:eastAsia="黑体"/>
                <w:sz w:val="21"/>
              </w:rPr>
            </w:pPr>
            <w:r>
              <w:rPr>
                <w:rFonts w:eastAsia="黑体"/>
                <w:lang w:bidi="ar"/>
              </w:rPr>
              <w:t>八、辐射安全管理的综合能力</w:t>
            </w:r>
          </w:p>
          <w:p w14:paraId="73C0523D">
            <w:pPr>
              <w:ind w:firstLine="480"/>
              <w:rPr>
                <w:sz w:val="21"/>
              </w:rPr>
            </w:pPr>
            <w:r>
              <w:rPr>
                <w:lang w:bidi="ar"/>
              </w:rPr>
              <w:t>建设单位辐射安全管理机构健全，有领导分管，人员落实，责任明确，辐射工作人员配置合理，考试（核）合格，有辐射事故应急预案与安全规章制度；环保设施总体效能良好，可满足防护实际需要。对现有场所而言，建设单位已具备辐射安全管理的综合能力。</w:t>
            </w:r>
          </w:p>
          <w:p w14:paraId="341FEF30">
            <w:pPr>
              <w:widowControl/>
              <w:ind w:firstLine="480"/>
              <w:jc w:val="left"/>
              <w:rPr>
                <w:rFonts w:eastAsia="黑体"/>
                <w:sz w:val="21"/>
              </w:rPr>
            </w:pPr>
            <w:r>
              <w:rPr>
                <w:rFonts w:eastAsia="黑体"/>
                <w:lang w:bidi="ar"/>
              </w:rPr>
              <w:t>九、项目环保可行性结论</w:t>
            </w:r>
          </w:p>
          <w:p w14:paraId="4827D62F">
            <w:pPr>
              <w:widowControl/>
              <w:ind w:firstLine="480"/>
              <w:rPr>
                <w:b/>
                <w:bCs/>
              </w:rPr>
            </w:pPr>
            <w:r>
              <w:t>建设单位在采取切实可行的环保措施，落实本报告提出的各项污染防治措施后，本评价认为，本项目在</w:t>
            </w:r>
            <w:r>
              <w:rPr>
                <w:rFonts w:hint="eastAsia"/>
              </w:rPr>
              <w:t>四川天府新区万安街道高饭店村、开元村（天津路东段）</w:t>
            </w:r>
            <w:r>
              <w:rPr>
                <w:rFonts w:hint="eastAsia"/>
                <w:bCs/>
                <w:spacing w:val="-6"/>
                <w:lang w:eastAsia="zh-CN"/>
              </w:rPr>
              <w:t>四川天府新区人民医院</w:t>
            </w:r>
            <w:r>
              <w:rPr>
                <w:bCs/>
                <w:spacing w:val="-6"/>
              </w:rPr>
              <w:t>内</w:t>
            </w:r>
            <w:r>
              <w:t>建设，从环境保护和辐射安全角度看是可行的。</w:t>
            </w:r>
          </w:p>
        </w:tc>
      </w:tr>
      <w:tr w14:paraId="2B6D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14:paraId="2080D16E">
            <w:pPr>
              <w:widowControl/>
              <w:jc w:val="left"/>
              <w:rPr>
                <w:rFonts w:eastAsia="黑体"/>
              </w:rPr>
            </w:pPr>
            <w:r>
              <w:rPr>
                <w:rFonts w:eastAsia="黑体"/>
              </w:rPr>
              <w:t>建议</w:t>
            </w:r>
          </w:p>
          <w:p w14:paraId="08EF3517">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1、认真学习贯彻国家相关的环保法律、法规，不断提高遵守法律的自觉性和安全文化素养，切实做好辐射安全管理工作。</w:t>
            </w:r>
          </w:p>
          <w:p w14:paraId="5BD47BCF">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2、不断提高工作人员素质，增强职业人员辐射安全意识，做好辐射防护设施、设备的维护保养，避免发生辐射事故。</w:t>
            </w:r>
          </w:p>
          <w:p w14:paraId="019EA6D8">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3、实际运行中，医院应严格落实辐射安全防护的各项规章制度，应结合实际工作负荷和职业人员个人剂量检测结果等因素，合理分摊职业人员的工作量，确保职业人员个人剂量满足1.25mSv/季度和5mSv/a的剂量约束值要求。</w:t>
            </w:r>
          </w:p>
          <w:p w14:paraId="3E735C80">
            <w:pPr>
              <w:widowControl/>
              <w:jc w:val="left"/>
              <w:rPr>
                <w:rFonts w:eastAsia="黑体"/>
              </w:rPr>
            </w:pPr>
            <w:r>
              <w:rPr>
                <w:rFonts w:eastAsia="黑体"/>
              </w:rPr>
              <w:t>承诺</w:t>
            </w:r>
          </w:p>
          <w:p w14:paraId="6AB05E89">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1、项目投运前，建设单位登录“全国核技术利用辐射安全申报系统”（http://rr.mee.gov.cn），对使用的射线装置、非密封放射性物质和放射源相关信息进行填写，并按相关要求重新申领《辐射安全许可证》。</w:t>
            </w:r>
          </w:p>
          <w:p w14:paraId="0B279061">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2、</w:t>
            </w:r>
            <w:r>
              <w:rPr>
                <w:rFonts w:ascii="Times New Roman" w:hAnsi="Times New Roman" w:cs="Times New Roman"/>
                <w:sz w:val="24"/>
              </w:rPr>
              <w:t>建设单位</w:t>
            </w:r>
            <w:r>
              <w:rPr>
                <w:rFonts w:ascii="Times New Roman" w:hAnsi="Times New Roman" w:eastAsia="宋体" w:cs="Times New Roman"/>
                <w:sz w:val="24"/>
              </w:rPr>
              <w:t>新增</w:t>
            </w:r>
            <w:r>
              <w:rPr>
                <w:rFonts w:ascii="Times New Roman" w:hAnsi="Times New Roman" w:cs="Times New Roman"/>
                <w:sz w:val="24"/>
              </w:rPr>
              <w:t>辐射工作人员需通过国家生态环境部的国家核技术利用辐射安全</w:t>
            </w:r>
            <w:r>
              <w:rPr>
                <w:rFonts w:ascii="Times New Roman" w:hAnsi="Times New Roman" w:eastAsia="宋体" w:cs="Times New Roman"/>
                <w:sz w:val="24"/>
              </w:rPr>
              <w:t>与防护培训平台（http://fushe.mee.gov.vn）学习并考核合格后上岗。</w:t>
            </w:r>
          </w:p>
          <w:p w14:paraId="07DA8E37">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3、项目建成投运后定期开展场所和环境的辐射监测，据此对所用的射线装置、非密封放射性物质和放射源的安全和防护状况进行年度评估，并根据</w:t>
            </w:r>
            <w:r>
              <w:rPr>
                <w:rFonts w:hint="default" w:ascii="Times New Roman" w:hAnsi="Times New Roman" w:eastAsia="宋体" w:cs="Times New Roman"/>
                <w:color w:val="auto"/>
                <w:sz w:val="24"/>
                <w:highlight w:val="none"/>
                <w:lang w:val="en-US" w:eastAsia="zh-CN"/>
              </w:rPr>
              <w:t>《关于印发&lt;</w:t>
            </w:r>
            <w:r>
              <w:rPr>
                <w:rFonts w:hint="eastAsia" w:ascii="Times New Roman" w:hAnsi="Times New Roman" w:eastAsia="宋体" w:cs="Times New Roman"/>
                <w:color w:val="auto"/>
                <w:sz w:val="24"/>
                <w:highlight w:val="none"/>
                <w:lang w:val="en-US" w:eastAsia="zh-CN"/>
              </w:rPr>
              <w:t>四川省核技术利用单位辐射安全工作指引（2025年版）</w:t>
            </w:r>
            <w:r>
              <w:rPr>
                <w:rFonts w:hint="default" w:ascii="Times New Roman" w:hAnsi="Times New Roman" w:eastAsia="宋体" w:cs="Times New Roman"/>
                <w:color w:val="auto"/>
                <w:sz w:val="24"/>
                <w:highlight w:val="none"/>
                <w:lang w:val="en-US" w:eastAsia="zh-CN"/>
              </w:rPr>
              <w:t>&gt;的通知》（</w:t>
            </w:r>
            <w:r>
              <w:rPr>
                <w:rFonts w:hint="eastAsia" w:ascii="Times New Roman" w:hAnsi="Times New Roman" w:eastAsia="宋体" w:cs="Times New Roman"/>
                <w:color w:val="auto"/>
                <w:sz w:val="24"/>
                <w:highlight w:val="none"/>
                <w:lang w:val="en-US" w:eastAsia="zh-CN"/>
              </w:rPr>
              <w:t>川环函〔2025〕616号</w:t>
            </w:r>
            <w:r>
              <w:rPr>
                <w:rFonts w:hint="default" w:ascii="Times New Roman" w:hAnsi="Times New Roman" w:eastAsia="宋体" w:cs="Times New Roman"/>
                <w:color w:val="auto"/>
                <w:sz w:val="24"/>
                <w:highlight w:val="none"/>
                <w:lang w:val="en-US" w:eastAsia="zh-CN"/>
              </w:rPr>
              <w:t>）</w:t>
            </w:r>
            <w:r>
              <w:rPr>
                <w:rFonts w:ascii="Times New Roman" w:hAnsi="Times New Roman" w:eastAsia="宋体" w:cs="Times New Roman"/>
                <w:sz w:val="24"/>
              </w:rPr>
              <w:t>编写辐射安全和防护状况年度自查评估报告，于每年1月31日前上传至全国核技术利用辐射安全申报系统（http://rr.mee.gov.cn）。</w:t>
            </w:r>
          </w:p>
          <w:p w14:paraId="668E9790">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4、项目应按照国家相关法律法规尽快进行验收。</w:t>
            </w:r>
          </w:p>
          <w:p w14:paraId="07596960">
            <w:pPr>
              <w:pStyle w:val="281"/>
              <w:adjustRightInd w:val="0"/>
              <w:spacing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5、接受生态环境主管部门的监督检查。</w:t>
            </w:r>
          </w:p>
          <w:p w14:paraId="0C2C373C">
            <w:pPr>
              <w:widowControl/>
              <w:jc w:val="left"/>
              <w:rPr>
                <w:rFonts w:eastAsia="黑体"/>
              </w:rPr>
            </w:pPr>
            <w:r>
              <w:rPr>
                <w:rFonts w:eastAsia="黑体"/>
              </w:rPr>
              <w:t>项目竣工验收检查内容</w:t>
            </w:r>
          </w:p>
          <w:p w14:paraId="174FA47C">
            <w:pPr>
              <w:widowControl/>
              <w:ind w:firstLine="480"/>
            </w:pPr>
            <w:r>
              <w:rPr>
                <w:bCs/>
              </w:rPr>
              <w:t>根据《国务院关于修改&lt;建设项目环境保护管理条例&gt;的决定》（国务院682号令），工程建设执行污染治理设施与主体工程同时设计、同时施工、同时投产使用的“三同时”制度。项目投入运行后，建设单位应当按照国务院环境保护行政主管部门规定的标准和程序，自行对配套建设的环境保护设施进行验收，编制验收报告，并依法向社会公开验收报告。</w:t>
            </w:r>
            <w:r>
              <w:rPr>
                <w:rFonts w:hint="eastAsia"/>
                <w:color w:val="000000"/>
                <w:kern w:val="0"/>
                <w:lang w:bidi="ar"/>
              </w:rPr>
              <w:t>建设单位应按照</w:t>
            </w:r>
            <w:r>
              <w:rPr>
                <w:color w:val="000000"/>
                <w:kern w:val="0"/>
                <w:lang w:bidi="ar"/>
              </w:rPr>
              <w:t>《建设项目竣工环境保护验收暂行办法》（国环规环评﹝2017﹞4号）</w:t>
            </w:r>
            <w:r>
              <w:rPr>
                <w:rFonts w:hint="eastAsia"/>
                <w:color w:val="000000"/>
                <w:kern w:val="0"/>
                <w:lang w:bidi="ar"/>
              </w:rPr>
              <w:t>的</w:t>
            </w:r>
            <w:r>
              <w:rPr>
                <w:color w:val="000000"/>
                <w:kern w:val="0"/>
                <w:lang w:bidi="ar"/>
              </w:rPr>
              <w:t>规定</w:t>
            </w:r>
            <w:r>
              <w:rPr>
                <w:rFonts w:hint="eastAsia"/>
                <w:color w:val="000000"/>
                <w:kern w:val="0"/>
                <w:lang w:bidi="ar"/>
              </w:rPr>
              <w:t>开展本项目的验收工作，</w:t>
            </w:r>
            <w:r>
              <w:rPr>
                <w:bCs/>
              </w:rPr>
              <w:t>本项目竣工环境保护验收一览表见表13-1。</w:t>
            </w:r>
          </w:p>
          <w:p w14:paraId="6565D88D">
            <w:pPr>
              <w:spacing w:before="163" w:line="240" w:lineRule="auto"/>
              <w:jc w:val="center"/>
              <w:rPr>
                <w:rFonts w:eastAsia="黑体"/>
                <w:sz w:val="21"/>
                <w:szCs w:val="21"/>
                <w:highlight w:val="none"/>
              </w:rPr>
            </w:pPr>
            <w:r>
              <w:rPr>
                <w:rFonts w:eastAsia="黑体"/>
                <w:sz w:val="21"/>
                <w:szCs w:val="21"/>
                <w:highlight w:val="none"/>
                <w:lang w:bidi="ar"/>
              </w:rPr>
              <w:t>表13-1  竣工环境保护验收一览表</w:t>
            </w:r>
          </w:p>
          <w:tbl>
            <w:tblPr>
              <w:tblStyle w:val="57"/>
              <w:tblW w:w="50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854"/>
              <w:gridCol w:w="16"/>
              <w:gridCol w:w="724"/>
              <w:gridCol w:w="450"/>
              <w:gridCol w:w="2574"/>
              <w:gridCol w:w="658"/>
              <w:gridCol w:w="2289"/>
            </w:tblGrid>
            <w:tr w14:paraId="7686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tcBorders>
                    <w:left w:val="nil"/>
                  </w:tcBorders>
                  <w:vAlign w:val="center"/>
                </w:tcPr>
                <w:p w14:paraId="0F317936">
                  <w:pPr>
                    <w:spacing w:line="360" w:lineRule="exact"/>
                    <w:jc w:val="center"/>
                    <w:rPr>
                      <w:bCs/>
                      <w:spacing w:val="-6"/>
                      <w:sz w:val="21"/>
                      <w:szCs w:val="21"/>
                    </w:rPr>
                  </w:pPr>
                  <w:r>
                    <w:rPr>
                      <w:bCs/>
                      <w:spacing w:val="-6"/>
                      <w:sz w:val="21"/>
                      <w:szCs w:val="21"/>
                    </w:rPr>
                    <w:t>项目</w:t>
                  </w:r>
                </w:p>
              </w:tc>
              <w:tc>
                <w:tcPr>
                  <w:tcW w:w="2685" w:type="pct"/>
                  <w:gridSpan w:val="5"/>
                  <w:vAlign w:val="center"/>
                </w:tcPr>
                <w:p w14:paraId="7803B3E0">
                  <w:pPr>
                    <w:spacing w:line="360" w:lineRule="exact"/>
                    <w:jc w:val="center"/>
                    <w:rPr>
                      <w:bCs/>
                      <w:spacing w:val="-6"/>
                      <w:sz w:val="21"/>
                      <w:szCs w:val="21"/>
                    </w:rPr>
                  </w:pPr>
                  <w:r>
                    <w:rPr>
                      <w:bCs/>
                      <w:spacing w:val="-6"/>
                      <w:sz w:val="21"/>
                      <w:szCs w:val="21"/>
                    </w:rPr>
                    <w:t>设施（设备）</w:t>
                  </w:r>
                </w:p>
              </w:tc>
              <w:tc>
                <w:tcPr>
                  <w:tcW w:w="382" w:type="pct"/>
                  <w:vAlign w:val="center"/>
                </w:tcPr>
                <w:p w14:paraId="41189F79">
                  <w:pPr>
                    <w:spacing w:line="360" w:lineRule="exact"/>
                    <w:jc w:val="center"/>
                    <w:rPr>
                      <w:bCs/>
                      <w:spacing w:val="-6"/>
                      <w:sz w:val="21"/>
                      <w:szCs w:val="21"/>
                    </w:rPr>
                  </w:pPr>
                  <w:r>
                    <w:rPr>
                      <w:bCs/>
                      <w:spacing w:val="-6"/>
                      <w:sz w:val="21"/>
                      <w:szCs w:val="21"/>
                    </w:rPr>
                    <w:t>数量</w:t>
                  </w:r>
                </w:p>
              </w:tc>
              <w:tc>
                <w:tcPr>
                  <w:tcW w:w="1331" w:type="pct"/>
                  <w:tcBorders>
                    <w:right w:val="nil"/>
                  </w:tcBorders>
                  <w:vAlign w:val="center"/>
                </w:tcPr>
                <w:p w14:paraId="68AAAB9D">
                  <w:pPr>
                    <w:spacing w:line="360" w:lineRule="exact"/>
                    <w:jc w:val="center"/>
                    <w:rPr>
                      <w:bCs/>
                      <w:spacing w:val="-6"/>
                      <w:sz w:val="21"/>
                      <w:szCs w:val="21"/>
                    </w:rPr>
                  </w:pPr>
                  <w:r>
                    <w:rPr>
                      <w:bCs/>
                      <w:spacing w:val="-6"/>
                      <w:sz w:val="21"/>
                      <w:szCs w:val="21"/>
                    </w:rPr>
                    <w:t>要求</w:t>
                  </w:r>
                </w:p>
              </w:tc>
            </w:tr>
            <w:tr w14:paraId="29C6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tcBorders>
                    <w:left w:val="nil"/>
                  </w:tcBorders>
                  <w:vAlign w:val="center"/>
                </w:tcPr>
                <w:p w14:paraId="228B130A">
                  <w:pPr>
                    <w:spacing w:line="360" w:lineRule="exact"/>
                    <w:jc w:val="center"/>
                    <w:rPr>
                      <w:spacing w:val="-6"/>
                      <w:sz w:val="21"/>
                      <w:szCs w:val="21"/>
                    </w:rPr>
                  </w:pPr>
                  <w:r>
                    <w:rPr>
                      <w:spacing w:val="-6"/>
                      <w:sz w:val="21"/>
                      <w:szCs w:val="21"/>
                    </w:rPr>
                    <w:t>辐射屏蔽措施</w:t>
                  </w:r>
                </w:p>
              </w:tc>
              <w:tc>
                <w:tcPr>
                  <w:tcW w:w="505" w:type="pct"/>
                  <w:gridSpan w:val="2"/>
                  <w:vMerge w:val="restart"/>
                  <w:vAlign w:val="center"/>
                </w:tcPr>
                <w:p w14:paraId="4C6621C0">
                  <w:pPr>
                    <w:spacing w:line="360" w:lineRule="exact"/>
                    <w:jc w:val="center"/>
                    <w:rPr>
                      <w:rFonts w:hint="eastAsia" w:eastAsia="宋体"/>
                      <w:spacing w:val="-6"/>
                      <w:sz w:val="21"/>
                      <w:szCs w:val="21"/>
                      <w:lang w:eastAsia="zh-CN"/>
                    </w:rPr>
                  </w:pPr>
                  <w:r>
                    <w:rPr>
                      <w:rFonts w:hint="eastAsia"/>
                      <w:spacing w:val="-6"/>
                      <w:sz w:val="21"/>
                      <w:szCs w:val="21"/>
                      <w:lang w:val="en-US" w:eastAsia="zh-CN"/>
                    </w:rPr>
                    <w:t>核医学科</w:t>
                  </w:r>
                </w:p>
              </w:tc>
              <w:tc>
                <w:tcPr>
                  <w:tcW w:w="2179" w:type="pct"/>
                  <w:gridSpan w:val="3"/>
                  <w:vAlign w:val="center"/>
                </w:tcPr>
                <w:p w14:paraId="21DD593C">
                  <w:pPr>
                    <w:spacing w:line="360" w:lineRule="exact"/>
                    <w:jc w:val="center"/>
                    <w:rPr>
                      <w:spacing w:val="-6"/>
                      <w:sz w:val="21"/>
                      <w:szCs w:val="21"/>
                    </w:rPr>
                  </w:pPr>
                  <w:r>
                    <w:rPr>
                      <w:spacing w:val="-6"/>
                      <w:sz w:val="21"/>
                      <w:szCs w:val="21"/>
                    </w:rPr>
                    <w:t>控制区辐射工作场所主体结构（墙体、顶板、门等）屏蔽防护</w:t>
                  </w:r>
                </w:p>
              </w:tc>
              <w:tc>
                <w:tcPr>
                  <w:tcW w:w="382" w:type="pct"/>
                  <w:vAlign w:val="center"/>
                </w:tcPr>
                <w:p w14:paraId="1A68FD7C">
                  <w:pPr>
                    <w:spacing w:line="360" w:lineRule="exact"/>
                    <w:jc w:val="center"/>
                    <w:rPr>
                      <w:spacing w:val="-6"/>
                      <w:sz w:val="21"/>
                      <w:szCs w:val="21"/>
                    </w:rPr>
                  </w:pPr>
                  <w:r>
                    <w:rPr>
                      <w:spacing w:val="-6"/>
                      <w:sz w:val="21"/>
                      <w:szCs w:val="21"/>
                    </w:rPr>
                    <w:t>/</w:t>
                  </w:r>
                </w:p>
              </w:tc>
              <w:tc>
                <w:tcPr>
                  <w:tcW w:w="1331" w:type="pct"/>
                  <w:vMerge w:val="restart"/>
                  <w:tcBorders>
                    <w:right w:val="nil"/>
                  </w:tcBorders>
                  <w:vAlign w:val="center"/>
                </w:tcPr>
                <w:p w14:paraId="07B3363F">
                  <w:pPr>
                    <w:spacing w:line="360" w:lineRule="exact"/>
                    <w:jc w:val="center"/>
                    <w:rPr>
                      <w:spacing w:val="-6"/>
                      <w:sz w:val="21"/>
                      <w:szCs w:val="21"/>
                    </w:rPr>
                  </w:pPr>
                  <w:r>
                    <w:rPr>
                      <w:spacing w:val="-6"/>
                      <w:sz w:val="21"/>
                      <w:szCs w:val="21"/>
                    </w:rPr>
                    <w:t>运行时屏蔽设施外剂量当量率满足本次评价相应限值要求</w:t>
                  </w:r>
                </w:p>
              </w:tc>
            </w:tr>
            <w:tr w14:paraId="0009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4ABBD031">
                  <w:pPr>
                    <w:spacing w:line="360" w:lineRule="exact"/>
                    <w:jc w:val="center"/>
                    <w:rPr>
                      <w:spacing w:val="-6"/>
                      <w:sz w:val="21"/>
                      <w:szCs w:val="21"/>
                    </w:rPr>
                  </w:pPr>
                </w:p>
              </w:tc>
              <w:tc>
                <w:tcPr>
                  <w:tcW w:w="505" w:type="pct"/>
                  <w:gridSpan w:val="2"/>
                  <w:vMerge w:val="continue"/>
                  <w:vAlign w:val="center"/>
                </w:tcPr>
                <w:p w14:paraId="222ECC82">
                  <w:pPr>
                    <w:spacing w:line="360" w:lineRule="exact"/>
                    <w:jc w:val="center"/>
                    <w:rPr>
                      <w:bCs/>
                      <w:spacing w:val="-6"/>
                      <w:sz w:val="21"/>
                      <w:szCs w:val="21"/>
                    </w:rPr>
                  </w:pPr>
                </w:p>
              </w:tc>
              <w:tc>
                <w:tcPr>
                  <w:tcW w:w="2179" w:type="pct"/>
                  <w:gridSpan w:val="3"/>
                  <w:shd w:val="clear" w:color="auto" w:fill="auto"/>
                  <w:vAlign w:val="center"/>
                </w:tcPr>
                <w:p w14:paraId="78684F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分装室1#正电子药物</w:t>
                  </w:r>
                  <w:r>
                    <w:rPr>
                      <w:sz w:val="21"/>
                      <w:szCs w:val="21"/>
                      <w:lang w:bidi="ar"/>
                    </w:rPr>
                    <w:t>手套箱</w:t>
                  </w:r>
                  <w:r>
                    <w:rPr>
                      <w:bCs/>
                      <w:sz w:val="21"/>
                      <w:szCs w:val="21"/>
                    </w:rPr>
                    <w:t>（60mm铅当量）</w:t>
                  </w:r>
                </w:p>
              </w:tc>
              <w:tc>
                <w:tcPr>
                  <w:tcW w:w="382" w:type="pct"/>
                  <w:shd w:val="clear" w:color="auto" w:fill="auto"/>
                  <w:vAlign w:val="center"/>
                </w:tcPr>
                <w:p w14:paraId="54BEA4C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1套</w:t>
                  </w:r>
                </w:p>
              </w:tc>
              <w:tc>
                <w:tcPr>
                  <w:tcW w:w="1331" w:type="pct"/>
                  <w:vMerge w:val="continue"/>
                  <w:tcBorders>
                    <w:right w:val="nil"/>
                  </w:tcBorders>
                  <w:vAlign w:val="center"/>
                </w:tcPr>
                <w:p w14:paraId="30C4915B">
                  <w:pPr>
                    <w:spacing w:line="360" w:lineRule="exact"/>
                    <w:jc w:val="center"/>
                    <w:rPr>
                      <w:spacing w:val="-6"/>
                      <w:sz w:val="21"/>
                      <w:szCs w:val="21"/>
                    </w:rPr>
                  </w:pPr>
                </w:p>
              </w:tc>
            </w:tr>
            <w:tr w14:paraId="220D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8CA630B">
                  <w:pPr>
                    <w:spacing w:line="360" w:lineRule="exact"/>
                    <w:jc w:val="center"/>
                    <w:rPr>
                      <w:spacing w:val="-6"/>
                      <w:sz w:val="21"/>
                      <w:szCs w:val="21"/>
                    </w:rPr>
                  </w:pPr>
                </w:p>
              </w:tc>
              <w:tc>
                <w:tcPr>
                  <w:tcW w:w="505" w:type="pct"/>
                  <w:gridSpan w:val="2"/>
                  <w:vMerge w:val="continue"/>
                  <w:vAlign w:val="center"/>
                </w:tcPr>
                <w:p w14:paraId="0746A811">
                  <w:pPr>
                    <w:spacing w:line="360" w:lineRule="exact"/>
                    <w:jc w:val="center"/>
                    <w:rPr>
                      <w:bCs/>
                      <w:spacing w:val="-6"/>
                      <w:sz w:val="21"/>
                      <w:szCs w:val="21"/>
                    </w:rPr>
                  </w:pPr>
                </w:p>
              </w:tc>
              <w:tc>
                <w:tcPr>
                  <w:tcW w:w="2179" w:type="pct"/>
                  <w:gridSpan w:val="3"/>
                  <w:shd w:val="clear" w:color="auto" w:fill="auto"/>
                  <w:vAlign w:val="center"/>
                </w:tcPr>
                <w:p w14:paraId="3CAA5A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分装室1#单光子药物手套箱</w:t>
                  </w:r>
                  <w:r>
                    <w:rPr>
                      <w:bCs/>
                      <w:sz w:val="21"/>
                      <w:szCs w:val="21"/>
                    </w:rPr>
                    <w:t>（</w:t>
                  </w:r>
                  <w:r>
                    <w:rPr>
                      <w:rFonts w:hint="eastAsia"/>
                      <w:bCs/>
                      <w:sz w:val="21"/>
                      <w:szCs w:val="21"/>
                      <w:lang w:val="en-US" w:eastAsia="zh-CN"/>
                    </w:rPr>
                    <w:t>10</w:t>
                  </w:r>
                  <w:r>
                    <w:rPr>
                      <w:bCs/>
                      <w:sz w:val="21"/>
                      <w:szCs w:val="21"/>
                    </w:rPr>
                    <w:t>mm铅当量）</w:t>
                  </w:r>
                </w:p>
              </w:tc>
              <w:tc>
                <w:tcPr>
                  <w:tcW w:w="382" w:type="pct"/>
                  <w:shd w:val="clear" w:color="auto" w:fill="auto"/>
                  <w:vAlign w:val="center"/>
                </w:tcPr>
                <w:p w14:paraId="6E5483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1套</w:t>
                  </w:r>
                </w:p>
              </w:tc>
              <w:tc>
                <w:tcPr>
                  <w:tcW w:w="1331" w:type="pct"/>
                  <w:vMerge w:val="continue"/>
                  <w:tcBorders>
                    <w:right w:val="nil"/>
                  </w:tcBorders>
                  <w:vAlign w:val="center"/>
                </w:tcPr>
                <w:p w14:paraId="3B3CAEE1">
                  <w:pPr>
                    <w:spacing w:line="360" w:lineRule="exact"/>
                    <w:jc w:val="center"/>
                    <w:rPr>
                      <w:spacing w:val="-6"/>
                      <w:sz w:val="21"/>
                      <w:szCs w:val="21"/>
                    </w:rPr>
                  </w:pPr>
                </w:p>
              </w:tc>
            </w:tr>
            <w:tr w14:paraId="2041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0660826C">
                  <w:pPr>
                    <w:spacing w:line="360" w:lineRule="exact"/>
                    <w:jc w:val="center"/>
                    <w:rPr>
                      <w:spacing w:val="-6"/>
                      <w:sz w:val="21"/>
                      <w:szCs w:val="21"/>
                    </w:rPr>
                  </w:pPr>
                </w:p>
              </w:tc>
              <w:tc>
                <w:tcPr>
                  <w:tcW w:w="505" w:type="pct"/>
                  <w:gridSpan w:val="2"/>
                  <w:vMerge w:val="continue"/>
                  <w:vAlign w:val="center"/>
                </w:tcPr>
                <w:p w14:paraId="3F78294C">
                  <w:pPr>
                    <w:spacing w:line="360" w:lineRule="exact"/>
                    <w:jc w:val="center"/>
                    <w:rPr>
                      <w:bCs/>
                      <w:spacing w:val="-6"/>
                      <w:sz w:val="21"/>
                      <w:szCs w:val="21"/>
                    </w:rPr>
                  </w:pPr>
                </w:p>
              </w:tc>
              <w:tc>
                <w:tcPr>
                  <w:tcW w:w="2179" w:type="pct"/>
                  <w:gridSpan w:val="3"/>
                  <w:shd w:val="clear" w:color="auto" w:fill="auto"/>
                  <w:vAlign w:val="center"/>
                </w:tcPr>
                <w:p w14:paraId="7FD52E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bidi="ar"/>
                    </w:rPr>
                  </w:pPr>
                  <w:r>
                    <w:rPr>
                      <w:rFonts w:hint="eastAsia"/>
                      <w:sz w:val="21"/>
                      <w:szCs w:val="21"/>
                      <w:lang w:val="en-US" w:eastAsia="zh-CN" w:bidi="ar"/>
                    </w:rPr>
                    <w:t>正电子药罐</w:t>
                  </w:r>
                  <w:r>
                    <w:rPr>
                      <w:bCs/>
                      <w:sz w:val="21"/>
                      <w:szCs w:val="21"/>
                    </w:rPr>
                    <w:t>（</w:t>
                  </w:r>
                  <w:r>
                    <w:rPr>
                      <w:rFonts w:hint="eastAsia"/>
                      <w:bCs/>
                      <w:sz w:val="21"/>
                      <w:szCs w:val="21"/>
                      <w:lang w:val="en-US" w:eastAsia="zh-CN"/>
                    </w:rPr>
                    <w:t>5</w:t>
                  </w:r>
                  <w:r>
                    <w:rPr>
                      <w:bCs/>
                      <w:sz w:val="21"/>
                      <w:szCs w:val="21"/>
                    </w:rPr>
                    <w:t>0mm铅当量）</w:t>
                  </w:r>
                </w:p>
              </w:tc>
              <w:tc>
                <w:tcPr>
                  <w:tcW w:w="382" w:type="pct"/>
                  <w:shd w:val="clear" w:color="auto" w:fill="auto"/>
                  <w:vAlign w:val="center"/>
                </w:tcPr>
                <w:p w14:paraId="3054F3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bidi="ar-SA"/>
                    </w:rPr>
                  </w:pPr>
                  <w:r>
                    <w:rPr>
                      <w:rFonts w:hint="eastAsia"/>
                      <w:bCs/>
                      <w:sz w:val="21"/>
                      <w:szCs w:val="21"/>
                      <w:lang w:val="en-US" w:eastAsia="zh-CN"/>
                    </w:rPr>
                    <w:t>2个</w:t>
                  </w:r>
                </w:p>
              </w:tc>
              <w:tc>
                <w:tcPr>
                  <w:tcW w:w="1331" w:type="pct"/>
                  <w:vMerge w:val="continue"/>
                  <w:tcBorders>
                    <w:right w:val="nil"/>
                  </w:tcBorders>
                  <w:vAlign w:val="center"/>
                </w:tcPr>
                <w:p w14:paraId="460A9D4B">
                  <w:pPr>
                    <w:spacing w:line="360" w:lineRule="exact"/>
                    <w:jc w:val="center"/>
                    <w:rPr>
                      <w:spacing w:val="-6"/>
                      <w:sz w:val="21"/>
                      <w:szCs w:val="21"/>
                    </w:rPr>
                  </w:pPr>
                </w:p>
              </w:tc>
            </w:tr>
            <w:tr w14:paraId="1992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FBA83AA">
                  <w:pPr>
                    <w:spacing w:line="360" w:lineRule="exact"/>
                    <w:jc w:val="center"/>
                    <w:rPr>
                      <w:spacing w:val="-6"/>
                      <w:sz w:val="21"/>
                      <w:szCs w:val="21"/>
                    </w:rPr>
                  </w:pPr>
                </w:p>
              </w:tc>
              <w:tc>
                <w:tcPr>
                  <w:tcW w:w="505" w:type="pct"/>
                  <w:gridSpan w:val="2"/>
                  <w:vMerge w:val="continue"/>
                  <w:vAlign w:val="center"/>
                </w:tcPr>
                <w:p w14:paraId="315A202C">
                  <w:pPr>
                    <w:spacing w:line="360" w:lineRule="exact"/>
                    <w:jc w:val="center"/>
                    <w:rPr>
                      <w:bCs/>
                      <w:spacing w:val="-6"/>
                      <w:sz w:val="21"/>
                      <w:szCs w:val="21"/>
                    </w:rPr>
                  </w:pPr>
                </w:p>
              </w:tc>
              <w:tc>
                <w:tcPr>
                  <w:tcW w:w="2179" w:type="pct"/>
                  <w:gridSpan w:val="3"/>
                  <w:shd w:val="clear" w:color="auto" w:fill="auto"/>
                  <w:vAlign w:val="center"/>
                </w:tcPr>
                <w:p w14:paraId="699104E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单光子药罐</w:t>
                  </w:r>
                  <w:r>
                    <w:rPr>
                      <w:bCs/>
                      <w:sz w:val="21"/>
                      <w:szCs w:val="21"/>
                    </w:rPr>
                    <w:t>（</w:t>
                  </w:r>
                  <w:r>
                    <w:rPr>
                      <w:rFonts w:hint="eastAsia"/>
                      <w:bCs/>
                      <w:sz w:val="21"/>
                      <w:szCs w:val="21"/>
                      <w:lang w:val="en-US" w:eastAsia="zh-CN"/>
                    </w:rPr>
                    <w:t>1</w:t>
                  </w:r>
                  <w:r>
                    <w:rPr>
                      <w:bCs/>
                      <w:sz w:val="21"/>
                      <w:szCs w:val="21"/>
                    </w:rPr>
                    <w:t>0mm铅当量）</w:t>
                  </w:r>
                </w:p>
              </w:tc>
              <w:tc>
                <w:tcPr>
                  <w:tcW w:w="382" w:type="pct"/>
                  <w:shd w:val="clear" w:color="auto" w:fill="auto"/>
                  <w:vAlign w:val="center"/>
                </w:tcPr>
                <w:p w14:paraId="7B7733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rFonts w:hint="eastAsia"/>
                      <w:bCs/>
                      <w:sz w:val="21"/>
                      <w:szCs w:val="21"/>
                      <w:lang w:val="en-US" w:eastAsia="zh-CN"/>
                    </w:rPr>
                    <w:t>2个</w:t>
                  </w:r>
                </w:p>
              </w:tc>
              <w:tc>
                <w:tcPr>
                  <w:tcW w:w="1331" w:type="pct"/>
                  <w:vMerge w:val="continue"/>
                  <w:tcBorders>
                    <w:right w:val="nil"/>
                  </w:tcBorders>
                  <w:vAlign w:val="center"/>
                </w:tcPr>
                <w:p w14:paraId="27022D59">
                  <w:pPr>
                    <w:spacing w:line="360" w:lineRule="exact"/>
                    <w:jc w:val="center"/>
                    <w:rPr>
                      <w:spacing w:val="-6"/>
                      <w:sz w:val="21"/>
                      <w:szCs w:val="21"/>
                    </w:rPr>
                  </w:pPr>
                </w:p>
              </w:tc>
            </w:tr>
            <w:tr w14:paraId="5D41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5C1ED5D">
                  <w:pPr>
                    <w:spacing w:line="360" w:lineRule="exact"/>
                    <w:jc w:val="center"/>
                    <w:rPr>
                      <w:spacing w:val="-6"/>
                      <w:sz w:val="21"/>
                      <w:szCs w:val="21"/>
                    </w:rPr>
                  </w:pPr>
                </w:p>
              </w:tc>
              <w:tc>
                <w:tcPr>
                  <w:tcW w:w="505" w:type="pct"/>
                  <w:gridSpan w:val="2"/>
                  <w:vMerge w:val="continue"/>
                  <w:vAlign w:val="center"/>
                </w:tcPr>
                <w:p w14:paraId="1BBBDF54">
                  <w:pPr>
                    <w:spacing w:line="360" w:lineRule="exact"/>
                    <w:jc w:val="center"/>
                    <w:rPr>
                      <w:bCs/>
                      <w:spacing w:val="-6"/>
                      <w:sz w:val="21"/>
                      <w:szCs w:val="21"/>
                    </w:rPr>
                  </w:pPr>
                </w:p>
              </w:tc>
              <w:tc>
                <w:tcPr>
                  <w:tcW w:w="2179" w:type="pct"/>
                  <w:gridSpan w:val="3"/>
                  <w:shd w:val="clear" w:color="auto" w:fill="auto"/>
                  <w:vAlign w:val="center"/>
                </w:tcPr>
                <w:p w14:paraId="11736B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分装室1#有机玻璃手套箱</w:t>
                  </w:r>
                </w:p>
              </w:tc>
              <w:tc>
                <w:tcPr>
                  <w:tcW w:w="382" w:type="pct"/>
                  <w:shd w:val="clear" w:color="auto" w:fill="auto"/>
                  <w:vAlign w:val="center"/>
                </w:tcPr>
                <w:p w14:paraId="13EF69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bidi="ar-SA"/>
                    </w:rPr>
                  </w:pPr>
                  <w:r>
                    <w:rPr>
                      <w:rFonts w:hint="eastAsia"/>
                      <w:bCs/>
                      <w:sz w:val="21"/>
                      <w:szCs w:val="21"/>
                      <w:lang w:val="en-US" w:eastAsia="zh-CN"/>
                    </w:rPr>
                    <w:t>1套</w:t>
                  </w:r>
                </w:p>
              </w:tc>
              <w:tc>
                <w:tcPr>
                  <w:tcW w:w="1331" w:type="pct"/>
                  <w:vMerge w:val="continue"/>
                  <w:tcBorders>
                    <w:right w:val="nil"/>
                  </w:tcBorders>
                  <w:vAlign w:val="center"/>
                </w:tcPr>
                <w:p w14:paraId="62A7DFCD">
                  <w:pPr>
                    <w:spacing w:line="360" w:lineRule="exact"/>
                    <w:jc w:val="center"/>
                    <w:rPr>
                      <w:spacing w:val="-6"/>
                      <w:sz w:val="21"/>
                      <w:szCs w:val="21"/>
                    </w:rPr>
                  </w:pPr>
                </w:p>
              </w:tc>
            </w:tr>
            <w:tr w14:paraId="46FD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3BE6C33F">
                  <w:pPr>
                    <w:spacing w:line="360" w:lineRule="exact"/>
                    <w:jc w:val="center"/>
                    <w:rPr>
                      <w:spacing w:val="-6"/>
                      <w:sz w:val="21"/>
                      <w:szCs w:val="21"/>
                    </w:rPr>
                  </w:pPr>
                </w:p>
              </w:tc>
              <w:tc>
                <w:tcPr>
                  <w:tcW w:w="505" w:type="pct"/>
                  <w:gridSpan w:val="2"/>
                  <w:vMerge w:val="continue"/>
                  <w:vAlign w:val="center"/>
                </w:tcPr>
                <w:p w14:paraId="1EDD2314">
                  <w:pPr>
                    <w:spacing w:line="360" w:lineRule="exact"/>
                    <w:jc w:val="center"/>
                    <w:rPr>
                      <w:bCs/>
                      <w:spacing w:val="-6"/>
                      <w:sz w:val="21"/>
                      <w:szCs w:val="21"/>
                    </w:rPr>
                  </w:pPr>
                </w:p>
              </w:tc>
              <w:tc>
                <w:tcPr>
                  <w:tcW w:w="2179" w:type="pct"/>
                  <w:gridSpan w:val="3"/>
                  <w:shd w:val="clear" w:color="auto" w:fill="auto"/>
                  <w:vAlign w:val="center"/>
                </w:tcPr>
                <w:p w14:paraId="24976B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药物转移铅盒</w:t>
                  </w:r>
                  <w:r>
                    <w:rPr>
                      <w:bCs/>
                      <w:sz w:val="21"/>
                      <w:szCs w:val="21"/>
                    </w:rPr>
                    <w:t>（10mm铅当量）</w:t>
                  </w:r>
                </w:p>
              </w:tc>
              <w:tc>
                <w:tcPr>
                  <w:tcW w:w="382" w:type="pct"/>
                  <w:shd w:val="clear" w:color="auto" w:fill="auto"/>
                  <w:vAlign w:val="center"/>
                </w:tcPr>
                <w:p w14:paraId="6013CB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1331" w:type="pct"/>
                  <w:vMerge w:val="continue"/>
                  <w:tcBorders>
                    <w:right w:val="nil"/>
                  </w:tcBorders>
                  <w:vAlign w:val="center"/>
                </w:tcPr>
                <w:p w14:paraId="7283D7E1">
                  <w:pPr>
                    <w:spacing w:line="360" w:lineRule="exact"/>
                    <w:jc w:val="center"/>
                    <w:rPr>
                      <w:spacing w:val="-6"/>
                      <w:sz w:val="21"/>
                      <w:szCs w:val="21"/>
                    </w:rPr>
                  </w:pPr>
                </w:p>
              </w:tc>
            </w:tr>
            <w:tr w14:paraId="72D1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12757A98">
                  <w:pPr>
                    <w:spacing w:line="360" w:lineRule="exact"/>
                    <w:jc w:val="center"/>
                    <w:rPr>
                      <w:spacing w:val="-6"/>
                      <w:sz w:val="21"/>
                      <w:szCs w:val="21"/>
                    </w:rPr>
                  </w:pPr>
                </w:p>
              </w:tc>
              <w:tc>
                <w:tcPr>
                  <w:tcW w:w="505" w:type="pct"/>
                  <w:gridSpan w:val="2"/>
                  <w:vMerge w:val="continue"/>
                  <w:vAlign w:val="center"/>
                </w:tcPr>
                <w:p w14:paraId="3FECD610">
                  <w:pPr>
                    <w:spacing w:line="360" w:lineRule="exact"/>
                    <w:jc w:val="center"/>
                    <w:rPr>
                      <w:bCs/>
                      <w:spacing w:val="-6"/>
                      <w:sz w:val="21"/>
                      <w:szCs w:val="21"/>
                    </w:rPr>
                  </w:pPr>
                </w:p>
              </w:tc>
              <w:tc>
                <w:tcPr>
                  <w:tcW w:w="2179" w:type="pct"/>
                  <w:gridSpan w:val="3"/>
                  <w:shd w:val="clear" w:color="auto" w:fill="auto"/>
                  <w:vAlign w:val="center"/>
                </w:tcPr>
                <w:p w14:paraId="7BDCEA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药物转移铅盒</w:t>
                  </w:r>
                  <w:r>
                    <w:rPr>
                      <w:bCs/>
                      <w:sz w:val="21"/>
                      <w:szCs w:val="21"/>
                    </w:rPr>
                    <w:t>（</w:t>
                  </w:r>
                  <w:r>
                    <w:rPr>
                      <w:rFonts w:hint="eastAsia"/>
                      <w:bCs/>
                      <w:sz w:val="21"/>
                      <w:szCs w:val="21"/>
                      <w:lang w:val="en-US" w:eastAsia="zh-CN"/>
                    </w:rPr>
                    <w:t>5</w:t>
                  </w:r>
                  <w:r>
                    <w:rPr>
                      <w:bCs/>
                      <w:sz w:val="21"/>
                      <w:szCs w:val="21"/>
                    </w:rPr>
                    <w:t>mm铅当量）</w:t>
                  </w:r>
                </w:p>
              </w:tc>
              <w:tc>
                <w:tcPr>
                  <w:tcW w:w="382" w:type="pct"/>
                  <w:shd w:val="clear" w:color="auto" w:fill="auto"/>
                  <w:vAlign w:val="center"/>
                </w:tcPr>
                <w:p w14:paraId="651062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1331" w:type="pct"/>
                  <w:vMerge w:val="continue"/>
                  <w:tcBorders>
                    <w:right w:val="nil"/>
                  </w:tcBorders>
                  <w:vAlign w:val="center"/>
                </w:tcPr>
                <w:p w14:paraId="40B17493">
                  <w:pPr>
                    <w:spacing w:line="360" w:lineRule="exact"/>
                    <w:jc w:val="center"/>
                    <w:rPr>
                      <w:spacing w:val="-6"/>
                      <w:sz w:val="21"/>
                      <w:szCs w:val="21"/>
                    </w:rPr>
                  </w:pPr>
                </w:p>
              </w:tc>
            </w:tr>
            <w:tr w14:paraId="1ACF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B5FACE0">
                  <w:pPr>
                    <w:spacing w:line="360" w:lineRule="exact"/>
                    <w:jc w:val="center"/>
                    <w:rPr>
                      <w:spacing w:val="-6"/>
                      <w:sz w:val="21"/>
                      <w:szCs w:val="21"/>
                    </w:rPr>
                  </w:pPr>
                </w:p>
              </w:tc>
              <w:tc>
                <w:tcPr>
                  <w:tcW w:w="505" w:type="pct"/>
                  <w:gridSpan w:val="2"/>
                  <w:vMerge w:val="continue"/>
                  <w:vAlign w:val="center"/>
                </w:tcPr>
                <w:p w14:paraId="2078196B">
                  <w:pPr>
                    <w:spacing w:line="360" w:lineRule="exact"/>
                    <w:jc w:val="center"/>
                    <w:rPr>
                      <w:bCs/>
                      <w:spacing w:val="-6"/>
                      <w:sz w:val="21"/>
                      <w:szCs w:val="21"/>
                    </w:rPr>
                  </w:pPr>
                </w:p>
              </w:tc>
              <w:tc>
                <w:tcPr>
                  <w:tcW w:w="2179" w:type="pct"/>
                  <w:gridSpan w:val="3"/>
                  <w:shd w:val="clear" w:color="auto" w:fill="auto"/>
                  <w:vAlign w:val="center"/>
                </w:tcPr>
                <w:p w14:paraId="0B01B4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注射器铅套</w:t>
                  </w:r>
                  <w:r>
                    <w:rPr>
                      <w:bCs/>
                      <w:sz w:val="21"/>
                      <w:szCs w:val="21"/>
                    </w:rPr>
                    <w:t>（10mm铅当量）</w:t>
                  </w:r>
                </w:p>
              </w:tc>
              <w:tc>
                <w:tcPr>
                  <w:tcW w:w="382" w:type="pct"/>
                  <w:shd w:val="clear" w:color="auto" w:fill="auto"/>
                  <w:vAlign w:val="center"/>
                </w:tcPr>
                <w:p w14:paraId="5B7D09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1331" w:type="pct"/>
                  <w:vMerge w:val="continue"/>
                  <w:tcBorders>
                    <w:right w:val="nil"/>
                  </w:tcBorders>
                  <w:vAlign w:val="center"/>
                </w:tcPr>
                <w:p w14:paraId="66DF2D07">
                  <w:pPr>
                    <w:spacing w:line="360" w:lineRule="exact"/>
                    <w:jc w:val="center"/>
                    <w:rPr>
                      <w:spacing w:val="-6"/>
                      <w:sz w:val="21"/>
                      <w:szCs w:val="21"/>
                    </w:rPr>
                  </w:pPr>
                </w:p>
              </w:tc>
            </w:tr>
            <w:tr w14:paraId="03EE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1FAD7703">
                  <w:pPr>
                    <w:spacing w:line="360" w:lineRule="exact"/>
                    <w:jc w:val="center"/>
                    <w:rPr>
                      <w:spacing w:val="-6"/>
                      <w:sz w:val="21"/>
                      <w:szCs w:val="21"/>
                    </w:rPr>
                  </w:pPr>
                </w:p>
              </w:tc>
              <w:tc>
                <w:tcPr>
                  <w:tcW w:w="505" w:type="pct"/>
                  <w:gridSpan w:val="2"/>
                  <w:vMerge w:val="continue"/>
                  <w:vAlign w:val="center"/>
                </w:tcPr>
                <w:p w14:paraId="5CBB708D">
                  <w:pPr>
                    <w:spacing w:line="360" w:lineRule="exact"/>
                    <w:jc w:val="center"/>
                    <w:rPr>
                      <w:bCs/>
                      <w:spacing w:val="-6"/>
                      <w:sz w:val="21"/>
                      <w:szCs w:val="21"/>
                    </w:rPr>
                  </w:pPr>
                </w:p>
              </w:tc>
              <w:tc>
                <w:tcPr>
                  <w:tcW w:w="2179" w:type="pct"/>
                  <w:gridSpan w:val="3"/>
                  <w:shd w:val="clear" w:color="auto" w:fill="auto"/>
                  <w:vAlign w:val="center"/>
                </w:tcPr>
                <w:p w14:paraId="432DEE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注射器铅套</w:t>
                  </w:r>
                  <w:r>
                    <w:rPr>
                      <w:bCs/>
                      <w:sz w:val="21"/>
                      <w:szCs w:val="21"/>
                    </w:rPr>
                    <w:t>（</w:t>
                  </w:r>
                  <w:r>
                    <w:rPr>
                      <w:rFonts w:hint="eastAsia"/>
                      <w:bCs/>
                      <w:sz w:val="21"/>
                      <w:szCs w:val="21"/>
                      <w:lang w:val="en-US" w:eastAsia="zh-CN"/>
                    </w:rPr>
                    <w:t>5</w:t>
                  </w:r>
                  <w:r>
                    <w:rPr>
                      <w:bCs/>
                      <w:sz w:val="21"/>
                      <w:szCs w:val="21"/>
                    </w:rPr>
                    <w:t>mm铅当量）</w:t>
                  </w:r>
                </w:p>
              </w:tc>
              <w:tc>
                <w:tcPr>
                  <w:tcW w:w="382" w:type="pct"/>
                  <w:shd w:val="clear" w:color="auto" w:fill="auto"/>
                  <w:vAlign w:val="center"/>
                </w:tcPr>
                <w:p w14:paraId="543113F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1331" w:type="pct"/>
                  <w:vMerge w:val="continue"/>
                  <w:tcBorders>
                    <w:right w:val="nil"/>
                  </w:tcBorders>
                  <w:vAlign w:val="center"/>
                </w:tcPr>
                <w:p w14:paraId="79D88EDF">
                  <w:pPr>
                    <w:spacing w:line="360" w:lineRule="exact"/>
                    <w:jc w:val="center"/>
                    <w:rPr>
                      <w:spacing w:val="-6"/>
                      <w:sz w:val="21"/>
                      <w:szCs w:val="21"/>
                    </w:rPr>
                  </w:pPr>
                </w:p>
              </w:tc>
            </w:tr>
            <w:tr w14:paraId="41B3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5DF07E72">
                  <w:pPr>
                    <w:spacing w:line="360" w:lineRule="exact"/>
                    <w:jc w:val="center"/>
                    <w:rPr>
                      <w:spacing w:val="-6"/>
                      <w:sz w:val="21"/>
                      <w:szCs w:val="21"/>
                    </w:rPr>
                  </w:pPr>
                </w:p>
              </w:tc>
              <w:tc>
                <w:tcPr>
                  <w:tcW w:w="505" w:type="pct"/>
                  <w:gridSpan w:val="2"/>
                  <w:vMerge w:val="continue"/>
                  <w:vAlign w:val="center"/>
                </w:tcPr>
                <w:p w14:paraId="6E2FC5A9">
                  <w:pPr>
                    <w:spacing w:line="360" w:lineRule="exact"/>
                    <w:jc w:val="center"/>
                    <w:rPr>
                      <w:bCs/>
                      <w:spacing w:val="-6"/>
                      <w:sz w:val="21"/>
                      <w:szCs w:val="21"/>
                    </w:rPr>
                  </w:pPr>
                </w:p>
              </w:tc>
              <w:tc>
                <w:tcPr>
                  <w:tcW w:w="2179" w:type="pct"/>
                  <w:gridSpan w:val="3"/>
                  <w:shd w:val="clear" w:color="auto" w:fill="auto"/>
                  <w:vAlign w:val="center"/>
                </w:tcPr>
                <w:p w14:paraId="39BED3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PET</w:t>
                  </w:r>
                  <w:r>
                    <w:rPr>
                      <w:sz w:val="21"/>
                      <w:szCs w:val="21"/>
                      <w:lang w:bidi="ar"/>
                    </w:rPr>
                    <w:t>注射窗</w:t>
                  </w:r>
                  <w:r>
                    <w:rPr>
                      <w:bCs/>
                      <w:sz w:val="21"/>
                      <w:szCs w:val="21"/>
                    </w:rPr>
                    <w:t>（50mm铅当量）</w:t>
                  </w:r>
                </w:p>
              </w:tc>
              <w:tc>
                <w:tcPr>
                  <w:tcW w:w="382" w:type="pct"/>
                  <w:shd w:val="clear" w:color="auto" w:fill="auto"/>
                  <w:vAlign w:val="center"/>
                </w:tcPr>
                <w:p w14:paraId="68D670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1个</w:t>
                  </w:r>
                </w:p>
              </w:tc>
              <w:tc>
                <w:tcPr>
                  <w:tcW w:w="1331" w:type="pct"/>
                  <w:vMerge w:val="continue"/>
                  <w:tcBorders>
                    <w:right w:val="nil"/>
                  </w:tcBorders>
                  <w:vAlign w:val="center"/>
                </w:tcPr>
                <w:p w14:paraId="05950A26">
                  <w:pPr>
                    <w:spacing w:line="360" w:lineRule="exact"/>
                    <w:jc w:val="center"/>
                    <w:rPr>
                      <w:spacing w:val="-6"/>
                      <w:sz w:val="21"/>
                      <w:szCs w:val="21"/>
                    </w:rPr>
                  </w:pPr>
                </w:p>
              </w:tc>
            </w:tr>
            <w:tr w14:paraId="0E23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0E980AE6">
                  <w:pPr>
                    <w:spacing w:line="360" w:lineRule="exact"/>
                    <w:jc w:val="center"/>
                    <w:rPr>
                      <w:spacing w:val="-6"/>
                      <w:sz w:val="21"/>
                      <w:szCs w:val="21"/>
                    </w:rPr>
                  </w:pPr>
                </w:p>
              </w:tc>
              <w:tc>
                <w:tcPr>
                  <w:tcW w:w="505" w:type="pct"/>
                  <w:gridSpan w:val="2"/>
                  <w:vMerge w:val="continue"/>
                  <w:vAlign w:val="center"/>
                </w:tcPr>
                <w:p w14:paraId="79E6C4C9">
                  <w:pPr>
                    <w:spacing w:line="360" w:lineRule="exact"/>
                    <w:jc w:val="center"/>
                    <w:rPr>
                      <w:bCs/>
                      <w:spacing w:val="-6"/>
                      <w:sz w:val="21"/>
                      <w:szCs w:val="21"/>
                    </w:rPr>
                  </w:pPr>
                </w:p>
              </w:tc>
              <w:tc>
                <w:tcPr>
                  <w:tcW w:w="2179" w:type="pct"/>
                  <w:gridSpan w:val="3"/>
                  <w:shd w:val="clear" w:color="auto" w:fill="auto"/>
                  <w:vAlign w:val="center"/>
                </w:tcPr>
                <w:p w14:paraId="25184B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ECT</w:t>
                  </w:r>
                  <w:r>
                    <w:rPr>
                      <w:sz w:val="21"/>
                      <w:szCs w:val="21"/>
                      <w:lang w:bidi="ar"/>
                    </w:rPr>
                    <w:t>注射窗</w:t>
                  </w:r>
                  <w:r>
                    <w:rPr>
                      <w:bCs/>
                      <w:sz w:val="21"/>
                      <w:szCs w:val="21"/>
                    </w:rPr>
                    <w:t>（5mm铅当量）</w:t>
                  </w:r>
                </w:p>
              </w:tc>
              <w:tc>
                <w:tcPr>
                  <w:tcW w:w="382" w:type="pct"/>
                  <w:shd w:val="clear" w:color="auto" w:fill="auto"/>
                  <w:vAlign w:val="center"/>
                </w:tcPr>
                <w:p w14:paraId="3020F0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1个</w:t>
                  </w:r>
                </w:p>
              </w:tc>
              <w:tc>
                <w:tcPr>
                  <w:tcW w:w="1331" w:type="pct"/>
                  <w:vMerge w:val="continue"/>
                  <w:tcBorders>
                    <w:right w:val="nil"/>
                  </w:tcBorders>
                  <w:vAlign w:val="center"/>
                </w:tcPr>
                <w:p w14:paraId="7AAB0673">
                  <w:pPr>
                    <w:spacing w:line="360" w:lineRule="exact"/>
                    <w:jc w:val="center"/>
                    <w:rPr>
                      <w:spacing w:val="-6"/>
                      <w:sz w:val="21"/>
                      <w:szCs w:val="21"/>
                    </w:rPr>
                  </w:pPr>
                </w:p>
              </w:tc>
            </w:tr>
            <w:tr w14:paraId="25AD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E18E5C6">
                  <w:pPr>
                    <w:spacing w:line="360" w:lineRule="exact"/>
                    <w:jc w:val="center"/>
                    <w:rPr>
                      <w:spacing w:val="-6"/>
                      <w:sz w:val="21"/>
                      <w:szCs w:val="21"/>
                    </w:rPr>
                  </w:pPr>
                </w:p>
              </w:tc>
              <w:tc>
                <w:tcPr>
                  <w:tcW w:w="505" w:type="pct"/>
                  <w:gridSpan w:val="2"/>
                  <w:vMerge w:val="continue"/>
                  <w:vAlign w:val="center"/>
                </w:tcPr>
                <w:p w14:paraId="1C33DCE9">
                  <w:pPr>
                    <w:spacing w:line="360" w:lineRule="exact"/>
                    <w:jc w:val="center"/>
                    <w:rPr>
                      <w:spacing w:val="-6"/>
                      <w:sz w:val="21"/>
                      <w:szCs w:val="21"/>
                    </w:rPr>
                  </w:pPr>
                </w:p>
              </w:tc>
              <w:tc>
                <w:tcPr>
                  <w:tcW w:w="2179" w:type="pct"/>
                  <w:gridSpan w:val="3"/>
                  <w:shd w:val="clear" w:color="auto" w:fill="auto"/>
                  <w:vAlign w:val="center"/>
                </w:tcPr>
                <w:p w14:paraId="205A08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PET</w:t>
                  </w:r>
                  <w:r>
                    <w:rPr>
                      <w:sz w:val="21"/>
                      <w:szCs w:val="21"/>
                      <w:lang w:bidi="ar"/>
                    </w:rPr>
                    <w:t>注射后等候室病人隔离铅屏风（</w:t>
                  </w:r>
                  <w:r>
                    <w:rPr>
                      <w:bCs/>
                      <w:sz w:val="21"/>
                      <w:szCs w:val="21"/>
                    </w:rPr>
                    <w:t>10mm铅当量</w:t>
                  </w:r>
                  <w:r>
                    <w:rPr>
                      <w:sz w:val="21"/>
                      <w:szCs w:val="21"/>
                      <w:lang w:bidi="ar"/>
                    </w:rPr>
                    <w:t>）</w:t>
                  </w:r>
                </w:p>
              </w:tc>
              <w:tc>
                <w:tcPr>
                  <w:tcW w:w="382" w:type="pct"/>
                  <w:shd w:val="clear" w:color="auto" w:fill="auto"/>
                  <w:vAlign w:val="center"/>
                </w:tcPr>
                <w:p w14:paraId="39142C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1331" w:type="pct"/>
                  <w:vMerge w:val="continue"/>
                  <w:tcBorders>
                    <w:right w:val="nil"/>
                  </w:tcBorders>
                  <w:vAlign w:val="center"/>
                </w:tcPr>
                <w:p w14:paraId="5601FF59">
                  <w:pPr>
                    <w:spacing w:line="360" w:lineRule="exact"/>
                    <w:jc w:val="center"/>
                    <w:rPr>
                      <w:spacing w:val="-6"/>
                      <w:sz w:val="21"/>
                      <w:szCs w:val="21"/>
                    </w:rPr>
                  </w:pPr>
                </w:p>
              </w:tc>
            </w:tr>
            <w:tr w14:paraId="659C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19FB001B">
                  <w:pPr>
                    <w:spacing w:line="360" w:lineRule="exact"/>
                    <w:jc w:val="center"/>
                    <w:rPr>
                      <w:spacing w:val="-6"/>
                      <w:sz w:val="21"/>
                      <w:szCs w:val="21"/>
                    </w:rPr>
                  </w:pPr>
                </w:p>
              </w:tc>
              <w:tc>
                <w:tcPr>
                  <w:tcW w:w="505" w:type="pct"/>
                  <w:gridSpan w:val="2"/>
                  <w:vMerge w:val="continue"/>
                  <w:vAlign w:val="center"/>
                </w:tcPr>
                <w:p w14:paraId="4D3FC86D">
                  <w:pPr>
                    <w:spacing w:line="360" w:lineRule="exact"/>
                    <w:jc w:val="center"/>
                    <w:rPr>
                      <w:bCs/>
                      <w:spacing w:val="-6"/>
                      <w:sz w:val="21"/>
                      <w:szCs w:val="21"/>
                    </w:rPr>
                  </w:pPr>
                </w:p>
              </w:tc>
              <w:tc>
                <w:tcPr>
                  <w:tcW w:w="2179" w:type="pct"/>
                  <w:gridSpan w:val="3"/>
                  <w:shd w:val="clear" w:color="auto" w:fill="auto"/>
                  <w:vAlign w:val="center"/>
                </w:tcPr>
                <w:p w14:paraId="22F8D5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ECT</w:t>
                  </w:r>
                  <w:r>
                    <w:rPr>
                      <w:sz w:val="21"/>
                      <w:szCs w:val="21"/>
                      <w:lang w:bidi="ar"/>
                    </w:rPr>
                    <w:t>注射后等候室病人隔离铅屏风（</w:t>
                  </w:r>
                  <w:r>
                    <w:rPr>
                      <w:rFonts w:hint="eastAsia"/>
                      <w:sz w:val="21"/>
                      <w:szCs w:val="21"/>
                      <w:lang w:val="en-US" w:eastAsia="zh-CN" w:bidi="ar"/>
                    </w:rPr>
                    <w:t>3</w:t>
                  </w:r>
                  <w:r>
                    <w:rPr>
                      <w:bCs/>
                      <w:sz w:val="21"/>
                      <w:szCs w:val="21"/>
                    </w:rPr>
                    <w:t>mm铅当量</w:t>
                  </w:r>
                  <w:r>
                    <w:rPr>
                      <w:sz w:val="21"/>
                      <w:szCs w:val="21"/>
                      <w:lang w:bidi="ar"/>
                    </w:rPr>
                    <w:t>）</w:t>
                  </w:r>
                </w:p>
              </w:tc>
              <w:tc>
                <w:tcPr>
                  <w:tcW w:w="382" w:type="pct"/>
                  <w:shd w:val="clear" w:color="auto" w:fill="auto"/>
                  <w:vAlign w:val="center"/>
                </w:tcPr>
                <w:p w14:paraId="3F2018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1331" w:type="pct"/>
                  <w:vMerge w:val="continue"/>
                  <w:tcBorders>
                    <w:right w:val="nil"/>
                  </w:tcBorders>
                  <w:vAlign w:val="center"/>
                </w:tcPr>
                <w:p w14:paraId="4D6638C3">
                  <w:pPr>
                    <w:spacing w:line="360" w:lineRule="exact"/>
                    <w:jc w:val="center"/>
                    <w:rPr>
                      <w:spacing w:val="-6"/>
                      <w:sz w:val="21"/>
                      <w:szCs w:val="21"/>
                    </w:rPr>
                  </w:pPr>
                </w:p>
              </w:tc>
            </w:tr>
            <w:tr w14:paraId="7F2E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3F338A2C">
                  <w:pPr>
                    <w:spacing w:line="360" w:lineRule="exact"/>
                    <w:jc w:val="center"/>
                    <w:rPr>
                      <w:spacing w:val="-6"/>
                      <w:sz w:val="21"/>
                      <w:szCs w:val="21"/>
                    </w:rPr>
                  </w:pPr>
                </w:p>
              </w:tc>
              <w:tc>
                <w:tcPr>
                  <w:tcW w:w="505" w:type="pct"/>
                  <w:gridSpan w:val="2"/>
                  <w:vMerge w:val="continue"/>
                  <w:vAlign w:val="center"/>
                </w:tcPr>
                <w:p w14:paraId="37489938">
                  <w:pPr>
                    <w:spacing w:line="360" w:lineRule="exact"/>
                    <w:jc w:val="center"/>
                    <w:rPr>
                      <w:bCs/>
                      <w:spacing w:val="-6"/>
                      <w:sz w:val="21"/>
                      <w:szCs w:val="21"/>
                    </w:rPr>
                  </w:pPr>
                </w:p>
              </w:tc>
              <w:tc>
                <w:tcPr>
                  <w:tcW w:w="2179" w:type="pct"/>
                  <w:gridSpan w:val="3"/>
                  <w:shd w:val="clear" w:color="auto" w:fill="auto"/>
                  <w:vAlign w:val="center"/>
                </w:tcPr>
                <w:p w14:paraId="772ACE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rPr>
                    <w:t>PET/CT机房</w:t>
                  </w:r>
                  <w:r>
                    <w:rPr>
                      <w:sz w:val="21"/>
                      <w:szCs w:val="21"/>
                      <w:lang w:bidi="ar"/>
                    </w:rPr>
                    <w:t>摆位铅屏风（</w:t>
                  </w:r>
                  <w:r>
                    <w:rPr>
                      <w:bCs/>
                      <w:sz w:val="21"/>
                      <w:szCs w:val="21"/>
                    </w:rPr>
                    <w:t>8mm铅当量</w:t>
                  </w:r>
                  <w:r>
                    <w:rPr>
                      <w:sz w:val="21"/>
                      <w:szCs w:val="21"/>
                      <w:lang w:bidi="ar"/>
                    </w:rPr>
                    <w:t>）</w:t>
                  </w:r>
                </w:p>
              </w:tc>
              <w:tc>
                <w:tcPr>
                  <w:tcW w:w="382" w:type="pct"/>
                  <w:shd w:val="clear" w:color="auto" w:fill="auto"/>
                  <w:vAlign w:val="center"/>
                </w:tcPr>
                <w:p w14:paraId="402E2C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1331" w:type="pct"/>
                  <w:vMerge w:val="continue"/>
                  <w:tcBorders>
                    <w:right w:val="nil"/>
                  </w:tcBorders>
                  <w:vAlign w:val="center"/>
                </w:tcPr>
                <w:p w14:paraId="46748565">
                  <w:pPr>
                    <w:spacing w:line="360" w:lineRule="exact"/>
                    <w:jc w:val="center"/>
                    <w:rPr>
                      <w:spacing w:val="-6"/>
                      <w:sz w:val="21"/>
                      <w:szCs w:val="21"/>
                    </w:rPr>
                  </w:pPr>
                </w:p>
              </w:tc>
            </w:tr>
            <w:tr w14:paraId="6022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F8EFE80">
                  <w:pPr>
                    <w:spacing w:line="360" w:lineRule="exact"/>
                    <w:jc w:val="center"/>
                    <w:rPr>
                      <w:spacing w:val="-6"/>
                      <w:sz w:val="21"/>
                      <w:szCs w:val="21"/>
                    </w:rPr>
                  </w:pPr>
                </w:p>
              </w:tc>
              <w:tc>
                <w:tcPr>
                  <w:tcW w:w="505" w:type="pct"/>
                  <w:gridSpan w:val="2"/>
                  <w:vMerge w:val="continue"/>
                  <w:vAlign w:val="center"/>
                </w:tcPr>
                <w:p w14:paraId="1BC64341">
                  <w:pPr>
                    <w:spacing w:line="360" w:lineRule="exact"/>
                    <w:jc w:val="center"/>
                    <w:rPr>
                      <w:bCs/>
                      <w:spacing w:val="-6"/>
                      <w:sz w:val="21"/>
                      <w:szCs w:val="21"/>
                    </w:rPr>
                  </w:pPr>
                </w:p>
              </w:tc>
              <w:tc>
                <w:tcPr>
                  <w:tcW w:w="2179" w:type="pct"/>
                  <w:gridSpan w:val="3"/>
                  <w:shd w:val="clear" w:color="auto" w:fill="auto"/>
                  <w:vAlign w:val="center"/>
                </w:tcPr>
                <w:p w14:paraId="200EC4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rPr>
                    <w:t>SPECT</w:t>
                  </w:r>
                  <w:r>
                    <w:rPr>
                      <w:sz w:val="21"/>
                      <w:szCs w:val="21"/>
                    </w:rPr>
                    <w:t>/CT机房</w:t>
                  </w:r>
                  <w:r>
                    <w:rPr>
                      <w:sz w:val="21"/>
                      <w:szCs w:val="21"/>
                      <w:lang w:bidi="ar"/>
                    </w:rPr>
                    <w:t>摆位铅屏风（</w:t>
                  </w:r>
                  <w:r>
                    <w:rPr>
                      <w:rFonts w:hint="eastAsia"/>
                      <w:bCs/>
                      <w:sz w:val="21"/>
                      <w:szCs w:val="21"/>
                      <w:lang w:val="en-US" w:eastAsia="zh-CN"/>
                    </w:rPr>
                    <w:t>3</w:t>
                  </w:r>
                  <w:r>
                    <w:rPr>
                      <w:bCs/>
                      <w:sz w:val="21"/>
                      <w:szCs w:val="21"/>
                    </w:rPr>
                    <w:t>mm铅当量</w:t>
                  </w:r>
                  <w:r>
                    <w:rPr>
                      <w:sz w:val="21"/>
                      <w:szCs w:val="21"/>
                      <w:lang w:bidi="ar"/>
                    </w:rPr>
                    <w:t>）</w:t>
                  </w:r>
                </w:p>
              </w:tc>
              <w:tc>
                <w:tcPr>
                  <w:tcW w:w="382" w:type="pct"/>
                  <w:shd w:val="clear" w:color="auto" w:fill="auto"/>
                  <w:vAlign w:val="center"/>
                </w:tcPr>
                <w:p w14:paraId="719212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1331" w:type="pct"/>
                  <w:vMerge w:val="continue"/>
                  <w:tcBorders>
                    <w:right w:val="nil"/>
                  </w:tcBorders>
                  <w:vAlign w:val="center"/>
                </w:tcPr>
                <w:p w14:paraId="0BD75D4B">
                  <w:pPr>
                    <w:spacing w:line="360" w:lineRule="exact"/>
                    <w:jc w:val="center"/>
                    <w:rPr>
                      <w:spacing w:val="-6"/>
                      <w:sz w:val="21"/>
                      <w:szCs w:val="21"/>
                    </w:rPr>
                  </w:pPr>
                </w:p>
              </w:tc>
            </w:tr>
            <w:tr w14:paraId="084E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307DB165">
                  <w:pPr>
                    <w:spacing w:line="360" w:lineRule="exact"/>
                    <w:jc w:val="center"/>
                    <w:rPr>
                      <w:spacing w:val="-6"/>
                      <w:sz w:val="21"/>
                      <w:szCs w:val="21"/>
                    </w:rPr>
                  </w:pPr>
                </w:p>
              </w:tc>
              <w:tc>
                <w:tcPr>
                  <w:tcW w:w="505" w:type="pct"/>
                  <w:gridSpan w:val="2"/>
                  <w:vMerge w:val="continue"/>
                  <w:vAlign w:val="center"/>
                </w:tcPr>
                <w:p w14:paraId="610B47E1">
                  <w:pPr>
                    <w:spacing w:line="360" w:lineRule="exact"/>
                    <w:jc w:val="center"/>
                    <w:rPr>
                      <w:bCs/>
                      <w:spacing w:val="-6"/>
                      <w:sz w:val="21"/>
                      <w:szCs w:val="21"/>
                    </w:rPr>
                  </w:pPr>
                </w:p>
              </w:tc>
              <w:tc>
                <w:tcPr>
                  <w:tcW w:w="2179" w:type="pct"/>
                  <w:gridSpan w:val="3"/>
                  <w:shd w:val="clear" w:color="auto" w:fill="auto"/>
                  <w:vAlign w:val="center"/>
                </w:tcPr>
                <w:p w14:paraId="08D17A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甲功室、敷贴室1#、2#病人隔离铅屏风（2</w:t>
                  </w:r>
                  <w:r>
                    <w:rPr>
                      <w:bCs/>
                      <w:sz w:val="21"/>
                      <w:szCs w:val="21"/>
                    </w:rPr>
                    <w:t>mm铅当量</w:t>
                  </w:r>
                  <w:r>
                    <w:rPr>
                      <w:rFonts w:hint="eastAsia"/>
                      <w:sz w:val="21"/>
                      <w:szCs w:val="21"/>
                      <w:lang w:val="en-US" w:eastAsia="zh-CN" w:bidi="ar"/>
                    </w:rPr>
                    <w:t>）</w:t>
                  </w:r>
                </w:p>
              </w:tc>
              <w:tc>
                <w:tcPr>
                  <w:tcW w:w="382" w:type="pct"/>
                  <w:shd w:val="clear" w:color="auto" w:fill="auto"/>
                  <w:vAlign w:val="center"/>
                </w:tcPr>
                <w:p w14:paraId="676597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bidi="ar"/>
                    </w:rPr>
                  </w:pPr>
                  <w:r>
                    <w:rPr>
                      <w:rFonts w:hint="eastAsia"/>
                      <w:sz w:val="21"/>
                      <w:szCs w:val="21"/>
                      <w:lang w:val="en-US" w:eastAsia="zh-CN" w:bidi="ar"/>
                    </w:rPr>
                    <w:t>3个</w:t>
                  </w:r>
                </w:p>
              </w:tc>
              <w:tc>
                <w:tcPr>
                  <w:tcW w:w="1331" w:type="pct"/>
                  <w:vMerge w:val="continue"/>
                  <w:tcBorders>
                    <w:right w:val="nil"/>
                  </w:tcBorders>
                  <w:vAlign w:val="center"/>
                </w:tcPr>
                <w:p w14:paraId="3F6106CC">
                  <w:pPr>
                    <w:spacing w:line="360" w:lineRule="exact"/>
                    <w:jc w:val="center"/>
                    <w:rPr>
                      <w:spacing w:val="-6"/>
                      <w:sz w:val="21"/>
                      <w:szCs w:val="21"/>
                    </w:rPr>
                  </w:pPr>
                </w:p>
              </w:tc>
            </w:tr>
            <w:tr w14:paraId="6366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487527F8">
                  <w:pPr>
                    <w:spacing w:line="360" w:lineRule="exact"/>
                    <w:jc w:val="center"/>
                    <w:rPr>
                      <w:spacing w:val="-6"/>
                      <w:sz w:val="21"/>
                      <w:szCs w:val="21"/>
                    </w:rPr>
                  </w:pPr>
                </w:p>
              </w:tc>
              <w:tc>
                <w:tcPr>
                  <w:tcW w:w="505" w:type="pct"/>
                  <w:gridSpan w:val="2"/>
                  <w:vMerge w:val="continue"/>
                  <w:vAlign w:val="center"/>
                </w:tcPr>
                <w:p w14:paraId="518B3321">
                  <w:pPr>
                    <w:spacing w:line="360" w:lineRule="exact"/>
                    <w:jc w:val="center"/>
                    <w:rPr>
                      <w:bCs/>
                      <w:spacing w:val="-6"/>
                      <w:sz w:val="21"/>
                      <w:szCs w:val="21"/>
                    </w:rPr>
                  </w:pPr>
                </w:p>
              </w:tc>
              <w:tc>
                <w:tcPr>
                  <w:tcW w:w="2179" w:type="pct"/>
                  <w:gridSpan w:val="3"/>
                  <w:shd w:val="clear" w:color="auto" w:fill="auto"/>
                  <w:vAlign w:val="center"/>
                </w:tcPr>
                <w:p w14:paraId="643551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PET留观</w:t>
                  </w:r>
                  <w:r>
                    <w:rPr>
                      <w:sz w:val="21"/>
                      <w:szCs w:val="21"/>
                      <w:lang w:bidi="ar"/>
                    </w:rPr>
                    <w:t>室病人隔离铅屏风（</w:t>
                  </w:r>
                  <w:r>
                    <w:rPr>
                      <w:bCs/>
                      <w:sz w:val="21"/>
                      <w:szCs w:val="21"/>
                    </w:rPr>
                    <w:t>10mm铅当量</w:t>
                  </w:r>
                  <w:r>
                    <w:rPr>
                      <w:sz w:val="21"/>
                      <w:szCs w:val="21"/>
                      <w:lang w:bidi="ar"/>
                    </w:rPr>
                    <w:t>）</w:t>
                  </w:r>
                </w:p>
              </w:tc>
              <w:tc>
                <w:tcPr>
                  <w:tcW w:w="382" w:type="pct"/>
                  <w:shd w:val="clear" w:color="auto" w:fill="auto"/>
                  <w:vAlign w:val="center"/>
                </w:tcPr>
                <w:p w14:paraId="6C7B03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1331" w:type="pct"/>
                  <w:vMerge w:val="continue"/>
                  <w:tcBorders>
                    <w:right w:val="nil"/>
                  </w:tcBorders>
                  <w:vAlign w:val="center"/>
                </w:tcPr>
                <w:p w14:paraId="463E699F">
                  <w:pPr>
                    <w:spacing w:line="360" w:lineRule="exact"/>
                    <w:jc w:val="center"/>
                    <w:rPr>
                      <w:spacing w:val="-6"/>
                      <w:sz w:val="21"/>
                      <w:szCs w:val="21"/>
                    </w:rPr>
                  </w:pPr>
                </w:p>
              </w:tc>
            </w:tr>
            <w:tr w14:paraId="27FC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D7E8F06">
                  <w:pPr>
                    <w:spacing w:line="360" w:lineRule="exact"/>
                    <w:jc w:val="center"/>
                    <w:rPr>
                      <w:spacing w:val="-6"/>
                      <w:sz w:val="21"/>
                      <w:szCs w:val="21"/>
                    </w:rPr>
                  </w:pPr>
                </w:p>
              </w:tc>
              <w:tc>
                <w:tcPr>
                  <w:tcW w:w="505" w:type="pct"/>
                  <w:gridSpan w:val="2"/>
                  <w:vMerge w:val="continue"/>
                  <w:vAlign w:val="center"/>
                </w:tcPr>
                <w:p w14:paraId="7B41D63B">
                  <w:pPr>
                    <w:spacing w:line="360" w:lineRule="exact"/>
                    <w:jc w:val="center"/>
                    <w:rPr>
                      <w:bCs/>
                      <w:spacing w:val="-6"/>
                      <w:sz w:val="21"/>
                      <w:szCs w:val="21"/>
                    </w:rPr>
                  </w:pPr>
                </w:p>
              </w:tc>
              <w:tc>
                <w:tcPr>
                  <w:tcW w:w="2179" w:type="pct"/>
                  <w:gridSpan w:val="3"/>
                  <w:shd w:val="clear" w:color="auto" w:fill="auto"/>
                  <w:vAlign w:val="center"/>
                </w:tcPr>
                <w:p w14:paraId="27C49B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ECT留观</w:t>
                  </w:r>
                  <w:r>
                    <w:rPr>
                      <w:sz w:val="21"/>
                      <w:szCs w:val="21"/>
                      <w:lang w:bidi="ar"/>
                    </w:rPr>
                    <w:t>室病人隔离铅屏风（</w:t>
                  </w:r>
                  <w:r>
                    <w:rPr>
                      <w:rFonts w:hint="eastAsia"/>
                      <w:bCs/>
                      <w:sz w:val="21"/>
                      <w:szCs w:val="21"/>
                      <w:lang w:val="en-US" w:eastAsia="zh-CN"/>
                    </w:rPr>
                    <w:t>3</w:t>
                  </w:r>
                  <w:r>
                    <w:rPr>
                      <w:bCs/>
                      <w:sz w:val="21"/>
                      <w:szCs w:val="21"/>
                    </w:rPr>
                    <w:t>mm铅当量</w:t>
                  </w:r>
                  <w:r>
                    <w:rPr>
                      <w:sz w:val="21"/>
                      <w:szCs w:val="21"/>
                      <w:lang w:bidi="ar"/>
                    </w:rPr>
                    <w:t>）</w:t>
                  </w:r>
                </w:p>
              </w:tc>
              <w:tc>
                <w:tcPr>
                  <w:tcW w:w="382" w:type="pct"/>
                  <w:shd w:val="clear" w:color="auto" w:fill="auto"/>
                  <w:vAlign w:val="center"/>
                </w:tcPr>
                <w:p w14:paraId="3C9915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1</w:t>
                  </w:r>
                  <w:r>
                    <w:rPr>
                      <w:sz w:val="21"/>
                      <w:szCs w:val="21"/>
                      <w:lang w:bidi="ar"/>
                    </w:rPr>
                    <w:t>个</w:t>
                  </w:r>
                </w:p>
              </w:tc>
              <w:tc>
                <w:tcPr>
                  <w:tcW w:w="1331" w:type="pct"/>
                  <w:vMerge w:val="continue"/>
                  <w:tcBorders>
                    <w:right w:val="nil"/>
                  </w:tcBorders>
                  <w:vAlign w:val="center"/>
                </w:tcPr>
                <w:p w14:paraId="57D52BC2">
                  <w:pPr>
                    <w:spacing w:line="360" w:lineRule="exact"/>
                    <w:jc w:val="center"/>
                    <w:rPr>
                      <w:spacing w:val="-6"/>
                      <w:sz w:val="21"/>
                      <w:szCs w:val="21"/>
                    </w:rPr>
                  </w:pPr>
                </w:p>
              </w:tc>
            </w:tr>
            <w:tr w14:paraId="59F9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0B85A3C">
                  <w:pPr>
                    <w:spacing w:line="360" w:lineRule="exact"/>
                    <w:jc w:val="center"/>
                    <w:rPr>
                      <w:spacing w:val="-6"/>
                      <w:sz w:val="21"/>
                      <w:szCs w:val="21"/>
                    </w:rPr>
                  </w:pPr>
                </w:p>
              </w:tc>
              <w:tc>
                <w:tcPr>
                  <w:tcW w:w="505" w:type="pct"/>
                  <w:gridSpan w:val="2"/>
                  <w:vMerge w:val="continue"/>
                  <w:vAlign w:val="center"/>
                </w:tcPr>
                <w:p w14:paraId="5B6A769A">
                  <w:pPr>
                    <w:spacing w:line="360" w:lineRule="exact"/>
                    <w:jc w:val="center"/>
                    <w:rPr>
                      <w:bCs/>
                      <w:spacing w:val="-6"/>
                      <w:sz w:val="21"/>
                      <w:szCs w:val="21"/>
                    </w:rPr>
                  </w:pPr>
                </w:p>
              </w:tc>
              <w:tc>
                <w:tcPr>
                  <w:tcW w:w="2179" w:type="pct"/>
                  <w:gridSpan w:val="3"/>
                  <w:shd w:val="clear" w:color="auto" w:fill="auto"/>
                  <w:vAlign w:val="center"/>
                </w:tcPr>
                <w:p w14:paraId="1E54E4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分装室2#Sr分药手套箱（</w:t>
                  </w:r>
                  <w:r>
                    <w:rPr>
                      <w:bCs/>
                      <w:sz w:val="21"/>
                      <w:szCs w:val="21"/>
                    </w:rPr>
                    <w:t>10mm铅当量</w:t>
                  </w:r>
                  <w:r>
                    <w:rPr>
                      <w:rFonts w:hint="eastAsia"/>
                      <w:sz w:val="21"/>
                      <w:szCs w:val="21"/>
                      <w:lang w:val="en-US" w:eastAsia="zh-CN" w:bidi="ar"/>
                    </w:rPr>
                    <w:t>）</w:t>
                  </w:r>
                </w:p>
              </w:tc>
              <w:tc>
                <w:tcPr>
                  <w:tcW w:w="382" w:type="pct"/>
                  <w:shd w:val="clear" w:color="auto" w:fill="auto"/>
                  <w:vAlign w:val="center"/>
                </w:tcPr>
                <w:p w14:paraId="39D7E4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1套</w:t>
                  </w:r>
                </w:p>
              </w:tc>
              <w:tc>
                <w:tcPr>
                  <w:tcW w:w="1331" w:type="pct"/>
                  <w:vMerge w:val="continue"/>
                  <w:tcBorders>
                    <w:right w:val="nil"/>
                  </w:tcBorders>
                  <w:vAlign w:val="center"/>
                </w:tcPr>
                <w:p w14:paraId="2A6AB048">
                  <w:pPr>
                    <w:spacing w:line="360" w:lineRule="exact"/>
                    <w:jc w:val="center"/>
                    <w:rPr>
                      <w:spacing w:val="-6"/>
                      <w:sz w:val="21"/>
                      <w:szCs w:val="21"/>
                    </w:rPr>
                  </w:pPr>
                </w:p>
              </w:tc>
            </w:tr>
            <w:tr w14:paraId="315D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5664B2AC">
                  <w:pPr>
                    <w:spacing w:line="360" w:lineRule="exact"/>
                    <w:jc w:val="center"/>
                    <w:rPr>
                      <w:spacing w:val="-6"/>
                      <w:sz w:val="21"/>
                      <w:szCs w:val="21"/>
                    </w:rPr>
                  </w:pPr>
                </w:p>
              </w:tc>
              <w:tc>
                <w:tcPr>
                  <w:tcW w:w="505" w:type="pct"/>
                  <w:gridSpan w:val="2"/>
                  <w:vMerge w:val="continue"/>
                  <w:vAlign w:val="center"/>
                </w:tcPr>
                <w:p w14:paraId="702741EE">
                  <w:pPr>
                    <w:spacing w:line="360" w:lineRule="exact"/>
                    <w:jc w:val="center"/>
                    <w:rPr>
                      <w:bCs/>
                      <w:spacing w:val="-6"/>
                      <w:sz w:val="21"/>
                      <w:szCs w:val="21"/>
                    </w:rPr>
                  </w:pPr>
                </w:p>
              </w:tc>
              <w:tc>
                <w:tcPr>
                  <w:tcW w:w="2179" w:type="pct"/>
                  <w:gridSpan w:val="3"/>
                  <w:shd w:val="clear" w:color="auto" w:fill="auto"/>
                  <w:vAlign w:val="center"/>
                </w:tcPr>
                <w:p w14:paraId="2D1932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分装室2#</w:t>
                  </w:r>
                  <w:r>
                    <w:rPr>
                      <w:sz w:val="21"/>
                      <w:szCs w:val="21"/>
                    </w:rPr>
                    <w:t>自动分药</w:t>
                  </w:r>
                  <w:r>
                    <w:rPr>
                      <w:rFonts w:hint="eastAsia"/>
                      <w:sz w:val="21"/>
                      <w:szCs w:val="21"/>
                      <w:lang w:val="en-US" w:eastAsia="zh-CN"/>
                    </w:rPr>
                    <w:t>手套箱（40</w:t>
                  </w:r>
                  <w:r>
                    <w:rPr>
                      <w:bCs/>
                      <w:sz w:val="21"/>
                      <w:szCs w:val="21"/>
                    </w:rPr>
                    <w:t>mm铅当量</w:t>
                  </w:r>
                  <w:r>
                    <w:rPr>
                      <w:rFonts w:hint="eastAsia"/>
                      <w:sz w:val="21"/>
                      <w:szCs w:val="21"/>
                      <w:lang w:val="en-US" w:eastAsia="zh-CN"/>
                    </w:rPr>
                    <w:t>）</w:t>
                  </w:r>
                </w:p>
              </w:tc>
              <w:tc>
                <w:tcPr>
                  <w:tcW w:w="382" w:type="pct"/>
                  <w:shd w:val="clear" w:color="auto" w:fill="auto"/>
                  <w:vAlign w:val="center"/>
                </w:tcPr>
                <w:p w14:paraId="3AABDB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1套</w:t>
                  </w:r>
                </w:p>
              </w:tc>
              <w:tc>
                <w:tcPr>
                  <w:tcW w:w="1331" w:type="pct"/>
                  <w:vMerge w:val="continue"/>
                  <w:tcBorders>
                    <w:right w:val="nil"/>
                  </w:tcBorders>
                  <w:vAlign w:val="center"/>
                </w:tcPr>
                <w:p w14:paraId="6E0E3040">
                  <w:pPr>
                    <w:spacing w:line="360" w:lineRule="exact"/>
                    <w:jc w:val="center"/>
                    <w:rPr>
                      <w:spacing w:val="-6"/>
                      <w:sz w:val="21"/>
                      <w:szCs w:val="21"/>
                    </w:rPr>
                  </w:pPr>
                </w:p>
              </w:tc>
            </w:tr>
            <w:tr w14:paraId="72F6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D9612CD">
                  <w:pPr>
                    <w:spacing w:line="360" w:lineRule="exact"/>
                    <w:jc w:val="center"/>
                    <w:rPr>
                      <w:spacing w:val="-6"/>
                      <w:sz w:val="21"/>
                      <w:szCs w:val="21"/>
                    </w:rPr>
                  </w:pPr>
                </w:p>
              </w:tc>
              <w:tc>
                <w:tcPr>
                  <w:tcW w:w="505" w:type="pct"/>
                  <w:gridSpan w:val="2"/>
                  <w:vMerge w:val="continue"/>
                  <w:vAlign w:val="center"/>
                </w:tcPr>
                <w:p w14:paraId="015C37AA">
                  <w:pPr>
                    <w:spacing w:line="360" w:lineRule="exact"/>
                    <w:jc w:val="center"/>
                    <w:rPr>
                      <w:bCs/>
                      <w:spacing w:val="-6"/>
                      <w:sz w:val="21"/>
                      <w:szCs w:val="21"/>
                    </w:rPr>
                  </w:pPr>
                </w:p>
              </w:tc>
              <w:tc>
                <w:tcPr>
                  <w:tcW w:w="2179" w:type="pct"/>
                  <w:gridSpan w:val="3"/>
                  <w:shd w:val="clear" w:color="auto" w:fill="auto"/>
                  <w:vAlign w:val="center"/>
                </w:tcPr>
                <w:p w14:paraId="49D02B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药物转移铅盒</w:t>
                  </w:r>
                  <w:r>
                    <w:rPr>
                      <w:bCs/>
                      <w:sz w:val="21"/>
                      <w:szCs w:val="21"/>
                    </w:rPr>
                    <w:t>（</w:t>
                  </w:r>
                  <w:r>
                    <w:rPr>
                      <w:rFonts w:hint="eastAsia"/>
                      <w:bCs/>
                      <w:sz w:val="21"/>
                      <w:szCs w:val="21"/>
                      <w:lang w:val="en-US" w:eastAsia="zh-CN"/>
                    </w:rPr>
                    <w:t>10</w:t>
                  </w:r>
                  <w:r>
                    <w:rPr>
                      <w:bCs/>
                      <w:sz w:val="21"/>
                      <w:szCs w:val="21"/>
                    </w:rPr>
                    <w:t>mm铅当量）</w:t>
                  </w:r>
                </w:p>
              </w:tc>
              <w:tc>
                <w:tcPr>
                  <w:tcW w:w="382" w:type="pct"/>
                  <w:shd w:val="clear" w:color="auto" w:fill="auto"/>
                  <w:vAlign w:val="center"/>
                </w:tcPr>
                <w:p w14:paraId="5222D1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1331" w:type="pct"/>
                  <w:vMerge w:val="continue"/>
                  <w:tcBorders>
                    <w:right w:val="nil"/>
                  </w:tcBorders>
                  <w:vAlign w:val="center"/>
                </w:tcPr>
                <w:p w14:paraId="1CD6AEA4">
                  <w:pPr>
                    <w:spacing w:line="360" w:lineRule="exact"/>
                    <w:jc w:val="center"/>
                    <w:rPr>
                      <w:spacing w:val="-6"/>
                      <w:sz w:val="21"/>
                      <w:szCs w:val="21"/>
                    </w:rPr>
                  </w:pPr>
                </w:p>
              </w:tc>
            </w:tr>
            <w:tr w14:paraId="1DAB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4AF9930">
                  <w:pPr>
                    <w:spacing w:line="360" w:lineRule="exact"/>
                    <w:jc w:val="center"/>
                    <w:rPr>
                      <w:spacing w:val="-6"/>
                      <w:sz w:val="21"/>
                      <w:szCs w:val="21"/>
                    </w:rPr>
                  </w:pPr>
                </w:p>
              </w:tc>
              <w:tc>
                <w:tcPr>
                  <w:tcW w:w="505" w:type="pct"/>
                  <w:gridSpan w:val="2"/>
                  <w:vMerge w:val="continue"/>
                  <w:vAlign w:val="center"/>
                </w:tcPr>
                <w:p w14:paraId="0F94B376">
                  <w:pPr>
                    <w:spacing w:line="360" w:lineRule="exact"/>
                    <w:jc w:val="center"/>
                    <w:rPr>
                      <w:bCs/>
                      <w:spacing w:val="-6"/>
                      <w:sz w:val="21"/>
                      <w:szCs w:val="21"/>
                    </w:rPr>
                  </w:pPr>
                </w:p>
              </w:tc>
              <w:tc>
                <w:tcPr>
                  <w:tcW w:w="2179" w:type="pct"/>
                  <w:gridSpan w:val="3"/>
                  <w:shd w:val="clear" w:color="auto" w:fill="auto"/>
                  <w:vAlign w:val="center"/>
                </w:tcPr>
                <w:p w14:paraId="56B574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注射器铅套</w:t>
                  </w:r>
                  <w:r>
                    <w:rPr>
                      <w:bCs/>
                      <w:sz w:val="21"/>
                      <w:szCs w:val="21"/>
                    </w:rPr>
                    <w:t>（10mm铅当量）</w:t>
                  </w:r>
                </w:p>
              </w:tc>
              <w:tc>
                <w:tcPr>
                  <w:tcW w:w="382" w:type="pct"/>
                  <w:shd w:val="clear" w:color="auto" w:fill="auto"/>
                  <w:vAlign w:val="center"/>
                </w:tcPr>
                <w:p w14:paraId="0A4093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
                    </w:rPr>
                  </w:pPr>
                  <w:r>
                    <w:rPr>
                      <w:sz w:val="21"/>
                      <w:szCs w:val="21"/>
                      <w:lang w:bidi="ar"/>
                    </w:rPr>
                    <w:t>2个</w:t>
                  </w:r>
                </w:p>
              </w:tc>
              <w:tc>
                <w:tcPr>
                  <w:tcW w:w="1331" w:type="pct"/>
                  <w:vMerge w:val="continue"/>
                  <w:tcBorders>
                    <w:right w:val="nil"/>
                  </w:tcBorders>
                  <w:vAlign w:val="center"/>
                </w:tcPr>
                <w:p w14:paraId="6A6772C9">
                  <w:pPr>
                    <w:spacing w:line="360" w:lineRule="exact"/>
                    <w:jc w:val="center"/>
                    <w:rPr>
                      <w:spacing w:val="-6"/>
                      <w:sz w:val="21"/>
                      <w:szCs w:val="21"/>
                    </w:rPr>
                  </w:pPr>
                </w:p>
              </w:tc>
            </w:tr>
            <w:tr w14:paraId="1719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53CE3A27">
                  <w:pPr>
                    <w:spacing w:line="360" w:lineRule="exact"/>
                    <w:jc w:val="center"/>
                    <w:rPr>
                      <w:spacing w:val="-6"/>
                      <w:sz w:val="21"/>
                      <w:szCs w:val="21"/>
                    </w:rPr>
                  </w:pPr>
                </w:p>
              </w:tc>
              <w:tc>
                <w:tcPr>
                  <w:tcW w:w="505" w:type="pct"/>
                  <w:gridSpan w:val="2"/>
                  <w:vMerge w:val="continue"/>
                  <w:vAlign w:val="center"/>
                </w:tcPr>
                <w:p w14:paraId="2999C9A1">
                  <w:pPr>
                    <w:spacing w:line="360" w:lineRule="exact"/>
                    <w:jc w:val="center"/>
                    <w:rPr>
                      <w:bCs/>
                      <w:spacing w:val="-6"/>
                      <w:sz w:val="21"/>
                      <w:szCs w:val="21"/>
                    </w:rPr>
                  </w:pPr>
                </w:p>
              </w:tc>
              <w:tc>
                <w:tcPr>
                  <w:tcW w:w="2179" w:type="pct"/>
                  <w:gridSpan w:val="3"/>
                  <w:shd w:val="clear" w:color="auto" w:fill="auto"/>
                  <w:vAlign w:val="center"/>
                </w:tcPr>
                <w:p w14:paraId="0BD8E8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Sr-89注射窗（10</w:t>
                  </w:r>
                  <w:r>
                    <w:rPr>
                      <w:bCs/>
                      <w:sz w:val="21"/>
                      <w:szCs w:val="21"/>
                    </w:rPr>
                    <w:t>mm铅当量</w:t>
                  </w:r>
                  <w:r>
                    <w:rPr>
                      <w:rFonts w:hint="eastAsia"/>
                      <w:sz w:val="21"/>
                      <w:szCs w:val="21"/>
                      <w:lang w:val="en-US" w:eastAsia="zh-CN" w:bidi="ar"/>
                    </w:rPr>
                    <w:t>）</w:t>
                  </w:r>
                </w:p>
              </w:tc>
              <w:tc>
                <w:tcPr>
                  <w:tcW w:w="382" w:type="pct"/>
                  <w:shd w:val="clear" w:color="auto" w:fill="auto"/>
                  <w:vAlign w:val="center"/>
                </w:tcPr>
                <w:p w14:paraId="1B63F2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bidi="ar"/>
                    </w:rPr>
                  </w:pPr>
                  <w:r>
                    <w:rPr>
                      <w:rFonts w:hint="eastAsia"/>
                      <w:sz w:val="21"/>
                      <w:szCs w:val="21"/>
                      <w:lang w:val="en-US" w:eastAsia="zh-CN" w:bidi="ar"/>
                    </w:rPr>
                    <w:t>1个</w:t>
                  </w:r>
                </w:p>
              </w:tc>
              <w:tc>
                <w:tcPr>
                  <w:tcW w:w="1331" w:type="pct"/>
                  <w:vMerge w:val="continue"/>
                  <w:tcBorders>
                    <w:right w:val="nil"/>
                  </w:tcBorders>
                  <w:vAlign w:val="center"/>
                </w:tcPr>
                <w:p w14:paraId="64511ED8">
                  <w:pPr>
                    <w:spacing w:line="360" w:lineRule="exact"/>
                    <w:jc w:val="center"/>
                    <w:rPr>
                      <w:spacing w:val="-6"/>
                      <w:sz w:val="21"/>
                      <w:szCs w:val="21"/>
                    </w:rPr>
                  </w:pPr>
                </w:p>
              </w:tc>
            </w:tr>
            <w:tr w14:paraId="2CFD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3DF97CD7">
                  <w:pPr>
                    <w:spacing w:line="360" w:lineRule="exact"/>
                    <w:jc w:val="center"/>
                    <w:rPr>
                      <w:spacing w:val="-6"/>
                      <w:sz w:val="21"/>
                      <w:szCs w:val="21"/>
                    </w:rPr>
                  </w:pPr>
                </w:p>
              </w:tc>
              <w:tc>
                <w:tcPr>
                  <w:tcW w:w="505" w:type="pct"/>
                  <w:gridSpan w:val="2"/>
                  <w:vMerge w:val="continue"/>
                  <w:vAlign w:val="center"/>
                </w:tcPr>
                <w:p w14:paraId="27371807">
                  <w:pPr>
                    <w:spacing w:line="360" w:lineRule="exact"/>
                    <w:jc w:val="center"/>
                    <w:rPr>
                      <w:bCs/>
                      <w:spacing w:val="-6"/>
                      <w:sz w:val="21"/>
                      <w:szCs w:val="21"/>
                    </w:rPr>
                  </w:pPr>
                </w:p>
              </w:tc>
              <w:tc>
                <w:tcPr>
                  <w:tcW w:w="2179" w:type="pct"/>
                  <w:gridSpan w:val="3"/>
                  <w:shd w:val="clear" w:color="auto" w:fill="auto"/>
                  <w:vAlign w:val="center"/>
                </w:tcPr>
                <w:p w14:paraId="07A188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rFonts w:hint="eastAsia"/>
                      <w:sz w:val="21"/>
                      <w:szCs w:val="21"/>
                      <w:lang w:val="en-US" w:eastAsia="zh-CN" w:bidi="ar"/>
                    </w:rPr>
                    <w:t>日间留观室甲亢病人隔离铅屏风（10mm铅当量）</w:t>
                  </w:r>
                </w:p>
              </w:tc>
              <w:tc>
                <w:tcPr>
                  <w:tcW w:w="382" w:type="pct"/>
                  <w:shd w:val="clear" w:color="auto" w:fill="auto"/>
                  <w:vAlign w:val="center"/>
                </w:tcPr>
                <w:p w14:paraId="5B0A0C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z w:val="21"/>
                      <w:szCs w:val="21"/>
                      <w:lang w:val="en-US" w:eastAsia="zh-CN" w:bidi="ar-SA"/>
                    </w:rPr>
                  </w:pPr>
                  <w:r>
                    <w:rPr>
                      <w:rFonts w:hint="eastAsia"/>
                      <w:bCs/>
                      <w:sz w:val="21"/>
                      <w:szCs w:val="21"/>
                      <w:lang w:val="en-US" w:eastAsia="zh-CN"/>
                    </w:rPr>
                    <w:t>2个</w:t>
                  </w:r>
                </w:p>
              </w:tc>
              <w:tc>
                <w:tcPr>
                  <w:tcW w:w="1331" w:type="pct"/>
                  <w:vMerge w:val="continue"/>
                  <w:tcBorders>
                    <w:right w:val="nil"/>
                  </w:tcBorders>
                  <w:vAlign w:val="center"/>
                </w:tcPr>
                <w:p w14:paraId="2B8F214F">
                  <w:pPr>
                    <w:spacing w:line="360" w:lineRule="exact"/>
                    <w:jc w:val="center"/>
                    <w:rPr>
                      <w:spacing w:val="-6"/>
                      <w:sz w:val="21"/>
                      <w:szCs w:val="21"/>
                    </w:rPr>
                  </w:pPr>
                </w:p>
              </w:tc>
            </w:tr>
            <w:tr w14:paraId="1A10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tcBorders>
                    <w:left w:val="nil"/>
                  </w:tcBorders>
                  <w:vAlign w:val="center"/>
                </w:tcPr>
                <w:p w14:paraId="732C2C16">
                  <w:pPr>
                    <w:spacing w:line="360" w:lineRule="exact"/>
                    <w:jc w:val="center"/>
                    <w:rPr>
                      <w:spacing w:val="-6"/>
                      <w:sz w:val="21"/>
                      <w:szCs w:val="21"/>
                    </w:rPr>
                  </w:pPr>
                </w:p>
              </w:tc>
              <w:tc>
                <w:tcPr>
                  <w:tcW w:w="505" w:type="pct"/>
                  <w:gridSpan w:val="2"/>
                  <w:shd w:val="clear" w:color="auto" w:fill="auto"/>
                  <w:vAlign w:val="center"/>
                </w:tcPr>
                <w:p w14:paraId="6A8133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sz w:val="21"/>
                      <w:szCs w:val="21"/>
                      <w:lang w:val="en-US" w:eastAsia="zh-CN" w:bidi="ar"/>
                    </w:rPr>
                  </w:pPr>
                  <w:r>
                    <w:rPr>
                      <w:rFonts w:hint="eastAsia"/>
                      <w:bCs/>
                      <w:sz w:val="21"/>
                      <w:szCs w:val="21"/>
                      <w:lang w:val="en-US" w:eastAsia="zh-CN"/>
                    </w:rPr>
                    <w:t>手术部和内镜中心</w:t>
                  </w:r>
                </w:p>
              </w:tc>
              <w:tc>
                <w:tcPr>
                  <w:tcW w:w="2179" w:type="pct"/>
                  <w:gridSpan w:val="3"/>
                  <w:shd w:val="clear" w:color="auto" w:fill="auto"/>
                  <w:vAlign w:val="center"/>
                </w:tcPr>
                <w:p w14:paraId="14C3EE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sz w:val="21"/>
                      <w:szCs w:val="21"/>
                    </w:rPr>
                    <w:t>控制区辐射工作场所主体结构（墙体、顶板、底板、门、窗等）屏蔽防护</w:t>
                  </w:r>
                </w:p>
              </w:tc>
              <w:tc>
                <w:tcPr>
                  <w:tcW w:w="382" w:type="pct"/>
                  <w:shd w:val="clear" w:color="auto" w:fill="auto"/>
                  <w:vAlign w:val="center"/>
                </w:tcPr>
                <w:p w14:paraId="388723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sz w:val="21"/>
                      <w:szCs w:val="21"/>
                    </w:rPr>
                    <w:t>/</w:t>
                  </w:r>
                </w:p>
              </w:tc>
              <w:tc>
                <w:tcPr>
                  <w:tcW w:w="1331" w:type="pct"/>
                  <w:tcBorders>
                    <w:right w:val="nil"/>
                  </w:tcBorders>
                  <w:vAlign w:val="center"/>
                </w:tcPr>
                <w:p w14:paraId="0C8C9E45">
                  <w:pPr>
                    <w:spacing w:line="360" w:lineRule="exact"/>
                    <w:jc w:val="center"/>
                    <w:rPr>
                      <w:spacing w:val="-6"/>
                      <w:sz w:val="21"/>
                      <w:szCs w:val="21"/>
                    </w:rPr>
                  </w:pPr>
                  <w:r>
                    <w:rPr>
                      <w:spacing w:val="-6"/>
                      <w:sz w:val="21"/>
                      <w:szCs w:val="21"/>
                    </w:rPr>
                    <w:t>运行时屏蔽设施外剂量当量率满足本次评价相应限值要求</w:t>
                  </w:r>
                </w:p>
              </w:tc>
            </w:tr>
            <w:tr w14:paraId="4CFD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tcBorders>
                    <w:left w:val="nil"/>
                  </w:tcBorders>
                  <w:vAlign w:val="center"/>
                </w:tcPr>
                <w:p w14:paraId="7982204C">
                  <w:pPr>
                    <w:spacing w:line="360" w:lineRule="exact"/>
                    <w:jc w:val="center"/>
                    <w:rPr>
                      <w:spacing w:val="-6"/>
                      <w:sz w:val="21"/>
                      <w:szCs w:val="21"/>
                    </w:rPr>
                  </w:pPr>
                  <w:r>
                    <w:rPr>
                      <w:spacing w:val="-6"/>
                      <w:sz w:val="21"/>
                      <w:szCs w:val="21"/>
                    </w:rPr>
                    <w:t>安全</w:t>
                  </w:r>
                </w:p>
                <w:p w14:paraId="101E090F">
                  <w:pPr>
                    <w:spacing w:line="360" w:lineRule="exact"/>
                    <w:jc w:val="center"/>
                    <w:rPr>
                      <w:spacing w:val="-6"/>
                      <w:sz w:val="21"/>
                      <w:szCs w:val="21"/>
                    </w:rPr>
                  </w:pPr>
                  <w:r>
                    <w:rPr>
                      <w:spacing w:val="-6"/>
                      <w:sz w:val="21"/>
                      <w:szCs w:val="21"/>
                    </w:rPr>
                    <w:t>装置</w:t>
                  </w:r>
                </w:p>
              </w:tc>
              <w:tc>
                <w:tcPr>
                  <w:tcW w:w="496" w:type="pct"/>
                  <w:vMerge w:val="restart"/>
                  <w:vAlign w:val="center"/>
                </w:tcPr>
                <w:p w14:paraId="6B4E4B41">
                  <w:pPr>
                    <w:spacing w:line="360" w:lineRule="exact"/>
                    <w:jc w:val="center"/>
                    <w:rPr>
                      <w:spacing w:val="-6"/>
                      <w:sz w:val="21"/>
                      <w:szCs w:val="21"/>
                    </w:rPr>
                  </w:pPr>
                  <w:r>
                    <w:rPr>
                      <w:rFonts w:hint="eastAsia"/>
                      <w:sz w:val="21"/>
                      <w:szCs w:val="21"/>
                      <w:lang w:val="en-US" w:eastAsia="zh-CN"/>
                    </w:rPr>
                    <w:t>核医学科</w:t>
                  </w:r>
                </w:p>
              </w:tc>
              <w:tc>
                <w:tcPr>
                  <w:tcW w:w="692" w:type="pct"/>
                  <w:gridSpan w:val="3"/>
                  <w:vMerge w:val="restart"/>
                  <w:vAlign w:val="center"/>
                </w:tcPr>
                <w:p w14:paraId="35A9EF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sz w:val="21"/>
                      <w:szCs w:val="21"/>
                    </w:rPr>
                    <w:t>PET/CT机房</w:t>
                  </w:r>
                  <w:r>
                    <w:rPr>
                      <w:rFonts w:hint="eastAsia"/>
                      <w:sz w:val="21"/>
                      <w:szCs w:val="21"/>
                      <w:lang w:eastAsia="zh-CN"/>
                    </w:rPr>
                    <w:t>、</w:t>
                  </w:r>
                  <w:r>
                    <w:rPr>
                      <w:rFonts w:hint="eastAsia"/>
                      <w:sz w:val="21"/>
                      <w:szCs w:val="21"/>
                      <w:lang w:val="en-US" w:eastAsia="zh-CN"/>
                    </w:rPr>
                    <w:t>SPECT/CT机房</w:t>
                  </w:r>
                </w:p>
              </w:tc>
              <w:tc>
                <w:tcPr>
                  <w:tcW w:w="1496" w:type="pct"/>
                  <w:vAlign w:val="center"/>
                </w:tcPr>
                <w:p w14:paraId="535226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rFonts w:hint="eastAsia"/>
                      <w:bCs/>
                      <w:sz w:val="21"/>
                      <w:szCs w:val="21"/>
                      <w:lang w:eastAsia="zh-CN"/>
                    </w:rPr>
                    <w:t>紧急制动</w:t>
                  </w:r>
                  <w:r>
                    <w:rPr>
                      <w:bCs/>
                      <w:sz w:val="21"/>
                      <w:szCs w:val="21"/>
                    </w:rPr>
                    <w:t>按钮</w:t>
                  </w:r>
                </w:p>
              </w:tc>
              <w:tc>
                <w:tcPr>
                  <w:tcW w:w="382" w:type="pct"/>
                  <w:vAlign w:val="center"/>
                </w:tcPr>
                <w:p w14:paraId="11A54F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sz w:val="21"/>
                      <w:szCs w:val="21"/>
                    </w:rPr>
                    <w:t>2个</w:t>
                  </w:r>
                </w:p>
              </w:tc>
              <w:tc>
                <w:tcPr>
                  <w:tcW w:w="1331" w:type="pct"/>
                  <w:vMerge w:val="restart"/>
                  <w:tcBorders>
                    <w:right w:val="nil"/>
                  </w:tcBorders>
                  <w:vAlign w:val="center"/>
                </w:tcPr>
                <w:p w14:paraId="0DE95F64">
                  <w:pPr>
                    <w:spacing w:line="360" w:lineRule="exact"/>
                    <w:jc w:val="center"/>
                    <w:rPr>
                      <w:spacing w:val="-6"/>
                      <w:sz w:val="21"/>
                      <w:szCs w:val="21"/>
                    </w:rPr>
                  </w:pPr>
                  <w:r>
                    <w:rPr>
                      <w:spacing w:val="-6"/>
                      <w:sz w:val="21"/>
                      <w:szCs w:val="21"/>
                    </w:rPr>
                    <w:t>需按表10章节要求检查所有安全装置的有效性，是否满足冗余性、多样性和独立性要求。</w:t>
                  </w:r>
                </w:p>
              </w:tc>
            </w:tr>
            <w:tr w14:paraId="5F6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8F1B63E">
                  <w:pPr>
                    <w:spacing w:line="360" w:lineRule="exact"/>
                    <w:jc w:val="center"/>
                    <w:rPr>
                      <w:spacing w:val="-6"/>
                      <w:sz w:val="21"/>
                      <w:szCs w:val="21"/>
                    </w:rPr>
                  </w:pPr>
                </w:p>
              </w:tc>
              <w:tc>
                <w:tcPr>
                  <w:tcW w:w="496" w:type="pct"/>
                  <w:vMerge w:val="continue"/>
                  <w:vAlign w:val="center"/>
                </w:tcPr>
                <w:p w14:paraId="5BE92D02">
                  <w:pPr>
                    <w:spacing w:line="360" w:lineRule="exact"/>
                    <w:jc w:val="center"/>
                    <w:rPr>
                      <w:spacing w:val="-6"/>
                      <w:sz w:val="21"/>
                      <w:szCs w:val="21"/>
                    </w:rPr>
                  </w:pPr>
                </w:p>
              </w:tc>
              <w:tc>
                <w:tcPr>
                  <w:tcW w:w="692" w:type="pct"/>
                  <w:gridSpan w:val="3"/>
                  <w:vMerge w:val="continue"/>
                  <w:vAlign w:val="center"/>
                </w:tcPr>
                <w:p w14:paraId="1B708051">
                  <w:pPr>
                    <w:spacing w:line="360" w:lineRule="exact"/>
                    <w:jc w:val="center"/>
                    <w:rPr>
                      <w:spacing w:val="-6"/>
                      <w:sz w:val="21"/>
                      <w:szCs w:val="21"/>
                    </w:rPr>
                  </w:pPr>
                </w:p>
              </w:tc>
              <w:tc>
                <w:tcPr>
                  <w:tcW w:w="1496" w:type="pct"/>
                  <w:vAlign w:val="center"/>
                </w:tcPr>
                <w:p w14:paraId="45F76E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bCs/>
                      <w:sz w:val="21"/>
                      <w:szCs w:val="21"/>
                    </w:rPr>
                    <w:t>工作状态指示灯（门-灯联锁）</w:t>
                  </w:r>
                </w:p>
              </w:tc>
              <w:tc>
                <w:tcPr>
                  <w:tcW w:w="382" w:type="pct"/>
                  <w:vAlign w:val="center"/>
                </w:tcPr>
                <w:p w14:paraId="4045E5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sz w:val="21"/>
                      <w:szCs w:val="21"/>
                    </w:rPr>
                    <w:t>2个</w:t>
                  </w:r>
                </w:p>
              </w:tc>
              <w:tc>
                <w:tcPr>
                  <w:tcW w:w="1331" w:type="pct"/>
                  <w:vMerge w:val="continue"/>
                  <w:tcBorders>
                    <w:right w:val="nil"/>
                  </w:tcBorders>
                  <w:vAlign w:val="center"/>
                </w:tcPr>
                <w:p w14:paraId="54872375">
                  <w:pPr>
                    <w:spacing w:line="360" w:lineRule="exact"/>
                    <w:jc w:val="center"/>
                    <w:rPr>
                      <w:spacing w:val="-6"/>
                      <w:sz w:val="21"/>
                      <w:szCs w:val="21"/>
                    </w:rPr>
                  </w:pPr>
                </w:p>
              </w:tc>
            </w:tr>
            <w:tr w14:paraId="61B5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3BBD274F">
                  <w:pPr>
                    <w:spacing w:line="360" w:lineRule="exact"/>
                    <w:jc w:val="center"/>
                    <w:rPr>
                      <w:spacing w:val="-6"/>
                      <w:sz w:val="21"/>
                      <w:szCs w:val="21"/>
                    </w:rPr>
                  </w:pPr>
                </w:p>
              </w:tc>
              <w:tc>
                <w:tcPr>
                  <w:tcW w:w="496" w:type="pct"/>
                  <w:vMerge w:val="continue"/>
                  <w:vAlign w:val="center"/>
                </w:tcPr>
                <w:p w14:paraId="6299CEF3">
                  <w:pPr>
                    <w:spacing w:line="360" w:lineRule="exact"/>
                    <w:jc w:val="center"/>
                    <w:rPr>
                      <w:spacing w:val="-6"/>
                      <w:sz w:val="21"/>
                      <w:szCs w:val="21"/>
                    </w:rPr>
                  </w:pPr>
                </w:p>
              </w:tc>
              <w:tc>
                <w:tcPr>
                  <w:tcW w:w="692" w:type="pct"/>
                  <w:gridSpan w:val="3"/>
                  <w:vMerge w:val="continue"/>
                  <w:vAlign w:val="center"/>
                </w:tcPr>
                <w:p w14:paraId="41A52488">
                  <w:pPr>
                    <w:spacing w:line="360" w:lineRule="exact"/>
                    <w:jc w:val="center"/>
                    <w:rPr>
                      <w:spacing w:val="-6"/>
                      <w:sz w:val="21"/>
                      <w:szCs w:val="21"/>
                    </w:rPr>
                  </w:pPr>
                </w:p>
              </w:tc>
              <w:tc>
                <w:tcPr>
                  <w:tcW w:w="1496" w:type="pct"/>
                  <w:vAlign w:val="center"/>
                </w:tcPr>
                <w:p w14:paraId="777750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bCs/>
                      <w:sz w:val="21"/>
                      <w:szCs w:val="21"/>
                    </w:rPr>
                    <w:t>语音播报及对讲装置</w:t>
                  </w:r>
                </w:p>
              </w:tc>
              <w:tc>
                <w:tcPr>
                  <w:tcW w:w="382" w:type="pct"/>
                  <w:vAlign w:val="center"/>
                </w:tcPr>
                <w:p w14:paraId="375BB3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sz w:val="21"/>
                      <w:szCs w:val="21"/>
                    </w:rPr>
                    <w:t>2套</w:t>
                  </w:r>
                </w:p>
              </w:tc>
              <w:tc>
                <w:tcPr>
                  <w:tcW w:w="1331" w:type="pct"/>
                  <w:vMerge w:val="continue"/>
                  <w:tcBorders>
                    <w:right w:val="nil"/>
                  </w:tcBorders>
                  <w:vAlign w:val="center"/>
                </w:tcPr>
                <w:p w14:paraId="53F7BA5F">
                  <w:pPr>
                    <w:spacing w:line="360" w:lineRule="exact"/>
                    <w:jc w:val="center"/>
                    <w:rPr>
                      <w:spacing w:val="-6"/>
                      <w:sz w:val="21"/>
                      <w:szCs w:val="21"/>
                    </w:rPr>
                  </w:pPr>
                </w:p>
              </w:tc>
            </w:tr>
            <w:tr w14:paraId="6938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012CB94E">
                  <w:pPr>
                    <w:spacing w:line="360" w:lineRule="exact"/>
                    <w:jc w:val="center"/>
                    <w:rPr>
                      <w:spacing w:val="-6"/>
                      <w:sz w:val="21"/>
                      <w:szCs w:val="21"/>
                    </w:rPr>
                  </w:pPr>
                </w:p>
              </w:tc>
              <w:tc>
                <w:tcPr>
                  <w:tcW w:w="496" w:type="pct"/>
                  <w:vMerge w:val="continue"/>
                  <w:vAlign w:val="center"/>
                </w:tcPr>
                <w:p w14:paraId="2BCD9AC3">
                  <w:pPr>
                    <w:spacing w:line="360" w:lineRule="exact"/>
                    <w:jc w:val="center"/>
                    <w:rPr>
                      <w:spacing w:val="-6"/>
                      <w:sz w:val="21"/>
                      <w:szCs w:val="21"/>
                    </w:rPr>
                  </w:pPr>
                </w:p>
              </w:tc>
              <w:tc>
                <w:tcPr>
                  <w:tcW w:w="2188" w:type="pct"/>
                  <w:gridSpan w:val="4"/>
                  <w:shd w:val="clear" w:color="auto" w:fill="auto"/>
                  <w:vAlign w:val="center"/>
                </w:tcPr>
                <w:p w14:paraId="09B6F1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w:t>
                  </w:r>
                  <w:r>
                    <w:rPr>
                      <w:sz w:val="21"/>
                      <w:szCs w:val="21"/>
                    </w:rPr>
                    <w:t>、</w:t>
                  </w:r>
                  <w:r>
                    <w:rPr>
                      <w:rFonts w:hint="eastAsia"/>
                      <w:sz w:val="21"/>
                      <w:szCs w:val="21"/>
                      <w:lang w:eastAsia="zh-CN"/>
                    </w:rPr>
                    <w:t>放废暂存间</w:t>
                  </w:r>
                  <w:r>
                    <w:rPr>
                      <w:sz w:val="21"/>
                      <w:szCs w:val="21"/>
                      <w:lang w:bidi="ar"/>
                    </w:rPr>
                    <w:t>监控摄像头</w:t>
                  </w:r>
                </w:p>
              </w:tc>
              <w:tc>
                <w:tcPr>
                  <w:tcW w:w="382" w:type="pct"/>
                  <w:shd w:val="clear" w:color="auto" w:fill="auto"/>
                  <w:vAlign w:val="center"/>
                </w:tcPr>
                <w:p w14:paraId="4A69E4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3</w:t>
                  </w:r>
                  <w:r>
                    <w:rPr>
                      <w:sz w:val="21"/>
                      <w:szCs w:val="21"/>
                    </w:rPr>
                    <w:t>个</w:t>
                  </w:r>
                </w:p>
              </w:tc>
              <w:tc>
                <w:tcPr>
                  <w:tcW w:w="1331" w:type="pct"/>
                  <w:vMerge w:val="restart"/>
                  <w:tcBorders>
                    <w:right w:val="nil"/>
                  </w:tcBorders>
                  <w:vAlign w:val="center"/>
                </w:tcPr>
                <w:p w14:paraId="5B7D1915">
                  <w:pPr>
                    <w:spacing w:line="360" w:lineRule="exact"/>
                    <w:jc w:val="center"/>
                    <w:rPr>
                      <w:spacing w:val="-6"/>
                      <w:sz w:val="21"/>
                      <w:szCs w:val="21"/>
                    </w:rPr>
                  </w:pPr>
                  <w:r>
                    <w:rPr>
                      <w:spacing w:val="-6"/>
                      <w:sz w:val="21"/>
                      <w:szCs w:val="21"/>
                    </w:rPr>
                    <w:t>查验安全设施是否按要求落实，并验证其有效性</w:t>
                  </w:r>
                </w:p>
              </w:tc>
            </w:tr>
            <w:tr w14:paraId="40E4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8EEA053">
                  <w:pPr>
                    <w:spacing w:line="360" w:lineRule="exact"/>
                    <w:jc w:val="center"/>
                    <w:rPr>
                      <w:spacing w:val="-6"/>
                      <w:sz w:val="21"/>
                      <w:szCs w:val="21"/>
                    </w:rPr>
                  </w:pPr>
                </w:p>
              </w:tc>
              <w:tc>
                <w:tcPr>
                  <w:tcW w:w="496" w:type="pct"/>
                  <w:vMerge w:val="continue"/>
                  <w:vAlign w:val="center"/>
                </w:tcPr>
                <w:p w14:paraId="658966C4">
                  <w:pPr>
                    <w:spacing w:line="360" w:lineRule="exact"/>
                    <w:jc w:val="center"/>
                    <w:rPr>
                      <w:spacing w:val="-6"/>
                      <w:sz w:val="21"/>
                      <w:szCs w:val="21"/>
                    </w:rPr>
                  </w:pPr>
                </w:p>
              </w:tc>
              <w:tc>
                <w:tcPr>
                  <w:tcW w:w="2188" w:type="pct"/>
                  <w:gridSpan w:val="4"/>
                  <w:shd w:val="clear" w:color="auto" w:fill="auto"/>
                  <w:vAlign w:val="center"/>
                </w:tcPr>
                <w:p w14:paraId="63386C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储源室2#、敷贴室1#、敷贴室2#</w:t>
                  </w:r>
                  <w:r>
                    <w:rPr>
                      <w:bCs/>
                      <w:sz w:val="21"/>
                      <w:szCs w:val="21"/>
                    </w:rPr>
                    <w:t>双人双锁保险柜</w:t>
                  </w:r>
                </w:p>
              </w:tc>
              <w:tc>
                <w:tcPr>
                  <w:tcW w:w="382" w:type="pct"/>
                  <w:shd w:val="clear" w:color="auto" w:fill="auto"/>
                  <w:vAlign w:val="center"/>
                </w:tcPr>
                <w:p w14:paraId="06A782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4</w:t>
                  </w:r>
                  <w:r>
                    <w:rPr>
                      <w:sz w:val="21"/>
                      <w:szCs w:val="21"/>
                    </w:rPr>
                    <w:t>个</w:t>
                  </w:r>
                </w:p>
              </w:tc>
              <w:tc>
                <w:tcPr>
                  <w:tcW w:w="1331" w:type="pct"/>
                  <w:vMerge w:val="continue"/>
                  <w:tcBorders>
                    <w:right w:val="nil"/>
                  </w:tcBorders>
                  <w:vAlign w:val="center"/>
                </w:tcPr>
                <w:p w14:paraId="633344D7">
                  <w:pPr>
                    <w:spacing w:line="360" w:lineRule="exact"/>
                    <w:jc w:val="center"/>
                    <w:rPr>
                      <w:spacing w:val="-6"/>
                      <w:sz w:val="21"/>
                      <w:szCs w:val="21"/>
                    </w:rPr>
                  </w:pPr>
                </w:p>
              </w:tc>
            </w:tr>
            <w:tr w14:paraId="5CCB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6E0602E">
                  <w:pPr>
                    <w:spacing w:line="360" w:lineRule="exact"/>
                    <w:jc w:val="center"/>
                    <w:rPr>
                      <w:spacing w:val="-6"/>
                      <w:sz w:val="21"/>
                      <w:szCs w:val="21"/>
                    </w:rPr>
                  </w:pPr>
                </w:p>
              </w:tc>
              <w:tc>
                <w:tcPr>
                  <w:tcW w:w="496" w:type="pct"/>
                  <w:vMerge w:val="continue"/>
                  <w:vAlign w:val="center"/>
                </w:tcPr>
                <w:p w14:paraId="08D67B6A">
                  <w:pPr>
                    <w:spacing w:line="360" w:lineRule="exact"/>
                    <w:jc w:val="center"/>
                    <w:rPr>
                      <w:spacing w:val="-6"/>
                      <w:sz w:val="21"/>
                      <w:szCs w:val="21"/>
                    </w:rPr>
                  </w:pPr>
                </w:p>
              </w:tc>
              <w:tc>
                <w:tcPr>
                  <w:tcW w:w="2188" w:type="pct"/>
                  <w:gridSpan w:val="4"/>
                  <w:shd w:val="clear" w:color="auto" w:fill="auto"/>
                  <w:vAlign w:val="center"/>
                </w:tcPr>
                <w:p w14:paraId="274935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w:t>
                  </w:r>
                  <w:r>
                    <w:rPr>
                      <w:sz w:val="21"/>
                      <w:szCs w:val="21"/>
                      <w:lang w:bidi="ar"/>
                    </w:rPr>
                    <w:t>入侵防盗报警装置</w:t>
                  </w:r>
                </w:p>
              </w:tc>
              <w:tc>
                <w:tcPr>
                  <w:tcW w:w="382" w:type="pct"/>
                  <w:shd w:val="clear" w:color="auto" w:fill="auto"/>
                  <w:vAlign w:val="center"/>
                </w:tcPr>
                <w:p w14:paraId="3E9823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2</w:t>
                  </w:r>
                  <w:r>
                    <w:rPr>
                      <w:sz w:val="21"/>
                      <w:szCs w:val="21"/>
                    </w:rPr>
                    <w:t>个</w:t>
                  </w:r>
                </w:p>
              </w:tc>
              <w:tc>
                <w:tcPr>
                  <w:tcW w:w="1331" w:type="pct"/>
                  <w:vMerge w:val="continue"/>
                  <w:tcBorders>
                    <w:right w:val="nil"/>
                  </w:tcBorders>
                  <w:vAlign w:val="center"/>
                </w:tcPr>
                <w:p w14:paraId="6DA48D41">
                  <w:pPr>
                    <w:spacing w:line="360" w:lineRule="exact"/>
                    <w:jc w:val="center"/>
                    <w:rPr>
                      <w:spacing w:val="-6"/>
                      <w:sz w:val="21"/>
                      <w:szCs w:val="21"/>
                    </w:rPr>
                  </w:pPr>
                </w:p>
              </w:tc>
            </w:tr>
            <w:tr w14:paraId="639C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15F9B692">
                  <w:pPr>
                    <w:spacing w:line="360" w:lineRule="exact"/>
                    <w:jc w:val="center"/>
                    <w:rPr>
                      <w:spacing w:val="-6"/>
                      <w:sz w:val="21"/>
                      <w:szCs w:val="21"/>
                    </w:rPr>
                  </w:pPr>
                </w:p>
              </w:tc>
              <w:tc>
                <w:tcPr>
                  <w:tcW w:w="496" w:type="pct"/>
                  <w:vMerge w:val="continue"/>
                  <w:vAlign w:val="center"/>
                </w:tcPr>
                <w:p w14:paraId="27DDCB51">
                  <w:pPr>
                    <w:spacing w:line="360" w:lineRule="exact"/>
                    <w:jc w:val="center"/>
                    <w:rPr>
                      <w:spacing w:val="-6"/>
                      <w:sz w:val="21"/>
                      <w:szCs w:val="21"/>
                    </w:rPr>
                  </w:pPr>
                </w:p>
              </w:tc>
              <w:tc>
                <w:tcPr>
                  <w:tcW w:w="2188" w:type="pct"/>
                  <w:gridSpan w:val="4"/>
                  <w:shd w:val="clear" w:color="auto" w:fill="auto"/>
                  <w:vAlign w:val="center"/>
                </w:tcPr>
                <w:p w14:paraId="02CDB8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分装室</w:t>
                  </w:r>
                  <w:r>
                    <w:rPr>
                      <w:rFonts w:hint="eastAsia"/>
                      <w:sz w:val="21"/>
                      <w:szCs w:val="21"/>
                      <w:lang w:val="en-US" w:eastAsia="zh-CN"/>
                    </w:rPr>
                    <w:t>1#、分装室2#</w:t>
                  </w:r>
                  <w:r>
                    <w:rPr>
                      <w:sz w:val="21"/>
                      <w:szCs w:val="21"/>
                    </w:rPr>
                    <w:t>、</w:t>
                  </w:r>
                  <w:r>
                    <w:rPr>
                      <w:bCs/>
                      <w:sz w:val="21"/>
                      <w:szCs w:val="21"/>
                    </w:rPr>
                    <w:t>储源室</w:t>
                  </w:r>
                  <w:r>
                    <w:rPr>
                      <w:rFonts w:hint="eastAsia"/>
                      <w:bCs/>
                      <w:sz w:val="21"/>
                      <w:szCs w:val="21"/>
                      <w:lang w:val="en-US" w:eastAsia="zh-CN"/>
                    </w:rPr>
                    <w:t>1#</w:t>
                  </w:r>
                  <w:r>
                    <w:rPr>
                      <w:bCs/>
                      <w:sz w:val="21"/>
                      <w:szCs w:val="21"/>
                    </w:rPr>
                    <w:t>、</w:t>
                  </w:r>
                  <w:r>
                    <w:rPr>
                      <w:rFonts w:hint="eastAsia"/>
                      <w:bCs/>
                      <w:sz w:val="21"/>
                      <w:szCs w:val="21"/>
                      <w:lang w:val="en-US" w:eastAsia="zh-CN"/>
                    </w:rPr>
                    <w:t>储源室2#、</w:t>
                  </w:r>
                  <w:r>
                    <w:rPr>
                      <w:rFonts w:hint="eastAsia"/>
                      <w:sz w:val="21"/>
                      <w:szCs w:val="21"/>
                      <w:lang w:val="en-US" w:eastAsia="zh-CN"/>
                    </w:rPr>
                    <w:t>I-131服药室、3个病人出入口缓冲区</w:t>
                  </w:r>
                  <w:r>
                    <w:rPr>
                      <w:sz w:val="21"/>
                      <w:szCs w:val="21"/>
                      <w:lang w:bidi="ar"/>
                    </w:rPr>
                    <w:t>固定式γ探头</w:t>
                  </w:r>
                </w:p>
              </w:tc>
              <w:tc>
                <w:tcPr>
                  <w:tcW w:w="382" w:type="pct"/>
                  <w:shd w:val="clear" w:color="auto" w:fill="auto"/>
                  <w:vAlign w:val="center"/>
                </w:tcPr>
                <w:p w14:paraId="293814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8</w:t>
                  </w:r>
                  <w:r>
                    <w:rPr>
                      <w:sz w:val="21"/>
                      <w:szCs w:val="21"/>
                    </w:rPr>
                    <w:t>个</w:t>
                  </w:r>
                </w:p>
              </w:tc>
              <w:tc>
                <w:tcPr>
                  <w:tcW w:w="1331" w:type="pct"/>
                  <w:vMerge w:val="continue"/>
                  <w:tcBorders>
                    <w:right w:val="nil"/>
                  </w:tcBorders>
                  <w:vAlign w:val="center"/>
                </w:tcPr>
                <w:p w14:paraId="67708B4B">
                  <w:pPr>
                    <w:spacing w:line="360" w:lineRule="exact"/>
                    <w:jc w:val="center"/>
                    <w:rPr>
                      <w:spacing w:val="-6"/>
                      <w:sz w:val="21"/>
                      <w:szCs w:val="21"/>
                    </w:rPr>
                  </w:pPr>
                </w:p>
              </w:tc>
            </w:tr>
            <w:tr w14:paraId="4E1D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0E16238A">
                  <w:pPr>
                    <w:spacing w:line="360" w:lineRule="exact"/>
                    <w:jc w:val="center"/>
                    <w:rPr>
                      <w:spacing w:val="-6"/>
                      <w:sz w:val="21"/>
                      <w:szCs w:val="21"/>
                    </w:rPr>
                  </w:pPr>
                </w:p>
              </w:tc>
              <w:tc>
                <w:tcPr>
                  <w:tcW w:w="496" w:type="pct"/>
                  <w:vMerge w:val="continue"/>
                  <w:vAlign w:val="center"/>
                </w:tcPr>
                <w:p w14:paraId="025E26B3">
                  <w:pPr>
                    <w:spacing w:line="360" w:lineRule="exact"/>
                    <w:jc w:val="center"/>
                    <w:rPr>
                      <w:spacing w:val="-6"/>
                      <w:sz w:val="21"/>
                      <w:szCs w:val="21"/>
                    </w:rPr>
                  </w:pPr>
                </w:p>
              </w:tc>
              <w:tc>
                <w:tcPr>
                  <w:tcW w:w="2188" w:type="pct"/>
                  <w:gridSpan w:val="4"/>
                  <w:shd w:val="clear" w:color="auto" w:fill="auto"/>
                  <w:vAlign w:val="center"/>
                </w:tcPr>
                <w:p w14:paraId="70FF520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分装室</w:t>
                  </w:r>
                  <w:r>
                    <w:rPr>
                      <w:rFonts w:hint="eastAsia"/>
                      <w:sz w:val="21"/>
                      <w:szCs w:val="21"/>
                      <w:lang w:val="en-US" w:eastAsia="zh-CN"/>
                    </w:rPr>
                    <w:t>1#、分装室2#</w:t>
                  </w:r>
                  <w:r>
                    <w:rPr>
                      <w:rFonts w:hint="eastAsia"/>
                      <w:bCs/>
                      <w:sz w:val="21"/>
                      <w:szCs w:val="21"/>
                      <w:lang w:val="en-US" w:eastAsia="zh-CN"/>
                    </w:rPr>
                    <w:t>、敷贴室1#、敷贴室2#、</w:t>
                  </w:r>
                  <w:r>
                    <w:rPr>
                      <w:sz w:val="21"/>
                      <w:szCs w:val="21"/>
                    </w:rPr>
                    <w:t>PET/CT机房</w:t>
                  </w:r>
                  <w:r>
                    <w:rPr>
                      <w:rFonts w:hint="eastAsia"/>
                      <w:sz w:val="21"/>
                      <w:szCs w:val="21"/>
                      <w:lang w:eastAsia="zh-CN"/>
                    </w:rPr>
                    <w:t>、</w:t>
                  </w:r>
                  <w:r>
                    <w:rPr>
                      <w:rFonts w:hint="eastAsia"/>
                      <w:sz w:val="21"/>
                      <w:szCs w:val="21"/>
                      <w:lang w:val="en-US" w:eastAsia="zh-CN"/>
                    </w:rPr>
                    <w:t>SPECT/CT机房、PET注射后等候室、ECT注射后等候室、PET留观室、ECT留观室、抢救室、I-131服药室、Sr-注射室、日间留观室</w:t>
                  </w:r>
                  <w:r>
                    <w:rPr>
                      <w:sz w:val="21"/>
                      <w:szCs w:val="21"/>
                      <w:lang w:bidi="ar"/>
                    </w:rPr>
                    <w:t>监控摄像头</w:t>
                  </w:r>
                </w:p>
              </w:tc>
              <w:tc>
                <w:tcPr>
                  <w:tcW w:w="382" w:type="pct"/>
                  <w:shd w:val="clear" w:color="auto" w:fill="auto"/>
                  <w:vAlign w:val="center"/>
                </w:tcPr>
                <w:p w14:paraId="0DFACE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14</w:t>
                  </w:r>
                  <w:r>
                    <w:rPr>
                      <w:sz w:val="21"/>
                      <w:szCs w:val="21"/>
                    </w:rPr>
                    <w:t>个</w:t>
                  </w:r>
                </w:p>
              </w:tc>
              <w:tc>
                <w:tcPr>
                  <w:tcW w:w="1331" w:type="pct"/>
                  <w:vMerge w:val="continue"/>
                  <w:tcBorders>
                    <w:right w:val="nil"/>
                  </w:tcBorders>
                  <w:vAlign w:val="center"/>
                </w:tcPr>
                <w:p w14:paraId="69DC93C5">
                  <w:pPr>
                    <w:spacing w:line="360" w:lineRule="exact"/>
                    <w:jc w:val="center"/>
                    <w:rPr>
                      <w:spacing w:val="-6"/>
                      <w:sz w:val="21"/>
                      <w:szCs w:val="21"/>
                    </w:rPr>
                  </w:pPr>
                </w:p>
              </w:tc>
            </w:tr>
            <w:tr w14:paraId="14BE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681D6C45">
                  <w:pPr>
                    <w:spacing w:line="360" w:lineRule="exact"/>
                    <w:jc w:val="center"/>
                    <w:rPr>
                      <w:spacing w:val="-6"/>
                      <w:sz w:val="21"/>
                      <w:szCs w:val="21"/>
                    </w:rPr>
                  </w:pPr>
                </w:p>
              </w:tc>
              <w:tc>
                <w:tcPr>
                  <w:tcW w:w="496" w:type="pct"/>
                  <w:vMerge w:val="continue"/>
                  <w:vAlign w:val="center"/>
                </w:tcPr>
                <w:p w14:paraId="4BCF7AC4">
                  <w:pPr>
                    <w:spacing w:line="360" w:lineRule="exact"/>
                    <w:jc w:val="center"/>
                    <w:rPr>
                      <w:spacing w:val="-6"/>
                      <w:sz w:val="21"/>
                      <w:szCs w:val="21"/>
                    </w:rPr>
                  </w:pPr>
                </w:p>
              </w:tc>
              <w:tc>
                <w:tcPr>
                  <w:tcW w:w="2188" w:type="pct"/>
                  <w:gridSpan w:val="4"/>
                  <w:shd w:val="clear" w:color="auto" w:fill="auto"/>
                  <w:vAlign w:val="center"/>
                </w:tcPr>
                <w:p w14:paraId="71A59A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PET留观室、ECT留观室、I-131服药室</w:t>
                  </w:r>
                  <w:r>
                    <w:rPr>
                      <w:sz w:val="21"/>
                      <w:szCs w:val="21"/>
                    </w:rPr>
                    <w:t>、</w:t>
                  </w:r>
                  <w:r>
                    <w:rPr>
                      <w:rFonts w:hint="eastAsia"/>
                      <w:sz w:val="21"/>
                      <w:szCs w:val="21"/>
                      <w:lang w:val="en-US" w:eastAsia="zh-CN"/>
                    </w:rPr>
                    <w:t>日间留观室</w:t>
                  </w:r>
                  <w:r>
                    <w:rPr>
                      <w:sz w:val="21"/>
                      <w:szCs w:val="21"/>
                    </w:rPr>
                    <w:t>对讲装置</w:t>
                  </w:r>
                </w:p>
              </w:tc>
              <w:tc>
                <w:tcPr>
                  <w:tcW w:w="382" w:type="pct"/>
                  <w:shd w:val="clear" w:color="auto" w:fill="auto"/>
                  <w:vAlign w:val="center"/>
                </w:tcPr>
                <w:p w14:paraId="7912DC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4</w:t>
                  </w:r>
                  <w:r>
                    <w:rPr>
                      <w:sz w:val="21"/>
                      <w:szCs w:val="21"/>
                    </w:rPr>
                    <w:t>个</w:t>
                  </w:r>
                </w:p>
              </w:tc>
              <w:tc>
                <w:tcPr>
                  <w:tcW w:w="1331" w:type="pct"/>
                  <w:vMerge w:val="continue"/>
                  <w:tcBorders>
                    <w:right w:val="nil"/>
                  </w:tcBorders>
                  <w:vAlign w:val="center"/>
                </w:tcPr>
                <w:p w14:paraId="63AD91CB">
                  <w:pPr>
                    <w:spacing w:line="360" w:lineRule="exact"/>
                    <w:jc w:val="center"/>
                    <w:rPr>
                      <w:spacing w:val="-6"/>
                      <w:sz w:val="21"/>
                      <w:szCs w:val="21"/>
                    </w:rPr>
                  </w:pPr>
                </w:p>
              </w:tc>
            </w:tr>
            <w:tr w14:paraId="31BC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C843520">
                  <w:pPr>
                    <w:spacing w:line="360" w:lineRule="exact"/>
                    <w:jc w:val="center"/>
                    <w:rPr>
                      <w:spacing w:val="-6"/>
                      <w:sz w:val="21"/>
                      <w:szCs w:val="21"/>
                    </w:rPr>
                  </w:pPr>
                </w:p>
              </w:tc>
              <w:tc>
                <w:tcPr>
                  <w:tcW w:w="496" w:type="pct"/>
                  <w:vMerge w:val="continue"/>
                  <w:vAlign w:val="center"/>
                </w:tcPr>
                <w:p w14:paraId="76F711C5">
                  <w:pPr>
                    <w:spacing w:line="360" w:lineRule="exact"/>
                    <w:jc w:val="center"/>
                    <w:rPr>
                      <w:spacing w:val="-6"/>
                      <w:sz w:val="21"/>
                      <w:szCs w:val="21"/>
                    </w:rPr>
                  </w:pPr>
                </w:p>
              </w:tc>
              <w:tc>
                <w:tcPr>
                  <w:tcW w:w="2188" w:type="pct"/>
                  <w:gridSpan w:val="4"/>
                  <w:shd w:val="clear" w:color="auto" w:fill="auto"/>
                  <w:vAlign w:val="center"/>
                </w:tcPr>
                <w:p w14:paraId="7F71AA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病人流通单向门禁系统</w:t>
                  </w:r>
                </w:p>
              </w:tc>
              <w:tc>
                <w:tcPr>
                  <w:tcW w:w="382" w:type="pct"/>
                  <w:shd w:val="clear" w:color="auto" w:fill="auto"/>
                  <w:vAlign w:val="center"/>
                </w:tcPr>
                <w:p w14:paraId="469C50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1套</w:t>
                  </w:r>
                </w:p>
              </w:tc>
              <w:tc>
                <w:tcPr>
                  <w:tcW w:w="1331" w:type="pct"/>
                  <w:vMerge w:val="continue"/>
                  <w:tcBorders>
                    <w:right w:val="nil"/>
                  </w:tcBorders>
                  <w:vAlign w:val="center"/>
                </w:tcPr>
                <w:p w14:paraId="75B812F5">
                  <w:pPr>
                    <w:spacing w:line="360" w:lineRule="exact"/>
                    <w:jc w:val="center"/>
                    <w:rPr>
                      <w:spacing w:val="-6"/>
                      <w:sz w:val="21"/>
                      <w:szCs w:val="21"/>
                    </w:rPr>
                  </w:pPr>
                </w:p>
              </w:tc>
            </w:tr>
            <w:tr w14:paraId="4056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50533ACF">
                  <w:pPr>
                    <w:spacing w:line="360" w:lineRule="exact"/>
                    <w:jc w:val="center"/>
                    <w:rPr>
                      <w:spacing w:val="-6"/>
                      <w:sz w:val="21"/>
                      <w:szCs w:val="21"/>
                    </w:rPr>
                  </w:pPr>
                </w:p>
              </w:tc>
              <w:tc>
                <w:tcPr>
                  <w:tcW w:w="496" w:type="pct"/>
                  <w:vMerge w:val="continue"/>
                  <w:vAlign w:val="center"/>
                </w:tcPr>
                <w:p w14:paraId="5F4B3409">
                  <w:pPr>
                    <w:spacing w:line="360" w:lineRule="exact"/>
                    <w:jc w:val="center"/>
                    <w:rPr>
                      <w:spacing w:val="-6"/>
                      <w:sz w:val="21"/>
                      <w:szCs w:val="21"/>
                    </w:rPr>
                  </w:pPr>
                </w:p>
              </w:tc>
              <w:tc>
                <w:tcPr>
                  <w:tcW w:w="2188" w:type="pct"/>
                  <w:gridSpan w:val="4"/>
                  <w:shd w:val="clear" w:color="auto" w:fill="auto"/>
                  <w:vAlign w:val="center"/>
                </w:tcPr>
                <w:p w14:paraId="6CDB0D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sz w:val="21"/>
                      <w:szCs w:val="21"/>
                    </w:rPr>
                    <w:t>控制区、监督区划定地标线及电离辐射警示标识</w:t>
                  </w:r>
                </w:p>
              </w:tc>
              <w:tc>
                <w:tcPr>
                  <w:tcW w:w="382" w:type="pct"/>
                  <w:shd w:val="clear" w:color="auto" w:fill="auto"/>
                  <w:vAlign w:val="center"/>
                </w:tcPr>
                <w:p w14:paraId="27B17F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w:t>
                  </w:r>
                </w:p>
              </w:tc>
              <w:tc>
                <w:tcPr>
                  <w:tcW w:w="1331" w:type="pct"/>
                  <w:vMerge w:val="continue"/>
                  <w:tcBorders>
                    <w:right w:val="nil"/>
                  </w:tcBorders>
                  <w:vAlign w:val="center"/>
                </w:tcPr>
                <w:p w14:paraId="5E312687">
                  <w:pPr>
                    <w:spacing w:line="360" w:lineRule="exact"/>
                    <w:jc w:val="center"/>
                    <w:rPr>
                      <w:spacing w:val="-6"/>
                      <w:sz w:val="21"/>
                      <w:szCs w:val="21"/>
                    </w:rPr>
                  </w:pPr>
                </w:p>
              </w:tc>
            </w:tr>
            <w:tr w14:paraId="058A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6F8B59DD">
                  <w:pPr>
                    <w:spacing w:line="360" w:lineRule="exact"/>
                    <w:jc w:val="center"/>
                    <w:rPr>
                      <w:spacing w:val="-6"/>
                      <w:sz w:val="21"/>
                      <w:szCs w:val="21"/>
                    </w:rPr>
                  </w:pPr>
                </w:p>
              </w:tc>
              <w:tc>
                <w:tcPr>
                  <w:tcW w:w="496" w:type="pct"/>
                  <w:vMerge w:val="restart"/>
                  <w:vAlign w:val="center"/>
                </w:tcPr>
                <w:p w14:paraId="50037549">
                  <w:pPr>
                    <w:spacing w:line="360" w:lineRule="exact"/>
                    <w:jc w:val="center"/>
                    <w:rPr>
                      <w:spacing w:val="-6"/>
                      <w:sz w:val="21"/>
                      <w:szCs w:val="21"/>
                    </w:rPr>
                  </w:pPr>
                  <w:r>
                    <w:rPr>
                      <w:rFonts w:hint="eastAsia"/>
                      <w:bCs/>
                      <w:sz w:val="21"/>
                      <w:szCs w:val="21"/>
                      <w:lang w:val="en-US" w:eastAsia="zh-CN"/>
                    </w:rPr>
                    <w:t>手术部和内镜中心</w:t>
                  </w:r>
                </w:p>
              </w:tc>
              <w:tc>
                <w:tcPr>
                  <w:tcW w:w="692" w:type="pct"/>
                  <w:gridSpan w:val="3"/>
                  <w:vMerge w:val="restart"/>
                  <w:vAlign w:val="center"/>
                </w:tcPr>
                <w:p w14:paraId="2FB7510E">
                  <w:pPr>
                    <w:spacing w:line="360" w:lineRule="exact"/>
                    <w:jc w:val="center"/>
                    <w:rPr>
                      <w:spacing w:val="-6"/>
                      <w:sz w:val="21"/>
                      <w:szCs w:val="21"/>
                    </w:rPr>
                  </w:pPr>
                  <w:r>
                    <w:rPr>
                      <w:rFonts w:hint="eastAsia" w:cs="Times New Roman"/>
                      <w:bCs/>
                      <w:spacing w:val="-6"/>
                      <w:sz w:val="21"/>
                      <w:szCs w:val="21"/>
                      <w:lang w:val="en-US" w:eastAsia="zh-CN" w:bidi="ar-SA"/>
                    </w:rPr>
                    <w:t>DSA+CT复合手术室、3个DSA手术室（OR09、OR10、OR11）、ERCP室</w:t>
                  </w:r>
                </w:p>
              </w:tc>
              <w:tc>
                <w:tcPr>
                  <w:tcW w:w="1496" w:type="pct"/>
                  <w:shd w:val="clear" w:color="auto" w:fill="auto"/>
                  <w:vAlign w:val="center"/>
                </w:tcPr>
                <w:p w14:paraId="26AD50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工作状态</w:t>
                  </w:r>
                  <w:r>
                    <w:rPr>
                      <w:rFonts w:hint="eastAsia"/>
                      <w:bCs/>
                      <w:spacing w:val="-6"/>
                      <w:sz w:val="21"/>
                      <w:szCs w:val="21"/>
                    </w:rPr>
                    <w:t>显示</w:t>
                  </w:r>
                  <w:r>
                    <w:rPr>
                      <w:bCs/>
                      <w:spacing w:val="-6"/>
                      <w:sz w:val="21"/>
                      <w:szCs w:val="21"/>
                    </w:rPr>
                    <w:t>灯</w:t>
                  </w:r>
                </w:p>
              </w:tc>
              <w:tc>
                <w:tcPr>
                  <w:tcW w:w="382" w:type="pct"/>
                  <w:shd w:val="clear" w:color="auto" w:fill="auto"/>
                  <w:vAlign w:val="center"/>
                </w:tcPr>
                <w:p w14:paraId="61ED13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r>
                    <w:rPr>
                      <w:rFonts w:hint="eastAsia"/>
                      <w:bCs/>
                      <w:spacing w:val="-6"/>
                      <w:sz w:val="21"/>
                      <w:szCs w:val="21"/>
                    </w:rPr>
                    <w:t>套</w:t>
                  </w:r>
                </w:p>
              </w:tc>
              <w:tc>
                <w:tcPr>
                  <w:tcW w:w="1331" w:type="pct"/>
                  <w:vMerge w:val="restart"/>
                  <w:tcBorders>
                    <w:right w:val="nil"/>
                  </w:tcBorders>
                  <w:vAlign w:val="center"/>
                </w:tcPr>
                <w:p w14:paraId="5F1D63CE">
                  <w:pPr>
                    <w:spacing w:line="360" w:lineRule="exact"/>
                    <w:jc w:val="center"/>
                    <w:rPr>
                      <w:spacing w:val="-6"/>
                      <w:sz w:val="21"/>
                      <w:szCs w:val="21"/>
                    </w:rPr>
                  </w:pPr>
                  <w:r>
                    <w:rPr>
                      <w:spacing w:val="-6"/>
                      <w:sz w:val="21"/>
                      <w:szCs w:val="21"/>
                    </w:rPr>
                    <w:t>查验安全设施是否按要求落实，并验证其有效性</w:t>
                  </w:r>
                </w:p>
              </w:tc>
            </w:tr>
            <w:tr w14:paraId="2A99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38482611">
                  <w:pPr>
                    <w:spacing w:line="360" w:lineRule="exact"/>
                    <w:jc w:val="center"/>
                    <w:rPr>
                      <w:spacing w:val="-6"/>
                      <w:sz w:val="21"/>
                      <w:szCs w:val="21"/>
                    </w:rPr>
                  </w:pPr>
                </w:p>
              </w:tc>
              <w:tc>
                <w:tcPr>
                  <w:tcW w:w="496" w:type="pct"/>
                  <w:vMerge w:val="continue"/>
                  <w:vAlign w:val="center"/>
                </w:tcPr>
                <w:p w14:paraId="42E92FF8">
                  <w:pPr>
                    <w:spacing w:line="360" w:lineRule="exact"/>
                    <w:jc w:val="center"/>
                    <w:rPr>
                      <w:spacing w:val="-6"/>
                      <w:sz w:val="21"/>
                      <w:szCs w:val="21"/>
                    </w:rPr>
                  </w:pPr>
                </w:p>
              </w:tc>
              <w:tc>
                <w:tcPr>
                  <w:tcW w:w="692" w:type="pct"/>
                  <w:gridSpan w:val="3"/>
                  <w:vMerge w:val="continue"/>
                  <w:vAlign w:val="center"/>
                </w:tcPr>
                <w:p w14:paraId="06E2161D">
                  <w:pPr>
                    <w:spacing w:line="360" w:lineRule="exact"/>
                    <w:jc w:val="center"/>
                    <w:rPr>
                      <w:spacing w:val="-6"/>
                      <w:sz w:val="21"/>
                      <w:szCs w:val="21"/>
                    </w:rPr>
                  </w:pPr>
                </w:p>
              </w:tc>
              <w:tc>
                <w:tcPr>
                  <w:tcW w:w="1496" w:type="pct"/>
                  <w:shd w:val="clear" w:color="auto" w:fill="auto"/>
                  <w:vAlign w:val="center"/>
                </w:tcPr>
                <w:p w14:paraId="2A7701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床旁和操作台急停按钮</w:t>
                  </w:r>
                </w:p>
              </w:tc>
              <w:tc>
                <w:tcPr>
                  <w:tcW w:w="382" w:type="pct"/>
                  <w:shd w:val="clear" w:color="auto" w:fill="auto"/>
                  <w:vAlign w:val="center"/>
                </w:tcPr>
                <w:p w14:paraId="329174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cs="Times New Roman"/>
                      <w:bCs/>
                      <w:spacing w:val="-6"/>
                      <w:sz w:val="21"/>
                      <w:szCs w:val="21"/>
                      <w:lang w:val="en-US" w:eastAsia="zh-CN" w:bidi="ar-SA"/>
                    </w:rPr>
                    <w:t>5套</w:t>
                  </w:r>
                </w:p>
              </w:tc>
              <w:tc>
                <w:tcPr>
                  <w:tcW w:w="1331" w:type="pct"/>
                  <w:vMerge w:val="continue"/>
                  <w:tcBorders>
                    <w:right w:val="nil"/>
                  </w:tcBorders>
                  <w:vAlign w:val="center"/>
                </w:tcPr>
                <w:p w14:paraId="1137F40A">
                  <w:pPr>
                    <w:spacing w:line="360" w:lineRule="exact"/>
                    <w:jc w:val="center"/>
                    <w:rPr>
                      <w:spacing w:val="-6"/>
                      <w:sz w:val="21"/>
                      <w:szCs w:val="21"/>
                    </w:rPr>
                  </w:pPr>
                </w:p>
              </w:tc>
            </w:tr>
            <w:tr w14:paraId="6057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6E8FD44B">
                  <w:pPr>
                    <w:spacing w:line="360" w:lineRule="exact"/>
                    <w:jc w:val="center"/>
                    <w:rPr>
                      <w:spacing w:val="-6"/>
                      <w:sz w:val="21"/>
                      <w:szCs w:val="21"/>
                    </w:rPr>
                  </w:pPr>
                </w:p>
              </w:tc>
              <w:tc>
                <w:tcPr>
                  <w:tcW w:w="496" w:type="pct"/>
                  <w:vMerge w:val="continue"/>
                  <w:vAlign w:val="center"/>
                </w:tcPr>
                <w:p w14:paraId="1ED033E4">
                  <w:pPr>
                    <w:spacing w:line="360" w:lineRule="exact"/>
                    <w:jc w:val="center"/>
                    <w:rPr>
                      <w:spacing w:val="-6"/>
                      <w:sz w:val="21"/>
                      <w:szCs w:val="21"/>
                    </w:rPr>
                  </w:pPr>
                </w:p>
              </w:tc>
              <w:tc>
                <w:tcPr>
                  <w:tcW w:w="692" w:type="pct"/>
                  <w:gridSpan w:val="3"/>
                  <w:vMerge w:val="continue"/>
                  <w:vAlign w:val="center"/>
                </w:tcPr>
                <w:p w14:paraId="34636202">
                  <w:pPr>
                    <w:spacing w:line="360" w:lineRule="exact"/>
                    <w:jc w:val="center"/>
                    <w:rPr>
                      <w:spacing w:val="-6"/>
                      <w:sz w:val="21"/>
                      <w:szCs w:val="21"/>
                    </w:rPr>
                  </w:pPr>
                </w:p>
              </w:tc>
              <w:tc>
                <w:tcPr>
                  <w:tcW w:w="1496" w:type="pct"/>
                  <w:shd w:val="clear" w:color="auto" w:fill="auto"/>
                  <w:vAlign w:val="center"/>
                </w:tcPr>
                <w:p w14:paraId="63B3B8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语音对讲装置</w:t>
                  </w:r>
                </w:p>
              </w:tc>
              <w:tc>
                <w:tcPr>
                  <w:tcW w:w="382" w:type="pct"/>
                  <w:shd w:val="clear" w:color="auto" w:fill="auto"/>
                  <w:vAlign w:val="center"/>
                </w:tcPr>
                <w:p w14:paraId="00C179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cs="Times New Roman"/>
                      <w:bCs/>
                      <w:spacing w:val="-6"/>
                      <w:sz w:val="21"/>
                      <w:szCs w:val="21"/>
                      <w:lang w:val="en-US" w:eastAsia="zh-CN" w:bidi="ar-SA"/>
                    </w:rPr>
                    <w:t>5套</w:t>
                  </w:r>
                </w:p>
              </w:tc>
              <w:tc>
                <w:tcPr>
                  <w:tcW w:w="1331" w:type="pct"/>
                  <w:vMerge w:val="continue"/>
                  <w:tcBorders>
                    <w:right w:val="nil"/>
                  </w:tcBorders>
                  <w:vAlign w:val="center"/>
                </w:tcPr>
                <w:p w14:paraId="196F5D34">
                  <w:pPr>
                    <w:spacing w:line="360" w:lineRule="exact"/>
                    <w:jc w:val="center"/>
                    <w:rPr>
                      <w:spacing w:val="-6"/>
                      <w:sz w:val="21"/>
                      <w:szCs w:val="21"/>
                    </w:rPr>
                  </w:pPr>
                </w:p>
              </w:tc>
            </w:tr>
            <w:tr w14:paraId="440E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133691D6">
                  <w:pPr>
                    <w:spacing w:line="360" w:lineRule="exact"/>
                    <w:jc w:val="center"/>
                    <w:rPr>
                      <w:spacing w:val="-6"/>
                      <w:sz w:val="21"/>
                      <w:szCs w:val="21"/>
                    </w:rPr>
                  </w:pPr>
                </w:p>
              </w:tc>
              <w:tc>
                <w:tcPr>
                  <w:tcW w:w="496" w:type="pct"/>
                  <w:vMerge w:val="continue"/>
                  <w:vAlign w:val="center"/>
                </w:tcPr>
                <w:p w14:paraId="2F85822E">
                  <w:pPr>
                    <w:spacing w:line="360" w:lineRule="exact"/>
                    <w:jc w:val="center"/>
                    <w:rPr>
                      <w:spacing w:val="-6"/>
                      <w:sz w:val="21"/>
                      <w:szCs w:val="21"/>
                    </w:rPr>
                  </w:pPr>
                </w:p>
              </w:tc>
              <w:tc>
                <w:tcPr>
                  <w:tcW w:w="692" w:type="pct"/>
                  <w:gridSpan w:val="3"/>
                  <w:vMerge w:val="continue"/>
                  <w:vAlign w:val="center"/>
                </w:tcPr>
                <w:p w14:paraId="2FDFE478">
                  <w:pPr>
                    <w:spacing w:line="360" w:lineRule="exact"/>
                    <w:jc w:val="center"/>
                    <w:rPr>
                      <w:rFonts w:hint="eastAsia" w:eastAsia="宋体"/>
                      <w:spacing w:val="-6"/>
                      <w:sz w:val="21"/>
                      <w:szCs w:val="21"/>
                      <w:lang w:val="en-US" w:eastAsia="zh-CN"/>
                    </w:rPr>
                  </w:pPr>
                </w:p>
              </w:tc>
              <w:tc>
                <w:tcPr>
                  <w:tcW w:w="1496" w:type="pct"/>
                  <w:shd w:val="clear" w:color="auto" w:fill="auto"/>
                  <w:vAlign w:val="center"/>
                </w:tcPr>
                <w:p w14:paraId="0064AD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防护门</w:t>
                  </w:r>
                  <w:r>
                    <w:rPr>
                      <w:rFonts w:hint="eastAsia"/>
                      <w:bCs/>
                      <w:spacing w:val="-6"/>
                      <w:sz w:val="21"/>
                      <w:szCs w:val="21"/>
                    </w:rPr>
                    <w:t>闭门装置</w:t>
                  </w:r>
                </w:p>
              </w:tc>
              <w:tc>
                <w:tcPr>
                  <w:tcW w:w="382" w:type="pct"/>
                  <w:shd w:val="clear" w:color="auto" w:fill="auto"/>
                  <w:vAlign w:val="center"/>
                </w:tcPr>
                <w:p w14:paraId="3B4CAD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spacing w:val="-6"/>
                      <w:sz w:val="21"/>
                      <w:szCs w:val="21"/>
                      <w:lang w:val="en-US" w:eastAsia="zh-CN" w:bidi="ar-SA"/>
                    </w:rPr>
                  </w:pPr>
                  <w:r>
                    <w:rPr>
                      <w:rFonts w:hint="eastAsia" w:cs="Times New Roman"/>
                      <w:bCs/>
                      <w:spacing w:val="-6"/>
                      <w:sz w:val="21"/>
                      <w:szCs w:val="21"/>
                      <w:lang w:val="en-US" w:eastAsia="zh-CN" w:bidi="ar-SA"/>
                    </w:rPr>
                    <w:t>15套</w:t>
                  </w:r>
                </w:p>
              </w:tc>
              <w:tc>
                <w:tcPr>
                  <w:tcW w:w="1331" w:type="pct"/>
                  <w:vMerge w:val="continue"/>
                  <w:tcBorders>
                    <w:right w:val="nil"/>
                  </w:tcBorders>
                  <w:vAlign w:val="center"/>
                </w:tcPr>
                <w:p w14:paraId="07AAF1E3">
                  <w:pPr>
                    <w:spacing w:line="360" w:lineRule="exact"/>
                    <w:jc w:val="center"/>
                    <w:rPr>
                      <w:spacing w:val="-6"/>
                      <w:sz w:val="21"/>
                      <w:szCs w:val="21"/>
                    </w:rPr>
                  </w:pPr>
                </w:p>
              </w:tc>
            </w:tr>
            <w:tr w14:paraId="0361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2ED7DEB">
                  <w:pPr>
                    <w:spacing w:line="360" w:lineRule="exact"/>
                    <w:jc w:val="center"/>
                    <w:rPr>
                      <w:spacing w:val="-6"/>
                      <w:sz w:val="21"/>
                      <w:szCs w:val="21"/>
                    </w:rPr>
                  </w:pPr>
                </w:p>
              </w:tc>
              <w:tc>
                <w:tcPr>
                  <w:tcW w:w="496" w:type="pct"/>
                  <w:vMerge w:val="continue"/>
                  <w:vAlign w:val="center"/>
                </w:tcPr>
                <w:p w14:paraId="1C04909E">
                  <w:pPr>
                    <w:spacing w:line="360" w:lineRule="exact"/>
                    <w:jc w:val="center"/>
                    <w:rPr>
                      <w:spacing w:val="-6"/>
                      <w:sz w:val="21"/>
                      <w:szCs w:val="21"/>
                    </w:rPr>
                  </w:pPr>
                </w:p>
              </w:tc>
              <w:tc>
                <w:tcPr>
                  <w:tcW w:w="692" w:type="pct"/>
                  <w:gridSpan w:val="3"/>
                  <w:vMerge w:val="continue"/>
                  <w:vAlign w:val="center"/>
                </w:tcPr>
                <w:p w14:paraId="762CB4C4">
                  <w:pPr>
                    <w:spacing w:line="360" w:lineRule="exact"/>
                    <w:jc w:val="center"/>
                    <w:rPr>
                      <w:spacing w:val="-6"/>
                      <w:sz w:val="21"/>
                      <w:szCs w:val="21"/>
                    </w:rPr>
                  </w:pPr>
                </w:p>
              </w:tc>
              <w:tc>
                <w:tcPr>
                  <w:tcW w:w="1496" w:type="pct"/>
                  <w:shd w:val="clear" w:color="auto" w:fill="auto"/>
                  <w:vAlign w:val="center"/>
                </w:tcPr>
                <w:p w14:paraId="0710A1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操作警示装置</w:t>
                  </w:r>
                </w:p>
              </w:tc>
              <w:tc>
                <w:tcPr>
                  <w:tcW w:w="382" w:type="pct"/>
                  <w:shd w:val="clear" w:color="auto" w:fill="auto"/>
                  <w:vAlign w:val="center"/>
                </w:tcPr>
                <w:p w14:paraId="2C1FCC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w:t>
                  </w:r>
                  <w:r>
                    <w:rPr>
                      <w:bCs/>
                      <w:spacing w:val="-6"/>
                      <w:sz w:val="21"/>
                      <w:szCs w:val="21"/>
                    </w:rPr>
                    <w:t>套</w:t>
                  </w:r>
                </w:p>
              </w:tc>
              <w:tc>
                <w:tcPr>
                  <w:tcW w:w="1331" w:type="pct"/>
                  <w:vMerge w:val="continue"/>
                  <w:tcBorders>
                    <w:right w:val="nil"/>
                  </w:tcBorders>
                  <w:vAlign w:val="center"/>
                </w:tcPr>
                <w:p w14:paraId="5AEE4F36">
                  <w:pPr>
                    <w:spacing w:line="360" w:lineRule="exact"/>
                    <w:jc w:val="center"/>
                    <w:rPr>
                      <w:spacing w:val="-6"/>
                      <w:sz w:val="21"/>
                      <w:szCs w:val="21"/>
                    </w:rPr>
                  </w:pPr>
                </w:p>
              </w:tc>
            </w:tr>
            <w:tr w14:paraId="6B60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5733688A">
                  <w:pPr>
                    <w:spacing w:line="360" w:lineRule="exact"/>
                    <w:jc w:val="center"/>
                    <w:rPr>
                      <w:spacing w:val="-6"/>
                      <w:sz w:val="21"/>
                      <w:szCs w:val="21"/>
                    </w:rPr>
                  </w:pPr>
                </w:p>
              </w:tc>
              <w:tc>
                <w:tcPr>
                  <w:tcW w:w="496" w:type="pct"/>
                  <w:vMerge w:val="continue"/>
                  <w:vAlign w:val="center"/>
                </w:tcPr>
                <w:p w14:paraId="6A3E6BEB">
                  <w:pPr>
                    <w:spacing w:line="360" w:lineRule="exact"/>
                    <w:jc w:val="center"/>
                    <w:rPr>
                      <w:spacing w:val="-6"/>
                      <w:sz w:val="21"/>
                      <w:szCs w:val="21"/>
                    </w:rPr>
                  </w:pPr>
                </w:p>
              </w:tc>
              <w:tc>
                <w:tcPr>
                  <w:tcW w:w="692" w:type="pct"/>
                  <w:gridSpan w:val="3"/>
                  <w:vMerge w:val="continue"/>
                  <w:vAlign w:val="center"/>
                </w:tcPr>
                <w:p w14:paraId="77BF04E3">
                  <w:pPr>
                    <w:spacing w:line="360" w:lineRule="exact"/>
                    <w:jc w:val="center"/>
                    <w:rPr>
                      <w:spacing w:val="-6"/>
                      <w:sz w:val="21"/>
                      <w:szCs w:val="21"/>
                    </w:rPr>
                  </w:pPr>
                </w:p>
              </w:tc>
              <w:tc>
                <w:tcPr>
                  <w:tcW w:w="1496" w:type="pct"/>
                  <w:shd w:val="clear" w:color="auto" w:fill="auto"/>
                  <w:vAlign w:val="center"/>
                </w:tcPr>
                <w:p w14:paraId="7D1A99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bCs/>
                      <w:spacing w:val="-11"/>
                      <w:sz w:val="21"/>
                      <w:szCs w:val="21"/>
                    </w:rPr>
                    <w:t>监督区、控制区划定地标线及电离辐射警示标识</w:t>
                  </w:r>
                </w:p>
              </w:tc>
              <w:tc>
                <w:tcPr>
                  <w:tcW w:w="382" w:type="pct"/>
                  <w:shd w:val="clear" w:color="auto" w:fill="auto"/>
                  <w:vAlign w:val="center"/>
                </w:tcPr>
                <w:p w14:paraId="762B75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w:t>
                  </w:r>
                  <w:r>
                    <w:rPr>
                      <w:bCs/>
                      <w:spacing w:val="-6"/>
                      <w:sz w:val="21"/>
                      <w:szCs w:val="21"/>
                    </w:rPr>
                    <w:t>套</w:t>
                  </w:r>
                </w:p>
              </w:tc>
              <w:tc>
                <w:tcPr>
                  <w:tcW w:w="1331" w:type="pct"/>
                  <w:vMerge w:val="continue"/>
                  <w:tcBorders>
                    <w:right w:val="nil"/>
                  </w:tcBorders>
                  <w:vAlign w:val="center"/>
                </w:tcPr>
                <w:p w14:paraId="7C4B2F3E">
                  <w:pPr>
                    <w:spacing w:line="360" w:lineRule="exact"/>
                    <w:jc w:val="center"/>
                    <w:rPr>
                      <w:spacing w:val="-6"/>
                      <w:sz w:val="21"/>
                      <w:szCs w:val="21"/>
                    </w:rPr>
                  </w:pPr>
                </w:p>
              </w:tc>
            </w:tr>
            <w:tr w14:paraId="5095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tcBorders>
                    <w:left w:val="nil"/>
                  </w:tcBorders>
                  <w:vAlign w:val="center"/>
                </w:tcPr>
                <w:p w14:paraId="174AA6C7">
                  <w:pPr>
                    <w:spacing w:line="360" w:lineRule="exact"/>
                    <w:jc w:val="center"/>
                    <w:rPr>
                      <w:spacing w:val="-6"/>
                      <w:sz w:val="21"/>
                      <w:szCs w:val="21"/>
                    </w:rPr>
                  </w:pPr>
                  <w:r>
                    <w:rPr>
                      <w:spacing w:val="-6"/>
                      <w:sz w:val="21"/>
                      <w:szCs w:val="21"/>
                    </w:rPr>
                    <w:t>放射性废水</w:t>
                  </w:r>
                </w:p>
              </w:tc>
              <w:tc>
                <w:tcPr>
                  <w:tcW w:w="2685" w:type="pct"/>
                  <w:gridSpan w:val="5"/>
                  <w:shd w:val="clear" w:color="auto" w:fill="auto"/>
                  <w:vAlign w:val="center"/>
                </w:tcPr>
                <w:p w14:paraId="25ECE4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核医学科</w:t>
                  </w:r>
                  <w:r>
                    <w:rPr>
                      <w:bCs/>
                      <w:sz w:val="21"/>
                      <w:szCs w:val="21"/>
                    </w:rPr>
                    <w:t>控制区独立下水系统及排水管道屏蔽设施</w:t>
                  </w:r>
                </w:p>
              </w:tc>
              <w:tc>
                <w:tcPr>
                  <w:tcW w:w="382" w:type="pct"/>
                  <w:shd w:val="clear" w:color="auto" w:fill="auto"/>
                  <w:vAlign w:val="center"/>
                </w:tcPr>
                <w:p w14:paraId="0C1460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bCs/>
                      <w:sz w:val="21"/>
                      <w:szCs w:val="21"/>
                      <w:lang w:val="en-US" w:eastAsia="zh-CN"/>
                    </w:rPr>
                    <w:t>1</w:t>
                  </w:r>
                  <w:r>
                    <w:rPr>
                      <w:bCs/>
                      <w:sz w:val="21"/>
                      <w:szCs w:val="21"/>
                    </w:rPr>
                    <w:t>套</w:t>
                  </w:r>
                </w:p>
              </w:tc>
              <w:tc>
                <w:tcPr>
                  <w:tcW w:w="1331" w:type="pct"/>
                  <w:vMerge w:val="restart"/>
                  <w:tcBorders>
                    <w:right w:val="nil"/>
                  </w:tcBorders>
                  <w:vAlign w:val="center"/>
                </w:tcPr>
                <w:p w14:paraId="04D092A0">
                  <w:pPr>
                    <w:spacing w:line="360" w:lineRule="exact"/>
                    <w:jc w:val="center"/>
                    <w:rPr>
                      <w:spacing w:val="-6"/>
                      <w:sz w:val="21"/>
                      <w:szCs w:val="21"/>
                    </w:rPr>
                  </w:pPr>
                  <w:r>
                    <w:rPr>
                      <w:spacing w:val="-6"/>
                      <w:sz w:val="21"/>
                      <w:szCs w:val="21"/>
                    </w:rPr>
                    <w:t xml:space="preserve">查验是否正常有效运行，是否落实放射性废水排水监测计划并建立管理档案 </w:t>
                  </w:r>
                </w:p>
              </w:tc>
            </w:tr>
            <w:tr w14:paraId="47E3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1A4145AA">
                  <w:pPr>
                    <w:spacing w:line="360" w:lineRule="exact"/>
                    <w:jc w:val="center"/>
                    <w:rPr>
                      <w:spacing w:val="-6"/>
                      <w:sz w:val="21"/>
                      <w:szCs w:val="21"/>
                    </w:rPr>
                  </w:pPr>
                </w:p>
              </w:tc>
              <w:tc>
                <w:tcPr>
                  <w:tcW w:w="2685" w:type="pct"/>
                  <w:gridSpan w:val="5"/>
                  <w:shd w:val="clear" w:color="auto" w:fill="auto"/>
                  <w:vAlign w:val="center"/>
                </w:tcPr>
                <w:p w14:paraId="551A45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sz w:val="21"/>
                      <w:szCs w:val="21"/>
                    </w:rPr>
                    <w:t>三格并联衰变池（</w:t>
                  </w:r>
                  <w:r>
                    <w:rPr>
                      <w:bCs/>
                      <w:sz w:val="21"/>
                      <w:szCs w:val="21"/>
                    </w:rPr>
                    <w:t>总有效容积</w:t>
                  </w:r>
                  <w:r>
                    <w:rPr>
                      <w:bCs/>
                      <w:sz w:val="21"/>
                      <w:szCs w:val="21"/>
                      <w:highlight w:val="none"/>
                    </w:rPr>
                    <w:t>3</w:t>
                  </w:r>
                  <w:r>
                    <w:rPr>
                      <w:rFonts w:hint="eastAsia"/>
                      <w:bCs/>
                      <w:sz w:val="21"/>
                      <w:szCs w:val="21"/>
                      <w:highlight w:val="none"/>
                      <w:lang w:val="en-US" w:eastAsia="zh-CN"/>
                    </w:rPr>
                    <w:t>67.5</w:t>
                  </w:r>
                  <w:r>
                    <w:rPr>
                      <w:bCs/>
                      <w:sz w:val="21"/>
                      <w:szCs w:val="21"/>
                      <w:highlight w:val="none"/>
                    </w:rPr>
                    <w:t>m</w:t>
                  </w:r>
                  <w:r>
                    <w:rPr>
                      <w:bCs/>
                      <w:sz w:val="21"/>
                      <w:szCs w:val="21"/>
                      <w:highlight w:val="none"/>
                      <w:vertAlign w:val="superscript"/>
                    </w:rPr>
                    <w:t>3</w:t>
                  </w:r>
                  <w:r>
                    <w:rPr>
                      <w:sz w:val="21"/>
                      <w:szCs w:val="21"/>
                      <w:highlight w:val="none"/>
                    </w:rPr>
                    <w:t>）</w:t>
                  </w:r>
                </w:p>
              </w:tc>
              <w:tc>
                <w:tcPr>
                  <w:tcW w:w="382" w:type="pct"/>
                  <w:shd w:val="clear" w:color="auto" w:fill="auto"/>
                  <w:vAlign w:val="center"/>
                </w:tcPr>
                <w:p w14:paraId="6BD7E9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1座</w:t>
                  </w:r>
                </w:p>
              </w:tc>
              <w:tc>
                <w:tcPr>
                  <w:tcW w:w="1331" w:type="pct"/>
                  <w:vMerge w:val="continue"/>
                  <w:tcBorders>
                    <w:right w:val="nil"/>
                  </w:tcBorders>
                  <w:vAlign w:val="center"/>
                </w:tcPr>
                <w:p w14:paraId="552D5A08">
                  <w:pPr>
                    <w:spacing w:line="360" w:lineRule="exact"/>
                    <w:jc w:val="center"/>
                    <w:rPr>
                      <w:spacing w:val="-6"/>
                      <w:sz w:val="21"/>
                      <w:szCs w:val="21"/>
                    </w:rPr>
                  </w:pPr>
                </w:p>
              </w:tc>
            </w:tr>
            <w:tr w14:paraId="27F0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0A77D044">
                  <w:pPr>
                    <w:spacing w:line="360" w:lineRule="exact"/>
                    <w:jc w:val="center"/>
                    <w:rPr>
                      <w:spacing w:val="-6"/>
                      <w:sz w:val="21"/>
                      <w:szCs w:val="21"/>
                    </w:rPr>
                  </w:pPr>
                </w:p>
              </w:tc>
              <w:tc>
                <w:tcPr>
                  <w:tcW w:w="2685" w:type="pct"/>
                  <w:gridSpan w:val="5"/>
                  <w:shd w:val="clear" w:color="auto" w:fill="auto"/>
                  <w:vAlign w:val="center"/>
                </w:tcPr>
                <w:p w14:paraId="317D6B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衰变池防渗及自动控制系统</w:t>
                  </w:r>
                </w:p>
              </w:tc>
              <w:tc>
                <w:tcPr>
                  <w:tcW w:w="382" w:type="pct"/>
                  <w:shd w:val="clear" w:color="auto" w:fill="auto"/>
                  <w:vAlign w:val="center"/>
                </w:tcPr>
                <w:p w14:paraId="33802A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bCs/>
                      <w:sz w:val="21"/>
                      <w:szCs w:val="21"/>
                    </w:rPr>
                    <w:t>/</w:t>
                  </w:r>
                </w:p>
              </w:tc>
              <w:tc>
                <w:tcPr>
                  <w:tcW w:w="1331" w:type="pct"/>
                  <w:vMerge w:val="continue"/>
                  <w:tcBorders>
                    <w:right w:val="nil"/>
                  </w:tcBorders>
                  <w:vAlign w:val="center"/>
                </w:tcPr>
                <w:p w14:paraId="56DE4454">
                  <w:pPr>
                    <w:spacing w:line="360" w:lineRule="exact"/>
                    <w:jc w:val="center"/>
                    <w:rPr>
                      <w:spacing w:val="-6"/>
                      <w:sz w:val="21"/>
                      <w:szCs w:val="21"/>
                    </w:rPr>
                  </w:pPr>
                </w:p>
              </w:tc>
            </w:tr>
            <w:tr w14:paraId="4774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tcBorders>
                    <w:left w:val="nil"/>
                  </w:tcBorders>
                  <w:vAlign w:val="center"/>
                </w:tcPr>
                <w:p w14:paraId="4C66216F">
                  <w:pPr>
                    <w:spacing w:line="360" w:lineRule="exact"/>
                    <w:jc w:val="center"/>
                    <w:rPr>
                      <w:spacing w:val="-6"/>
                      <w:sz w:val="21"/>
                      <w:szCs w:val="21"/>
                    </w:rPr>
                  </w:pPr>
                  <w:r>
                    <w:rPr>
                      <w:spacing w:val="-6"/>
                      <w:sz w:val="21"/>
                      <w:szCs w:val="21"/>
                    </w:rPr>
                    <w:t>放射性固废</w:t>
                  </w:r>
                </w:p>
              </w:tc>
              <w:tc>
                <w:tcPr>
                  <w:tcW w:w="2685" w:type="pct"/>
                  <w:gridSpan w:val="5"/>
                  <w:shd w:val="clear" w:color="auto" w:fill="auto"/>
                  <w:vAlign w:val="center"/>
                </w:tcPr>
                <w:p w14:paraId="58AC7B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rFonts w:hint="eastAsia"/>
                      <w:bCs/>
                      <w:sz w:val="21"/>
                      <w:szCs w:val="21"/>
                      <w:lang w:eastAsia="zh-CN"/>
                    </w:rPr>
                    <w:t>放废暂存间</w:t>
                  </w:r>
                </w:p>
              </w:tc>
              <w:tc>
                <w:tcPr>
                  <w:tcW w:w="382" w:type="pct"/>
                  <w:shd w:val="clear" w:color="auto" w:fill="auto"/>
                  <w:vAlign w:val="center"/>
                </w:tcPr>
                <w:p w14:paraId="6C11D6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1</w:t>
                  </w:r>
                  <w:r>
                    <w:rPr>
                      <w:sz w:val="21"/>
                      <w:szCs w:val="21"/>
                    </w:rPr>
                    <w:t>间</w:t>
                  </w:r>
                </w:p>
              </w:tc>
              <w:tc>
                <w:tcPr>
                  <w:tcW w:w="1331" w:type="pct"/>
                  <w:vMerge w:val="restart"/>
                  <w:tcBorders>
                    <w:right w:val="nil"/>
                  </w:tcBorders>
                  <w:vAlign w:val="center"/>
                </w:tcPr>
                <w:p w14:paraId="034D4C4D">
                  <w:pPr>
                    <w:spacing w:line="360" w:lineRule="exact"/>
                    <w:jc w:val="center"/>
                    <w:rPr>
                      <w:spacing w:val="-6"/>
                      <w:sz w:val="21"/>
                      <w:szCs w:val="21"/>
                    </w:rPr>
                  </w:pPr>
                  <w:r>
                    <w:rPr>
                      <w:spacing w:val="-6"/>
                      <w:sz w:val="21"/>
                      <w:szCs w:val="21"/>
                    </w:rPr>
                    <w:t>查验是否落实放射固废解控计划并建立管理档案，医疗废物是否交由有资质单位处理</w:t>
                  </w:r>
                </w:p>
              </w:tc>
            </w:tr>
            <w:tr w14:paraId="0759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677E75F1">
                  <w:pPr>
                    <w:spacing w:line="360" w:lineRule="exact"/>
                    <w:jc w:val="center"/>
                    <w:rPr>
                      <w:spacing w:val="-6"/>
                      <w:sz w:val="21"/>
                      <w:szCs w:val="21"/>
                    </w:rPr>
                  </w:pPr>
                </w:p>
              </w:tc>
              <w:tc>
                <w:tcPr>
                  <w:tcW w:w="2685" w:type="pct"/>
                  <w:gridSpan w:val="5"/>
                  <w:shd w:val="clear" w:color="auto" w:fill="auto"/>
                  <w:vAlign w:val="center"/>
                </w:tcPr>
                <w:p w14:paraId="2B7977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z w:val="21"/>
                      <w:szCs w:val="21"/>
                      <w:lang w:val="en-US" w:eastAsia="zh-CN" w:bidi="ar-SA"/>
                    </w:rPr>
                  </w:pPr>
                  <w:r>
                    <w:rPr>
                      <w:sz w:val="21"/>
                      <w:szCs w:val="21"/>
                      <w:lang w:bidi="ar"/>
                    </w:rPr>
                    <w:t>放射性固废收集容器（10</w:t>
                  </w:r>
                  <w:r>
                    <w:rPr>
                      <w:sz w:val="21"/>
                      <w:szCs w:val="21"/>
                    </w:rPr>
                    <w:t>mm铅当量</w:t>
                  </w:r>
                  <w:r>
                    <w:rPr>
                      <w:sz w:val="21"/>
                      <w:szCs w:val="21"/>
                      <w:lang w:bidi="ar"/>
                    </w:rPr>
                    <w:t>）</w:t>
                  </w:r>
                </w:p>
              </w:tc>
              <w:tc>
                <w:tcPr>
                  <w:tcW w:w="382" w:type="pct"/>
                  <w:shd w:val="clear" w:color="auto" w:fill="auto"/>
                  <w:vAlign w:val="center"/>
                </w:tcPr>
                <w:p w14:paraId="6DEFD1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11</w:t>
                  </w:r>
                  <w:r>
                    <w:rPr>
                      <w:sz w:val="21"/>
                      <w:szCs w:val="21"/>
                    </w:rPr>
                    <w:t>个</w:t>
                  </w:r>
                </w:p>
              </w:tc>
              <w:tc>
                <w:tcPr>
                  <w:tcW w:w="1331" w:type="pct"/>
                  <w:vMerge w:val="continue"/>
                  <w:tcBorders>
                    <w:right w:val="nil"/>
                  </w:tcBorders>
                  <w:vAlign w:val="center"/>
                </w:tcPr>
                <w:p w14:paraId="243E5BEF">
                  <w:pPr>
                    <w:spacing w:line="360" w:lineRule="exact"/>
                    <w:jc w:val="center"/>
                    <w:rPr>
                      <w:spacing w:val="-6"/>
                      <w:sz w:val="21"/>
                      <w:szCs w:val="21"/>
                    </w:rPr>
                  </w:pPr>
                </w:p>
              </w:tc>
            </w:tr>
            <w:tr w14:paraId="6BD6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00" w:type="pct"/>
                  <w:vMerge w:val="continue"/>
                  <w:tcBorders>
                    <w:left w:val="nil"/>
                  </w:tcBorders>
                  <w:vAlign w:val="center"/>
                </w:tcPr>
                <w:p w14:paraId="3BDCC2DF">
                  <w:pPr>
                    <w:spacing w:line="360" w:lineRule="exact"/>
                    <w:jc w:val="center"/>
                    <w:rPr>
                      <w:spacing w:val="-6"/>
                      <w:sz w:val="21"/>
                      <w:szCs w:val="21"/>
                    </w:rPr>
                  </w:pPr>
                </w:p>
              </w:tc>
              <w:tc>
                <w:tcPr>
                  <w:tcW w:w="2685" w:type="pct"/>
                  <w:gridSpan w:val="5"/>
                  <w:shd w:val="clear" w:color="auto" w:fill="auto"/>
                  <w:vAlign w:val="center"/>
                </w:tcPr>
                <w:p w14:paraId="0F6F47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
                    </w:rPr>
                  </w:pPr>
                  <w:r>
                    <w:rPr>
                      <w:sz w:val="21"/>
                      <w:szCs w:val="21"/>
                      <w:lang w:bidi="ar"/>
                    </w:rPr>
                    <w:t>放射性固废暂存容器（5</w:t>
                  </w:r>
                  <w:r>
                    <w:rPr>
                      <w:sz w:val="21"/>
                      <w:szCs w:val="21"/>
                    </w:rPr>
                    <w:t>mm铅当量</w:t>
                  </w:r>
                  <w:r>
                    <w:rPr>
                      <w:sz w:val="21"/>
                      <w:szCs w:val="21"/>
                      <w:lang w:bidi="ar"/>
                    </w:rPr>
                    <w:t>）</w:t>
                  </w:r>
                </w:p>
              </w:tc>
              <w:tc>
                <w:tcPr>
                  <w:tcW w:w="382" w:type="pct"/>
                  <w:shd w:val="clear" w:color="auto" w:fill="auto"/>
                  <w:vAlign w:val="center"/>
                </w:tcPr>
                <w:p w14:paraId="3B1F75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8</w:t>
                  </w:r>
                  <w:r>
                    <w:rPr>
                      <w:sz w:val="21"/>
                      <w:szCs w:val="21"/>
                    </w:rPr>
                    <w:t>个</w:t>
                  </w:r>
                </w:p>
              </w:tc>
              <w:tc>
                <w:tcPr>
                  <w:tcW w:w="1331" w:type="pct"/>
                  <w:vMerge w:val="continue"/>
                  <w:tcBorders>
                    <w:right w:val="nil"/>
                  </w:tcBorders>
                  <w:vAlign w:val="center"/>
                </w:tcPr>
                <w:p w14:paraId="40DFFC12">
                  <w:pPr>
                    <w:spacing w:line="360" w:lineRule="exact"/>
                    <w:jc w:val="center"/>
                    <w:rPr>
                      <w:spacing w:val="-6"/>
                      <w:sz w:val="21"/>
                      <w:szCs w:val="21"/>
                    </w:rPr>
                  </w:pPr>
                </w:p>
              </w:tc>
            </w:tr>
            <w:tr w14:paraId="75B9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tcBorders>
                    <w:left w:val="nil"/>
                  </w:tcBorders>
                  <w:vAlign w:val="center"/>
                </w:tcPr>
                <w:p w14:paraId="6788A883">
                  <w:pPr>
                    <w:spacing w:line="360" w:lineRule="exact"/>
                    <w:jc w:val="center"/>
                    <w:rPr>
                      <w:spacing w:val="-6"/>
                      <w:sz w:val="21"/>
                      <w:szCs w:val="21"/>
                    </w:rPr>
                  </w:pPr>
                  <w:r>
                    <w:rPr>
                      <w:spacing w:val="-6"/>
                      <w:sz w:val="21"/>
                      <w:szCs w:val="21"/>
                    </w:rPr>
                    <w:t>放射性废气</w:t>
                  </w:r>
                </w:p>
              </w:tc>
              <w:tc>
                <w:tcPr>
                  <w:tcW w:w="2685" w:type="pct"/>
                  <w:gridSpan w:val="5"/>
                  <w:vAlign w:val="center"/>
                </w:tcPr>
                <w:p w14:paraId="00B590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rFonts w:hint="eastAsia"/>
                      <w:sz w:val="21"/>
                      <w:szCs w:val="21"/>
                      <w:lang w:val="en-US" w:eastAsia="zh-CN"/>
                    </w:rPr>
                    <w:t>核医学科</w:t>
                  </w:r>
                  <w:r>
                    <w:rPr>
                      <w:sz w:val="21"/>
                      <w:szCs w:val="21"/>
                    </w:rPr>
                    <w:t>控制区独立排风及过滤系统</w:t>
                  </w:r>
                </w:p>
              </w:tc>
              <w:tc>
                <w:tcPr>
                  <w:tcW w:w="382" w:type="pct"/>
                  <w:vAlign w:val="center"/>
                </w:tcPr>
                <w:p w14:paraId="50854D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rFonts w:hint="eastAsia"/>
                      <w:sz w:val="21"/>
                      <w:szCs w:val="21"/>
                      <w:lang w:val="en-US" w:eastAsia="zh-CN"/>
                    </w:rPr>
                    <w:t>4</w:t>
                  </w:r>
                  <w:r>
                    <w:rPr>
                      <w:sz w:val="21"/>
                      <w:szCs w:val="21"/>
                    </w:rPr>
                    <w:t>套</w:t>
                  </w:r>
                </w:p>
              </w:tc>
              <w:tc>
                <w:tcPr>
                  <w:tcW w:w="1331" w:type="pct"/>
                  <w:tcBorders>
                    <w:right w:val="nil"/>
                  </w:tcBorders>
                  <w:vAlign w:val="center"/>
                </w:tcPr>
                <w:p w14:paraId="24F56890">
                  <w:pPr>
                    <w:spacing w:line="360" w:lineRule="exact"/>
                    <w:jc w:val="center"/>
                    <w:rPr>
                      <w:spacing w:val="-6"/>
                      <w:sz w:val="21"/>
                      <w:szCs w:val="21"/>
                    </w:rPr>
                  </w:pPr>
                  <w:r>
                    <w:rPr>
                      <w:spacing w:val="-6"/>
                      <w:sz w:val="21"/>
                      <w:szCs w:val="21"/>
                    </w:rPr>
                    <w:t>查验是否正常有效运行</w:t>
                  </w:r>
                </w:p>
              </w:tc>
            </w:tr>
            <w:tr w14:paraId="70C4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tcBorders>
                    <w:left w:val="nil"/>
                  </w:tcBorders>
                  <w:vAlign w:val="center"/>
                </w:tcPr>
                <w:p w14:paraId="5BF51822">
                  <w:pPr>
                    <w:spacing w:line="360" w:lineRule="exact"/>
                    <w:jc w:val="center"/>
                    <w:rPr>
                      <w:spacing w:val="-6"/>
                      <w:sz w:val="21"/>
                      <w:szCs w:val="21"/>
                    </w:rPr>
                  </w:pPr>
                  <w:r>
                    <w:rPr>
                      <w:spacing w:val="-6"/>
                      <w:sz w:val="21"/>
                      <w:szCs w:val="21"/>
                    </w:rPr>
                    <w:t>个人防护用品</w:t>
                  </w:r>
                </w:p>
              </w:tc>
              <w:tc>
                <w:tcPr>
                  <w:tcW w:w="926" w:type="pct"/>
                  <w:gridSpan w:val="3"/>
                  <w:vMerge w:val="restart"/>
                  <w:shd w:val="clear" w:color="auto" w:fill="auto"/>
                  <w:vAlign w:val="center"/>
                </w:tcPr>
                <w:p w14:paraId="24AD3C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pacing w:val="-6"/>
                      <w:sz w:val="21"/>
                      <w:szCs w:val="21"/>
                    </w:rPr>
                  </w:pPr>
                  <w:r>
                    <w:rPr>
                      <w:sz w:val="21"/>
                      <w:szCs w:val="21"/>
                    </w:rPr>
                    <w:t>PET/CT机房</w:t>
                  </w:r>
                  <w:r>
                    <w:rPr>
                      <w:rFonts w:hint="eastAsia"/>
                      <w:sz w:val="21"/>
                      <w:szCs w:val="21"/>
                      <w:lang w:eastAsia="zh-CN"/>
                    </w:rPr>
                    <w:t>、</w:t>
                  </w:r>
                  <w:r>
                    <w:rPr>
                      <w:rFonts w:hint="eastAsia"/>
                      <w:sz w:val="21"/>
                      <w:szCs w:val="21"/>
                      <w:lang w:val="en-US" w:eastAsia="zh-CN"/>
                    </w:rPr>
                    <w:t>SPECT/CT机房</w:t>
                  </w:r>
                </w:p>
              </w:tc>
              <w:tc>
                <w:tcPr>
                  <w:tcW w:w="1758" w:type="pct"/>
                  <w:gridSpan w:val="2"/>
                  <w:shd w:val="clear" w:color="auto" w:fill="auto"/>
                  <w:vAlign w:val="center"/>
                </w:tcPr>
                <w:p w14:paraId="2E875D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个人剂量报警仪</w:t>
                  </w:r>
                </w:p>
              </w:tc>
              <w:tc>
                <w:tcPr>
                  <w:tcW w:w="382" w:type="pct"/>
                  <w:shd w:val="clear" w:color="auto" w:fill="auto"/>
                  <w:vAlign w:val="center"/>
                </w:tcPr>
                <w:p w14:paraId="2BAF48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9</w:t>
                  </w:r>
                  <w:r>
                    <w:rPr>
                      <w:sz w:val="21"/>
                      <w:szCs w:val="21"/>
                    </w:rPr>
                    <w:t>个</w:t>
                  </w:r>
                </w:p>
              </w:tc>
              <w:tc>
                <w:tcPr>
                  <w:tcW w:w="1331" w:type="pct"/>
                  <w:vMerge w:val="restart"/>
                  <w:tcBorders>
                    <w:right w:val="nil"/>
                  </w:tcBorders>
                  <w:vAlign w:val="center"/>
                </w:tcPr>
                <w:p w14:paraId="7E89350A">
                  <w:pPr>
                    <w:spacing w:line="360" w:lineRule="exact"/>
                    <w:jc w:val="center"/>
                    <w:rPr>
                      <w:spacing w:val="-6"/>
                      <w:sz w:val="21"/>
                      <w:szCs w:val="21"/>
                    </w:rPr>
                  </w:pPr>
                  <w:r>
                    <w:rPr>
                      <w:spacing w:val="-6"/>
                      <w:sz w:val="21"/>
                      <w:szCs w:val="21"/>
                    </w:rPr>
                    <w:t>查验是否正常有效</w:t>
                  </w:r>
                </w:p>
                <w:p w14:paraId="40592FC0">
                  <w:pPr>
                    <w:spacing w:line="360" w:lineRule="exact"/>
                    <w:jc w:val="center"/>
                    <w:rPr>
                      <w:spacing w:val="-6"/>
                      <w:sz w:val="21"/>
                      <w:szCs w:val="21"/>
                    </w:rPr>
                  </w:pPr>
                  <w:r>
                    <w:rPr>
                      <w:spacing w:val="-6"/>
                      <w:sz w:val="21"/>
                      <w:szCs w:val="21"/>
                    </w:rPr>
                    <w:t>查验是否按要求定期委托有资质单位开展个人剂量监测，并建立个人剂量档案和个人健康档案</w:t>
                  </w:r>
                </w:p>
              </w:tc>
            </w:tr>
            <w:tr w14:paraId="3430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48F56E98">
                  <w:pPr>
                    <w:spacing w:line="360" w:lineRule="exact"/>
                    <w:jc w:val="center"/>
                    <w:rPr>
                      <w:spacing w:val="-6"/>
                      <w:sz w:val="21"/>
                      <w:szCs w:val="21"/>
                    </w:rPr>
                  </w:pPr>
                </w:p>
              </w:tc>
              <w:tc>
                <w:tcPr>
                  <w:tcW w:w="926" w:type="pct"/>
                  <w:gridSpan w:val="3"/>
                  <w:vMerge w:val="continue"/>
                  <w:vAlign w:val="center"/>
                </w:tcPr>
                <w:p w14:paraId="0AA08B5F">
                  <w:pPr>
                    <w:spacing w:line="360" w:lineRule="exact"/>
                    <w:jc w:val="center"/>
                    <w:rPr>
                      <w:spacing w:val="-6"/>
                      <w:sz w:val="21"/>
                      <w:szCs w:val="21"/>
                    </w:rPr>
                  </w:pPr>
                </w:p>
              </w:tc>
              <w:tc>
                <w:tcPr>
                  <w:tcW w:w="1758" w:type="pct"/>
                  <w:gridSpan w:val="2"/>
                  <w:shd w:val="clear" w:color="auto" w:fill="auto"/>
                  <w:vAlign w:val="center"/>
                </w:tcPr>
                <w:p w14:paraId="2B0E72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个人剂量计</w:t>
                  </w:r>
                </w:p>
              </w:tc>
              <w:tc>
                <w:tcPr>
                  <w:tcW w:w="382" w:type="pct"/>
                  <w:shd w:val="clear" w:color="auto" w:fill="auto"/>
                  <w:vAlign w:val="center"/>
                </w:tcPr>
                <w:p w14:paraId="4C0F80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9</w:t>
                  </w:r>
                  <w:r>
                    <w:rPr>
                      <w:sz w:val="21"/>
                      <w:szCs w:val="21"/>
                    </w:rPr>
                    <w:t>套</w:t>
                  </w:r>
                </w:p>
              </w:tc>
              <w:tc>
                <w:tcPr>
                  <w:tcW w:w="1331" w:type="pct"/>
                  <w:vMerge w:val="continue"/>
                  <w:tcBorders>
                    <w:right w:val="nil"/>
                  </w:tcBorders>
                  <w:vAlign w:val="center"/>
                </w:tcPr>
                <w:p w14:paraId="09B9B3B6">
                  <w:pPr>
                    <w:spacing w:line="360" w:lineRule="exact"/>
                    <w:jc w:val="center"/>
                    <w:rPr>
                      <w:spacing w:val="-6"/>
                      <w:sz w:val="21"/>
                      <w:szCs w:val="21"/>
                    </w:rPr>
                  </w:pPr>
                </w:p>
              </w:tc>
            </w:tr>
            <w:tr w14:paraId="3767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39B3C7A6">
                  <w:pPr>
                    <w:spacing w:line="360" w:lineRule="exact"/>
                    <w:jc w:val="center"/>
                    <w:rPr>
                      <w:spacing w:val="-6"/>
                      <w:sz w:val="21"/>
                      <w:szCs w:val="21"/>
                    </w:rPr>
                  </w:pPr>
                </w:p>
              </w:tc>
              <w:tc>
                <w:tcPr>
                  <w:tcW w:w="926" w:type="pct"/>
                  <w:gridSpan w:val="3"/>
                  <w:vMerge w:val="continue"/>
                  <w:vAlign w:val="center"/>
                </w:tcPr>
                <w:p w14:paraId="58D9B43A">
                  <w:pPr>
                    <w:spacing w:line="360" w:lineRule="exact"/>
                    <w:jc w:val="center"/>
                    <w:rPr>
                      <w:spacing w:val="-6"/>
                      <w:sz w:val="21"/>
                      <w:szCs w:val="21"/>
                    </w:rPr>
                  </w:pPr>
                </w:p>
              </w:tc>
              <w:tc>
                <w:tcPr>
                  <w:tcW w:w="1758" w:type="pct"/>
                  <w:gridSpan w:val="2"/>
                  <w:shd w:val="clear" w:color="auto" w:fill="auto"/>
                  <w:vAlign w:val="center"/>
                </w:tcPr>
                <w:p w14:paraId="6B9A79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pacing w:val="-6"/>
                      <w:sz w:val="21"/>
                      <w:szCs w:val="21"/>
                    </w:rPr>
                    <w:t>铅衣、铅帽、铅眼镜、铅围脖、铅围巾等（0.5mm铅当量）</w:t>
                  </w:r>
                </w:p>
              </w:tc>
              <w:tc>
                <w:tcPr>
                  <w:tcW w:w="382" w:type="pct"/>
                  <w:shd w:val="clear" w:color="auto" w:fill="auto"/>
                  <w:vAlign w:val="center"/>
                </w:tcPr>
                <w:p w14:paraId="276679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4</w:t>
                  </w:r>
                  <w:r>
                    <w:rPr>
                      <w:sz w:val="21"/>
                      <w:szCs w:val="21"/>
                    </w:rPr>
                    <w:t>套</w:t>
                  </w:r>
                </w:p>
              </w:tc>
              <w:tc>
                <w:tcPr>
                  <w:tcW w:w="1331" w:type="pct"/>
                  <w:vMerge w:val="continue"/>
                  <w:tcBorders>
                    <w:right w:val="nil"/>
                  </w:tcBorders>
                  <w:vAlign w:val="center"/>
                </w:tcPr>
                <w:p w14:paraId="1A7E19CD">
                  <w:pPr>
                    <w:spacing w:line="360" w:lineRule="exact"/>
                    <w:jc w:val="center"/>
                    <w:rPr>
                      <w:spacing w:val="-6"/>
                      <w:sz w:val="21"/>
                      <w:szCs w:val="21"/>
                    </w:rPr>
                  </w:pPr>
                </w:p>
              </w:tc>
            </w:tr>
            <w:tr w14:paraId="0F67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CE80754">
                  <w:pPr>
                    <w:spacing w:line="360" w:lineRule="exact"/>
                    <w:jc w:val="center"/>
                    <w:rPr>
                      <w:spacing w:val="-6"/>
                      <w:sz w:val="21"/>
                      <w:szCs w:val="21"/>
                    </w:rPr>
                  </w:pPr>
                </w:p>
              </w:tc>
              <w:tc>
                <w:tcPr>
                  <w:tcW w:w="926" w:type="pct"/>
                  <w:gridSpan w:val="3"/>
                  <w:vMerge w:val="restart"/>
                  <w:shd w:val="clear" w:color="auto" w:fill="auto"/>
                  <w:vAlign w:val="center"/>
                </w:tcPr>
                <w:p w14:paraId="3EF823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cs="Times New Roman"/>
                      <w:bCs/>
                      <w:spacing w:val="-6"/>
                      <w:sz w:val="21"/>
                      <w:szCs w:val="21"/>
                      <w:lang w:val="en-US" w:eastAsia="zh-CN" w:bidi="ar-SA"/>
                    </w:rPr>
                    <w:t>DSA+CT复合手术室、3个DSA手术室（OR09、OR10、OR11）、ERCP室</w:t>
                  </w:r>
                </w:p>
              </w:tc>
              <w:tc>
                <w:tcPr>
                  <w:tcW w:w="1758" w:type="pct"/>
                  <w:gridSpan w:val="2"/>
                  <w:shd w:val="clear" w:color="auto" w:fill="auto"/>
                  <w:vAlign w:val="center"/>
                </w:tcPr>
                <w:p w14:paraId="7635FB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个人剂量报警仪</w:t>
                  </w:r>
                </w:p>
              </w:tc>
              <w:tc>
                <w:tcPr>
                  <w:tcW w:w="382" w:type="pct"/>
                  <w:shd w:val="clear" w:color="auto" w:fill="auto"/>
                  <w:vAlign w:val="center"/>
                </w:tcPr>
                <w:p w14:paraId="6DDB0C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SA"/>
                    </w:rPr>
                  </w:pPr>
                  <w:r>
                    <w:rPr>
                      <w:rFonts w:hint="eastAsia"/>
                      <w:sz w:val="21"/>
                      <w:szCs w:val="21"/>
                      <w:lang w:val="en-US" w:eastAsia="zh-CN"/>
                    </w:rPr>
                    <w:t>34</w:t>
                  </w:r>
                  <w:r>
                    <w:rPr>
                      <w:sz w:val="21"/>
                      <w:szCs w:val="21"/>
                    </w:rPr>
                    <w:t>个</w:t>
                  </w:r>
                </w:p>
              </w:tc>
              <w:tc>
                <w:tcPr>
                  <w:tcW w:w="1331" w:type="pct"/>
                  <w:vMerge w:val="continue"/>
                  <w:tcBorders>
                    <w:right w:val="nil"/>
                  </w:tcBorders>
                  <w:vAlign w:val="center"/>
                </w:tcPr>
                <w:p w14:paraId="780479FA">
                  <w:pPr>
                    <w:spacing w:line="360" w:lineRule="exact"/>
                    <w:jc w:val="center"/>
                    <w:rPr>
                      <w:spacing w:val="-6"/>
                      <w:sz w:val="21"/>
                      <w:szCs w:val="21"/>
                    </w:rPr>
                  </w:pPr>
                </w:p>
              </w:tc>
            </w:tr>
            <w:tr w14:paraId="275C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7490F7C8">
                  <w:pPr>
                    <w:spacing w:line="360" w:lineRule="exact"/>
                    <w:jc w:val="center"/>
                    <w:rPr>
                      <w:spacing w:val="-6"/>
                      <w:sz w:val="21"/>
                      <w:szCs w:val="21"/>
                    </w:rPr>
                  </w:pPr>
                </w:p>
              </w:tc>
              <w:tc>
                <w:tcPr>
                  <w:tcW w:w="926" w:type="pct"/>
                  <w:gridSpan w:val="3"/>
                  <w:vMerge w:val="continue"/>
                  <w:vAlign w:val="center"/>
                </w:tcPr>
                <w:p w14:paraId="3905BE0F">
                  <w:pPr>
                    <w:spacing w:line="360" w:lineRule="exact"/>
                    <w:jc w:val="center"/>
                    <w:rPr>
                      <w:spacing w:val="-6"/>
                      <w:sz w:val="21"/>
                      <w:szCs w:val="21"/>
                    </w:rPr>
                  </w:pPr>
                </w:p>
              </w:tc>
              <w:tc>
                <w:tcPr>
                  <w:tcW w:w="1758" w:type="pct"/>
                  <w:gridSpan w:val="2"/>
                  <w:shd w:val="clear" w:color="auto" w:fill="auto"/>
                  <w:vAlign w:val="center"/>
                </w:tcPr>
                <w:p w14:paraId="70C494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个人剂量计</w:t>
                  </w:r>
                </w:p>
              </w:tc>
              <w:tc>
                <w:tcPr>
                  <w:tcW w:w="382" w:type="pct"/>
                  <w:shd w:val="clear" w:color="auto" w:fill="auto"/>
                  <w:vAlign w:val="center"/>
                </w:tcPr>
                <w:p w14:paraId="3B33CF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sz w:val="21"/>
                      <w:szCs w:val="21"/>
                      <w:lang w:val="en-US" w:eastAsia="zh-CN" w:bidi="ar-SA"/>
                    </w:rPr>
                  </w:pPr>
                  <w:r>
                    <w:rPr>
                      <w:sz w:val="21"/>
                      <w:szCs w:val="21"/>
                    </w:rPr>
                    <w:t>34套</w:t>
                  </w:r>
                </w:p>
              </w:tc>
              <w:tc>
                <w:tcPr>
                  <w:tcW w:w="1331" w:type="pct"/>
                  <w:vMerge w:val="continue"/>
                  <w:tcBorders>
                    <w:right w:val="nil"/>
                  </w:tcBorders>
                  <w:vAlign w:val="center"/>
                </w:tcPr>
                <w:p w14:paraId="55BB4516">
                  <w:pPr>
                    <w:spacing w:line="360" w:lineRule="exact"/>
                    <w:jc w:val="center"/>
                    <w:rPr>
                      <w:spacing w:val="-6"/>
                      <w:sz w:val="21"/>
                      <w:szCs w:val="21"/>
                    </w:rPr>
                  </w:pPr>
                </w:p>
              </w:tc>
            </w:tr>
            <w:tr w14:paraId="234B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0EBF93E1">
                  <w:pPr>
                    <w:spacing w:line="360" w:lineRule="exact"/>
                    <w:jc w:val="center"/>
                    <w:rPr>
                      <w:spacing w:val="-6"/>
                      <w:sz w:val="21"/>
                      <w:szCs w:val="21"/>
                    </w:rPr>
                  </w:pPr>
                </w:p>
              </w:tc>
              <w:tc>
                <w:tcPr>
                  <w:tcW w:w="926" w:type="pct"/>
                  <w:gridSpan w:val="3"/>
                  <w:vMerge w:val="continue"/>
                  <w:vAlign w:val="center"/>
                </w:tcPr>
                <w:p w14:paraId="21114305">
                  <w:pPr>
                    <w:spacing w:line="360" w:lineRule="exact"/>
                    <w:jc w:val="center"/>
                    <w:rPr>
                      <w:spacing w:val="-6"/>
                      <w:sz w:val="21"/>
                      <w:szCs w:val="21"/>
                    </w:rPr>
                  </w:pPr>
                </w:p>
              </w:tc>
              <w:tc>
                <w:tcPr>
                  <w:tcW w:w="1758" w:type="pct"/>
                  <w:gridSpan w:val="2"/>
                  <w:shd w:val="clear" w:color="auto" w:fill="auto"/>
                  <w:vAlign w:val="center"/>
                </w:tcPr>
                <w:p w14:paraId="4C45F3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辐射工作人员</w:t>
                  </w:r>
                  <w:r>
                    <w:rPr>
                      <w:rFonts w:hint="eastAsia"/>
                      <w:bCs/>
                      <w:spacing w:val="-6"/>
                      <w:sz w:val="21"/>
                      <w:szCs w:val="21"/>
                    </w:rPr>
                    <w:t>防护：</w:t>
                  </w:r>
                  <w:r>
                    <w:rPr>
                      <w:bCs/>
                      <w:spacing w:val="-6"/>
                      <w:sz w:val="21"/>
                      <w:szCs w:val="21"/>
                    </w:rPr>
                    <w:t>铅</w:t>
                  </w:r>
                  <w:r>
                    <w:rPr>
                      <w:rFonts w:hint="eastAsia"/>
                      <w:bCs/>
                      <w:spacing w:val="-6"/>
                      <w:sz w:val="21"/>
                      <w:szCs w:val="21"/>
                    </w:rPr>
                    <w:t>衣</w:t>
                  </w:r>
                  <w:r>
                    <w:rPr>
                      <w:bCs/>
                      <w:spacing w:val="-6"/>
                      <w:sz w:val="21"/>
                      <w:szCs w:val="21"/>
                    </w:rPr>
                    <w:t>、铅橡胶颈套、铅防护眼镜（0.5mmPb）</w:t>
                  </w:r>
                  <w:r>
                    <w:rPr>
                      <w:rFonts w:hint="eastAsia"/>
                      <w:bCs/>
                      <w:spacing w:val="-6"/>
                      <w:sz w:val="21"/>
                      <w:szCs w:val="21"/>
                    </w:rPr>
                    <w:t>；介入防护手套</w:t>
                  </w:r>
                  <w:r>
                    <w:rPr>
                      <w:bCs/>
                      <w:spacing w:val="-6"/>
                      <w:sz w:val="21"/>
                      <w:szCs w:val="21"/>
                    </w:rPr>
                    <w:t>（0.</w:t>
                  </w:r>
                  <w:r>
                    <w:rPr>
                      <w:rFonts w:hint="eastAsia"/>
                      <w:bCs/>
                      <w:spacing w:val="-6"/>
                      <w:sz w:val="21"/>
                      <w:szCs w:val="21"/>
                    </w:rPr>
                    <w:t>0</w:t>
                  </w:r>
                  <w:r>
                    <w:rPr>
                      <w:rFonts w:hint="eastAsia"/>
                      <w:bCs/>
                      <w:spacing w:val="-6"/>
                      <w:sz w:val="21"/>
                      <w:szCs w:val="21"/>
                      <w:lang w:val="en-US" w:eastAsia="zh-CN"/>
                    </w:rPr>
                    <w:t>2</w:t>
                  </w:r>
                  <w:r>
                    <w:rPr>
                      <w:rFonts w:hint="eastAsia"/>
                      <w:bCs/>
                      <w:spacing w:val="-6"/>
                      <w:sz w:val="21"/>
                      <w:szCs w:val="21"/>
                    </w:rPr>
                    <w:t>5</w:t>
                  </w:r>
                  <w:r>
                    <w:rPr>
                      <w:bCs/>
                      <w:spacing w:val="-6"/>
                      <w:sz w:val="21"/>
                      <w:szCs w:val="21"/>
                    </w:rPr>
                    <w:t>mmPb）等</w:t>
                  </w:r>
                </w:p>
              </w:tc>
              <w:tc>
                <w:tcPr>
                  <w:tcW w:w="382" w:type="pct"/>
                  <w:shd w:val="clear" w:color="auto" w:fill="auto"/>
                  <w:vAlign w:val="center"/>
                </w:tcPr>
                <w:p w14:paraId="5B0C2F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r>
                    <w:rPr>
                      <w:bCs/>
                      <w:spacing w:val="-6"/>
                      <w:sz w:val="21"/>
                      <w:szCs w:val="21"/>
                    </w:rPr>
                    <w:t>套</w:t>
                  </w:r>
                </w:p>
              </w:tc>
              <w:tc>
                <w:tcPr>
                  <w:tcW w:w="1331" w:type="pct"/>
                  <w:vMerge w:val="continue"/>
                  <w:tcBorders>
                    <w:right w:val="nil"/>
                  </w:tcBorders>
                  <w:vAlign w:val="center"/>
                </w:tcPr>
                <w:p w14:paraId="3FE47BBD">
                  <w:pPr>
                    <w:spacing w:line="360" w:lineRule="exact"/>
                    <w:jc w:val="center"/>
                    <w:rPr>
                      <w:spacing w:val="-6"/>
                      <w:sz w:val="21"/>
                      <w:szCs w:val="21"/>
                    </w:rPr>
                  </w:pPr>
                </w:p>
              </w:tc>
            </w:tr>
            <w:tr w14:paraId="1D4F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69BEEAE9">
                  <w:pPr>
                    <w:spacing w:line="360" w:lineRule="exact"/>
                    <w:jc w:val="center"/>
                    <w:rPr>
                      <w:spacing w:val="-6"/>
                      <w:sz w:val="21"/>
                      <w:szCs w:val="21"/>
                    </w:rPr>
                  </w:pPr>
                </w:p>
              </w:tc>
              <w:tc>
                <w:tcPr>
                  <w:tcW w:w="926" w:type="pct"/>
                  <w:gridSpan w:val="3"/>
                  <w:vMerge w:val="continue"/>
                  <w:vAlign w:val="center"/>
                </w:tcPr>
                <w:p w14:paraId="023C5AE4">
                  <w:pPr>
                    <w:spacing w:line="360" w:lineRule="exact"/>
                    <w:jc w:val="center"/>
                    <w:rPr>
                      <w:spacing w:val="-6"/>
                      <w:sz w:val="21"/>
                      <w:szCs w:val="21"/>
                    </w:rPr>
                  </w:pPr>
                </w:p>
              </w:tc>
              <w:tc>
                <w:tcPr>
                  <w:tcW w:w="1758" w:type="pct"/>
                  <w:gridSpan w:val="2"/>
                  <w:shd w:val="clear" w:color="auto" w:fill="auto"/>
                  <w:vAlign w:val="center"/>
                </w:tcPr>
                <w:p w14:paraId="56B8D6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rPr>
                    <w:t>患者</w:t>
                  </w:r>
                  <w:r>
                    <w:rPr>
                      <w:bCs/>
                      <w:spacing w:val="-6"/>
                      <w:sz w:val="21"/>
                      <w:szCs w:val="21"/>
                    </w:rPr>
                    <w:t>防护：</w:t>
                  </w:r>
                  <w:r>
                    <w:rPr>
                      <w:sz w:val="21"/>
                      <w:szCs w:val="21"/>
                    </w:rPr>
                    <w:t>铅方巾或铅围裙</w:t>
                  </w:r>
                  <w:r>
                    <w:rPr>
                      <w:bCs/>
                      <w:spacing w:val="-6"/>
                      <w:sz w:val="21"/>
                      <w:szCs w:val="21"/>
                    </w:rPr>
                    <w:t>、铅橡胶颈套等（0.5mmPb）</w:t>
                  </w:r>
                </w:p>
              </w:tc>
              <w:tc>
                <w:tcPr>
                  <w:tcW w:w="382" w:type="pct"/>
                  <w:shd w:val="clear" w:color="auto" w:fill="auto"/>
                  <w:vAlign w:val="center"/>
                </w:tcPr>
                <w:p w14:paraId="6867F4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5</w:t>
                  </w:r>
                  <w:r>
                    <w:rPr>
                      <w:rFonts w:hint="eastAsia"/>
                      <w:bCs/>
                      <w:spacing w:val="-6"/>
                      <w:sz w:val="21"/>
                      <w:szCs w:val="21"/>
                    </w:rPr>
                    <w:t>套</w:t>
                  </w:r>
                </w:p>
              </w:tc>
              <w:tc>
                <w:tcPr>
                  <w:tcW w:w="1331" w:type="pct"/>
                  <w:vMerge w:val="continue"/>
                  <w:tcBorders>
                    <w:right w:val="nil"/>
                  </w:tcBorders>
                  <w:vAlign w:val="center"/>
                </w:tcPr>
                <w:p w14:paraId="7320875B">
                  <w:pPr>
                    <w:spacing w:line="360" w:lineRule="exact"/>
                    <w:jc w:val="center"/>
                    <w:rPr>
                      <w:spacing w:val="-6"/>
                      <w:sz w:val="21"/>
                      <w:szCs w:val="21"/>
                    </w:rPr>
                  </w:pPr>
                </w:p>
              </w:tc>
            </w:tr>
            <w:tr w14:paraId="0911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3E54202">
                  <w:pPr>
                    <w:spacing w:line="360" w:lineRule="exact"/>
                    <w:jc w:val="center"/>
                    <w:rPr>
                      <w:spacing w:val="-6"/>
                      <w:sz w:val="21"/>
                      <w:szCs w:val="21"/>
                    </w:rPr>
                  </w:pPr>
                </w:p>
              </w:tc>
              <w:tc>
                <w:tcPr>
                  <w:tcW w:w="926" w:type="pct"/>
                  <w:gridSpan w:val="3"/>
                  <w:vMerge w:val="continue"/>
                  <w:vAlign w:val="center"/>
                </w:tcPr>
                <w:p w14:paraId="3545EDAE">
                  <w:pPr>
                    <w:spacing w:line="360" w:lineRule="exact"/>
                    <w:jc w:val="center"/>
                    <w:rPr>
                      <w:spacing w:val="-6"/>
                      <w:sz w:val="21"/>
                      <w:szCs w:val="21"/>
                    </w:rPr>
                  </w:pPr>
                </w:p>
              </w:tc>
              <w:tc>
                <w:tcPr>
                  <w:tcW w:w="1758" w:type="pct"/>
                  <w:gridSpan w:val="2"/>
                  <w:shd w:val="clear" w:color="auto" w:fill="auto"/>
                  <w:vAlign w:val="center"/>
                </w:tcPr>
                <w:p w14:paraId="4E7F3A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bCs/>
                      <w:spacing w:val="-6"/>
                      <w:sz w:val="21"/>
                      <w:szCs w:val="21"/>
                    </w:rPr>
                    <w:t>铅防护吊屏和</w:t>
                  </w:r>
                  <w:r>
                    <w:rPr>
                      <w:rFonts w:hint="eastAsia"/>
                      <w:bCs/>
                      <w:spacing w:val="-6"/>
                      <w:sz w:val="21"/>
                      <w:szCs w:val="21"/>
                    </w:rPr>
                    <w:t>床侧防护帘</w:t>
                  </w:r>
                  <w:r>
                    <w:rPr>
                      <w:bCs/>
                      <w:spacing w:val="-6"/>
                      <w:sz w:val="21"/>
                      <w:szCs w:val="21"/>
                    </w:rPr>
                    <w:t>（0.5mmPb）</w:t>
                  </w:r>
                </w:p>
              </w:tc>
              <w:tc>
                <w:tcPr>
                  <w:tcW w:w="382" w:type="pct"/>
                  <w:shd w:val="clear" w:color="auto" w:fill="auto"/>
                  <w:vAlign w:val="center"/>
                </w:tcPr>
                <w:p w14:paraId="3E0C55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各1套</w:t>
                  </w:r>
                </w:p>
              </w:tc>
              <w:tc>
                <w:tcPr>
                  <w:tcW w:w="1331" w:type="pct"/>
                  <w:vMerge w:val="continue"/>
                  <w:tcBorders>
                    <w:right w:val="nil"/>
                  </w:tcBorders>
                  <w:vAlign w:val="center"/>
                </w:tcPr>
                <w:p w14:paraId="796186E8">
                  <w:pPr>
                    <w:spacing w:line="360" w:lineRule="exact"/>
                    <w:jc w:val="center"/>
                    <w:rPr>
                      <w:spacing w:val="-6"/>
                      <w:sz w:val="21"/>
                      <w:szCs w:val="21"/>
                    </w:rPr>
                  </w:pPr>
                </w:p>
              </w:tc>
            </w:tr>
            <w:tr w14:paraId="79BF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tcBorders>
                    <w:left w:val="nil"/>
                  </w:tcBorders>
                  <w:shd w:val="clear" w:color="auto" w:fill="auto"/>
                  <w:vAlign w:val="center"/>
                </w:tcPr>
                <w:p w14:paraId="09D2EB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非放</w:t>
                  </w:r>
                  <w:r>
                    <w:rPr>
                      <w:bCs/>
                      <w:spacing w:val="-6"/>
                      <w:sz w:val="21"/>
                      <w:szCs w:val="21"/>
                    </w:rPr>
                    <w:t>废气</w:t>
                  </w:r>
                </w:p>
              </w:tc>
              <w:tc>
                <w:tcPr>
                  <w:tcW w:w="2685" w:type="pct"/>
                  <w:gridSpan w:val="5"/>
                  <w:shd w:val="clear" w:color="auto" w:fill="auto"/>
                  <w:vAlign w:val="center"/>
                </w:tcPr>
                <w:p w14:paraId="713384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bCs/>
                      <w:spacing w:val="-6"/>
                      <w:sz w:val="21"/>
                      <w:szCs w:val="21"/>
                    </w:rPr>
                    <w:t>通排风系统</w:t>
                  </w:r>
                </w:p>
              </w:tc>
              <w:tc>
                <w:tcPr>
                  <w:tcW w:w="382" w:type="pct"/>
                  <w:shd w:val="clear" w:color="auto" w:fill="auto"/>
                  <w:vAlign w:val="center"/>
                </w:tcPr>
                <w:p w14:paraId="17C894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3</w:t>
                  </w:r>
                  <w:r>
                    <w:rPr>
                      <w:rFonts w:hint="eastAsia"/>
                      <w:bCs/>
                      <w:spacing w:val="-6"/>
                      <w:sz w:val="21"/>
                      <w:szCs w:val="21"/>
                    </w:rPr>
                    <w:t>套</w:t>
                  </w:r>
                </w:p>
              </w:tc>
              <w:tc>
                <w:tcPr>
                  <w:tcW w:w="1331" w:type="pct"/>
                  <w:tcBorders>
                    <w:right w:val="nil"/>
                  </w:tcBorders>
                  <w:vAlign w:val="center"/>
                </w:tcPr>
                <w:p w14:paraId="79FB7509">
                  <w:pPr>
                    <w:spacing w:line="360" w:lineRule="exact"/>
                    <w:jc w:val="center"/>
                    <w:rPr>
                      <w:spacing w:val="-6"/>
                      <w:sz w:val="21"/>
                      <w:szCs w:val="21"/>
                    </w:rPr>
                  </w:pPr>
                  <w:r>
                    <w:rPr>
                      <w:spacing w:val="-6"/>
                      <w:sz w:val="21"/>
                      <w:szCs w:val="21"/>
                    </w:rPr>
                    <w:t>查验是否正常有效</w:t>
                  </w:r>
                </w:p>
              </w:tc>
            </w:tr>
            <w:tr w14:paraId="7326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tcBorders>
                    <w:left w:val="nil"/>
                  </w:tcBorders>
                  <w:shd w:val="clear" w:color="auto" w:fill="auto"/>
                  <w:vAlign w:val="center"/>
                </w:tcPr>
                <w:p w14:paraId="65941F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非放</w:t>
                  </w:r>
                  <w:r>
                    <w:rPr>
                      <w:rFonts w:hint="eastAsia"/>
                      <w:bCs/>
                      <w:spacing w:val="-6"/>
                      <w:sz w:val="21"/>
                      <w:szCs w:val="21"/>
                    </w:rPr>
                    <w:t>固体废物</w:t>
                  </w:r>
                </w:p>
              </w:tc>
              <w:tc>
                <w:tcPr>
                  <w:tcW w:w="2685" w:type="pct"/>
                  <w:gridSpan w:val="5"/>
                  <w:shd w:val="clear" w:color="auto" w:fill="auto"/>
                  <w:vAlign w:val="center"/>
                </w:tcPr>
                <w:p w14:paraId="383308F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rPr>
                    <w:t>医疗废物和生活垃圾收集桶</w:t>
                  </w:r>
                </w:p>
              </w:tc>
              <w:tc>
                <w:tcPr>
                  <w:tcW w:w="382" w:type="pct"/>
                  <w:shd w:val="clear" w:color="auto" w:fill="auto"/>
                  <w:vAlign w:val="center"/>
                </w:tcPr>
                <w:p w14:paraId="605EC3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bCs/>
                      <w:spacing w:val="-6"/>
                      <w:sz w:val="21"/>
                      <w:szCs w:val="21"/>
                      <w:lang w:val="en-US" w:eastAsia="zh-CN" w:bidi="ar-SA"/>
                    </w:rPr>
                  </w:pPr>
                  <w:r>
                    <w:rPr>
                      <w:rFonts w:hint="eastAsia"/>
                      <w:bCs/>
                      <w:spacing w:val="-6"/>
                      <w:sz w:val="21"/>
                      <w:szCs w:val="21"/>
                      <w:lang w:val="en-US" w:eastAsia="zh-CN"/>
                    </w:rPr>
                    <w:t>15</w:t>
                  </w:r>
                  <w:r>
                    <w:rPr>
                      <w:rFonts w:hint="eastAsia"/>
                      <w:bCs/>
                      <w:spacing w:val="-6"/>
                      <w:sz w:val="21"/>
                      <w:szCs w:val="21"/>
                    </w:rPr>
                    <w:t>个</w:t>
                  </w:r>
                </w:p>
              </w:tc>
              <w:tc>
                <w:tcPr>
                  <w:tcW w:w="1331" w:type="pct"/>
                  <w:tcBorders>
                    <w:right w:val="nil"/>
                  </w:tcBorders>
                  <w:vAlign w:val="center"/>
                </w:tcPr>
                <w:p w14:paraId="2BF5E966">
                  <w:pPr>
                    <w:spacing w:line="360" w:lineRule="exact"/>
                    <w:jc w:val="center"/>
                    <w:rPr>
                      <w:spacing w:val="-6"/>
                      <w:sz w:val="21"/>
                      <w:szCs w:val="21"/>
                    </w:rPr>
                  </w:pPr>
                  <w:r>
                    <w:rPr>
                      <w:spacing w:val="-6"/>
                      <w:sz w:val="21"/>
                      <w:szCs w:val="21"/>
                    </w:rPr>
                    <w:t>查验是否正常有效</w:t>
                  </w:r>
                </w:p>
              </w:tc>
            </w:tr>
            <w:tr w14:paraId="2ECC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tcBorders>
                    <w:left w:val="nil"/>
                  </w:tcBorders>
                  <w:vAlign w:val="center"/>
                </w:tcPr>
                <w:p w14:paraId="31CE903C">
                  <w:pPr>
                    <w:spacing w:line="360" w:lineRule="exact"/>
                    <w:jc w:val="center"/>
                    <w:rPr>
                      <w:spacing w:val="-6"/>
                      <w:sz w:val="21"/>
                      <w:szCs w:val="21"/>
                    </w:rPr>
                  </w:pPr>
                  <w:r>
                    <w:rPr>
                      <w:spacing w:val="-6"/>
                      <w:sz w:val="21"/>
                      <w:szCs w:val="21"/>
                    </w:rPr>
                    <w:t>其它</w:t>
                  </w:r>
                </w:p>
              </w:tc>
              <w:tc>
                <w:tcPr>
                  <w:tcW w:w="2685" w:type="pct"/>
                  <w:gridSpan w:val="5"/>
                  <w:vAlign w:val="center"/>
                </w:tcPr>
                <w:p w14:paraId="5C801F8B">
                  <w:pPr>
                    <w:spacing w:line="360" w:lineRule="exact"/>
                    <w:jc w:val="center"/>
                    <w:rPr>
                      <w:spacing w:val="-6"/>
                      <w:sz w:val="21"/>
                      <w:szCs w:val="21"/>
                    </w:rPr>
                  </w:pPr>
                  <w:r>
                    <w:rPr>
                      <w:spacing w:val="-6"/>
                      <w:sz w:val="21"/>
                      <w:szCs w:val="21"/>
                    </w:rPr>
                    <w:t>控制区地面防渗层</w:t>
                  </w:r>
                </w:p>
              </w:tc>
              <w:tc>
                <w:tcPr>
                  <w:tcW w:w="382" w:type="pct"/>
                  <w:vAlign w:val="center"/>
                </w:tcPr>
                <w:p w14:paraId="3A46F7DB">
                  <w:pPr>
                    <w:spacing w:line="360" w:lineRule="exact"/>
                    <w:jc w:val="center"/>
                    <w:rPr>
                      <w:spacing w:val="-6"/>
                      <w:sz w:val="21"/>
                      <w:szCs w:val="21"/>
                    </w:rPr>
                  </w:pPr>
                  <w:r>
                    <w:rPr>
                      <w:spacing w:val="-6"/>
                      <w:sz w:val="21"/>
                      <w:szCs w:val="21"/>
                    </w:rPr>
                    <w:t>/</w:t>
                  </w:r>
                </w:p>
              </w:tc>
              <w:tc>
                <w:tcPr>
                  <w:tcW w:w="1331" w:type="pct"/>
                  <w:tcBorders>
                    <w:right w:val="nil"/>
                  </w:tcBorders>
                  <w:vAlign w:val="center"/>
                </w:tcPr>
                <w:p w14:paraId="4F9F56A9">
                  <w:pPr>
                    <w:spacing w:line="360" w:lineRule="exact"/>
                    <w:jc w:val="center"/>
                    <w:rPr>
                      <w:spacing w:val="-6"/>
                      <w:sz w:val="21"/>
                      <w:szCs w:val="21"/>
                    </w:rPr>
                  </w:pPr>
                  <w:r>
                    <w:rPr>
                      <w:spacing w:val="-6"/>
                      <w:sz w:val="21"/>
                      <w:szCs w:val="21"/>
                    </w:rPr>
                    <w:t>计入主体工程</w:t>
                  </w:r>
                </w:p>
              </w:tc>
            </w:tr>
            <w:tr w14:paraId="561C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tcBorders>
                    <w:left w:val="nil"/>
                  </w:tcBorders>
                  <w:vAlign w:val="center"/>
                </w:tcPr>
                <w:p w14:paraId="76EC63EB">
                  <w:pPr>
                    <w:spacing w:line="360" w:lineRule="exact"/>
                    <w:jc w:val="center"/>
                    <w:rPr>
                      <w:spacing w:val="-6"/>
                      <w:sz w:val="21"/>
                      <w:szCs w:val="21"/>
                    </w:rPr>
                  </w:pPr>
                  <w:r>
                    <w:rPr>
                      <w:spacing w:val="-6"/>
                      <w:sz w:val="21"/>
                      <w:szCs w:val="21"/>
                    </w:rPr>
                    <w:t>监测设备</w:t>
                  </w:r>
                </w:p>
              </w:tc>
              <w:tc>
                <w:tcPr>
                  <w:tcW w:w="2685" w:type="pct"/>
                  <w:gridSpan w:val="5"/>
                  <w:shd w:val="clear" w:color="auto" w:fill="auto"/>
                  <w:vAlign w:val="center"/>
                </w:tcPr>
                <w:p w14:paraId="65C221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X-γ辐射剂量率监测仪</w:t>
                  </w:r>
                </w:p>
              </w:tc>
              <w:tc>
                <w:tcPr>
                  <w:tcW w:w="382" w:type="pct"/>
                  <w:shd w:val="clear" w:color="auto" w:fill="auto"/>
                  <w:vAlign w:val="center"/>
                </w:tcPr>
                <w:p w14:paraId="637946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2</w:t>
                  </w:r>
                  <w:r>
                    <w:rPr>
                      <w:sz w:val="21"/>
                      <w:szCs w:val="21"/>
                    </w:rPr>
                    <w:t>台</w:t>
                  </w:r>
                </w:p>
              </w:tc>
              <w:tc>
                <w:tcPr>
                  <w:tcW w:w="1331" w:type="pct"/>
                  <w:vMerge w:val="restart"/>
                  <w:tcBorders>
                    <w:right w:val="nil"/>
                  </w:tcBorders>
                  <w:vAlign w:val="center"/>
                </w:tcPr>
                <w:p w14:paraId="3E9786D3">
                  <w:pPr>
                    <w:spacing w:line="360" w:lineRule="exact"/>
                    <w:jc w:val="center"/>
                    <w:rPr>
                      <w:spacing w:val="-6"/>
                      <w:sz w:val="21"/>
                      <w:szCs w:val="21"/>
                    </w:rPr>
                  </w:pPr>
                  <w:r>
                    <w:rPr>
                      <w:spacing w:val="-6"/>
                      <w:sz w:val="21"/>
                      <w:szCs w:val="21"/>
                    </w:rPr>
                    <w:t>查验监测设备量程及响应值是否满足被测量对象要求，查验是否按要求定期开展自主监测，并建立自主监测档案</w:t>
                  </w:r>
                </w:p>
              </w:tc>
            </w:tr>
            <w:tr w14:paraId="1F01F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0F59D455">
                  <w:pPr>
                    <w:spacing w:line="360" w:lineRule="exact"/>
                    <w:jc w:val="center"/>
                    <w:rPr>
                      <w:spacing w:val="-6"/>
                      <w:sz w:val="21"/>
                      <w:szCs w:val="21"/>
                    </w:rPr>
                  </w:pPr>
                </w:p>
              </w:tc>
              <w:tc>
                <w:tcPr>
                  <w:tcW w:w="2685" w:type="pct"/>
                  <w:gridSpan w:val="5"/>
                  <w:shd w:val="clear" w:color="auto" w:fill="auto"/>
                  <w:vAlign w:val="center"/>
                </w:tcPr>
                <w:p w14:paraId="043367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核医学科</w:t>
                  </w:r>
                  <w:r>
                    <w:rPr>
                      <w:sz w:val="21"/>
                      <w:szCs w:val="21"/>
                    </w:rPr>
                    <w:t>人员表面沾污仪</w:t>
                  </w:r>
                </w:p>
              </w:tc>
              <w:tc>
                <w:tcPr>
                  <w:tcW w:w="382" w:type="pct"/>
                  <w:shd w:val="clear" w:color="auto" w:fill="auto"/>
                  <w:vAlign w:val="center"/>
                </w:tcPr>
                <w:p w14:paraId="4320AE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2</w:t>
                  </w:r>
                  <w:r>
                    <w:rPr>
                      <w:sz w:val="21"/>
                      <w:szCs w:val="21"/>
                    </w:rPr>
                    <w:t>台</w:t>
                  </w:r>
                </w:p>
              </w:tc>
              <w:tc>
                <w:tcPr>
                  <w:tcW w:w="1331" w:type="pct"/>
                  <w:vMerge w:val="continue"/>
                  <w:tcBorders>
                    <w:right w:val="nil"/>
                  </w:tcBorders>
                  <w:vAlign w:val="center"/>
                </w:tcPr>
                <w:p w14:paraId="57D199B1">
                  <w:pPr>
                    <w:spacing w:line="360" w:lineRule="exact"/>
                    <w:jc w:val="center"/>
                    <w:rPr>
                      <w:spacing w:val="-6"/>
                      <w:sz w:val="21"/>
                      <w:szCs w:val="21"/>
                    </w:rPr>
                  </w:pPr>
                </w:p>
              </w:tc>
            </w:tr>
            <w:tr w14:paraId="783F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29799400">
                  <w:pPr>
                    <w:spacing w:line="360" w:lineRule="exact"/>
                    <w:jc w:val="center"/>
                    <w:rPr>
                      <w:spacing w:val="-6"/>
                      <w:sz w:val="21"/>
                      <w:szCs w:val="21"/>
                    </w:rPr>
                  </w:pPr>
                </w:p>
              </w:tc>
              <w:tc>
                <w:tcPr>
                  <w:tcW w:w="2685" w:type="pct"/>
                  <w:gridSpan w:val="5"/>
                  <w:shd w:val="clear" w:color="auto" w:fill="auto"/>
                  <w:vAlign w:val="center"/>
                </w:tcPr>
                <w:p w14:paraId="382F98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sz w:val="21"/>
                      <w:szCs w:val="21"/>
                    </w:rPr>
                    <w:t>便携式表面沾污仪</w:t>
                  </w:r>
                </w:p>
              </w:tc>
              <w:tc>
                <w:tcPr>
                  <w:tcW w:w="382" w:type="pct"/>
                  <w:shd w:val="clear" w:color="auto" w:fill="auto"/>
                  <w:vAlign w:val="center"/>
                </w:tcPr>
                <w:p w14:paraId="150C3B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宋体" w:cs="Times New Roman"/>
                      <w:sz w:val="21"/>
                      <w:szCs w:val="21"/>
                      <w:lang w:val="en-US" w:eastAsia="zh-CN" w:bidi="ar-SA"/>
                    </w:rPr>
                  </w:pPr>
                  <w:r>
                    <w:rPr>
                      <w:rFonts w:hint="eastAsia"/>
                      <w:sz w:val="21"/>
                      <w:szCs w:val="21"/>
                      <w:lang w:val="en-US" w:eastAsia="zh-CN"/>
                    </w:rPr>
                    <w:t>1</w:t>
                  </w:r>
                  <w:r>
                    <w:rPr>
                      <w:sz w:val="21"/>
                      <w:szCs w:val="21"/>
                    </w:rPr>
                    <w:t>台</w:t>
                  </w:r>
                </w:p>
              </w:tc>
              <w:tc>
                <w:tcPr>
                  <w:tcW w:w="1331" w:type="pct"/>
                  <w:vMerge w:val="continue"/>
                  <w:tcBorders>
                    <w:right w:val="nil"/>
                  </w:tcBorders>
                  <w:vAlign w:val="center"/>
                </w:tcPr>
                <w:p w14:paraId="114752CB">
                  <w:pPr>
                    <w:spacing w:line="360" w:lineRule="exact"/>
                    <w:jc w:val="center"/>
                    <w:rPr>
                      <w:spacing w:val="-6"/>
                      <w:sz w:val="21"/>
                      <w:szCs w:val="21"/>
                    </w:rPr>
                  </w:pPr>
                </w:p>
              </w:tc>
            </w:tr>
            <w:tr w14:paraId="30EB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restart"/>
                  <w:tcBorders>
                    <w:left w:val="nil"/>
                  </w:tcBorders>
                  <w:vAlign w:val="center"/>
                </w:tcPr>
                <w:p w14:paraId="473EFD3E">
                  <w:pPr>
                    <w:spacing w:line="360" w:lineRule="exact"/>
                    <w:jc w:val="center"/>
                    <w:rPr>
                      <w:spacing w:val="-6"/>
                      <w:sz w:val="21"/>
                      <w:szCs w:val="21"/>
                    </w:rPr>
                  </w:pPr>
                  <w:r>
                    <w:rPr>
                      <w:spacing w:val="-6"/>
                      <w:sz w:val="21"/>
                      <w:szCs w:val="21"/>
                    </w:rPr>
                    <w:t>综合管理</w:t>
                  </w:r>
                </w:p>
              </w:tc>
              <w:tc>
                <w:tcPr>
                  <w:tcW w:w="2685" w:type="pct"/>
                  <w:gridSpan w:val="5"/>
                  <w:vAlign w:val="center"/>
                </w:tcPr>
                <w:p w14:paraId="5685FC47">
                  <w:pPr>
                    <w:spacing w:line="360" w:lineRule="exact"/>
                    <w:jc w:val="center"/>
                    <w:rPr>
                      <w:spacing w:val="-6"/>
                      <w:sz w:val="21"/>
                      <w:szCs w:val="21"/>
                    </w:rPr>
                  </w:pPr>
                  <w:r>
                    <w:rPr>
                      <w:spacing w:val="-6"/>
                      <w:sz w:val="21"/>
                      <w:szCs w:val="21"/>
                    </w:rPr>
                    <w:t>辐射安全管理机构</w:t>
                  </w:r>
                </w:p>
              </w:tc>
              <w:tc>
                <w:tcPr>
                  <w:tcW w:w="382" w:type="pct"/>
                  <w:vAlign w:val="center"/>
                </w:tcPr>
                <w:p w14:paraId="6D2C17F1">
                  <w:pPr>
                    <w:spacing w:line="360" w:lineRule="exact"/>
                    <w:jc w:val="center"/>
                    <w:rPr>
                      <w:spacing w:val="-6"/>
                      <w:sz w:val="21"/>
                      <w:szCs w:val="21"/>
                    </w:rPr>
                  </w:pPr>
                  <w:r>
                    <w:rPr>
                      <w:spacing w:val="-6"/>
                      <w:sz w:val="21"/>
                      <w:szCs w:val="21"/>
                    </w:rPr>
                    <w:t>/</w:t>
                  </w:r>
                </w:p>
              </w:tc>
              <w:tc>
                <w:tcPr>
                  <w:tcW w:w="1331" w:type="pct"/>
                  <w:tcBorders>
                    <w:right w:val="nil"/>
                  </w:tcBorders>
                  <w:vAlign w:val="center"/>
                </w:tcPr>
                <w:p w14:paraId="4F9F64D2">
                  <w:pPr>
                    <w:spacing w:line="360" w:lineRule="exact"/>
                    <w:jc w:val="center"/>
                    <w:rPr>
                      <w:spacing w:val="-6"/>
                      <w:sz w:val="21"/>
                      <w:szCs w:val="21"/>
                    </w:rPr>
                  </w:pPr>
                  <w:r>
                    <w:rPr>
                      <w:spacing w:val="-6"/>
                      <w:sz w:val="21"/>
                      <w:szCs w:val="21"/>
                    </w:rPr>
                    <w:t>有专职辐射安全管理部门或人员负责，且分工明确</w:t>
                  </w:r>
                </w:p>
              </w:tc>
            </w:tr>
            <w:tr w14:paraId="719E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5E08B25D">
                  <w:pPr>
                    <w:spacing w:line="360" w:lineRule="exact"/>
                    <w:jc w:val="center"/>
                    <w:rPr>
                      <w:spacing w:val="-6"/>
                      <w:sz w:val="21"/>
                      <w:szCs w:val="21"/>
                    </w:rPr>
                  </w:pPr>
                </w:p>
              </w:tc>
              <w:tc>
                <w:tcPr>
                  <w:tcW w:w="2685" w:type="pct"/>
                  <w:gridSpan w:val="5"/>
                  <w:tcBorders>
                    <w:left w:val="nil"/>
                  </w:tcBorders>
                  <w:vAlign w:val="center"/>
                </w:tcPr>
                <w:p w14:paraId="0EAF7354">
                  <w:pPr>
                    <w:spacing w:line="360" w:lineRule="exact"/>
                    <w:jc w:val="center"/>
                    <w:rPr>
                      <w:spacing w:val="-6"/>
                      <w:sz w:val="21"/>
                      <w:szCs w:val="21"/>
                    </w:rPr>
                  </w:pPr>
                  <w:r>
                    <w:rPr>
                      <w:bCs/>
                      <w:spacing w:val="-6"/>
                      <w:sz w:val="21"/>
                      <w:szCs w:val="21"/>
                    </w:rPr>
                    <w:t>辐射工作人员上岗学习考核</w:t>
                  </w:r>
                </w:p>
              </w:tc>
              <w:tc>
                <w:tcPr>
                  <w:tcW w:w="382" w:type="pct"/>
                  <w:vAlign w:val="center"/>
                </w:tcPr>
                <w:p w14:paraId="7BE81350">
                  <w:pPr>
                    <w:spacing w:line="360" w:lineRule="exact"/>
                    <w:jc w:val="center"/>
                    <w:rPr>
                      <w:spacing w:val="-6"/>
                      <w:sz w:val="21"/>
                      <w:szCs w:val="21"/>
                    </w:rPr>
                  </w:pPr>
                  <w:r>
                    <w:rPr>
                      <w:spacing w:val="-6"/>
                      <w:sz w:val="21"/>
                      <w:szCs w:val="21"/>
                    </w:rPr>
                    <w:t>/</w:t>
                  </w:r>
                </w:p>
              </w:tc>
              <w:tc>
                <w:tcPr>
                  <w:tcW w:w="1331" w:type="pct"/>
                  <w:tcBorders>
                    <w:right w:val="nil"/>
                  </w:tcBorders>
                  <w:vAlign w:val="center"/>
                </w:tcPr>
                <w:p w14:paraId="1139CDF0">
                  <w:pPr>
                    <w:spacing w:line="360" w:lineRule="exact"/>
                    <w:jc w:val="center"/>
                    <w:rPr>
                      <w:spacing w:val="-6"/>
                      <w:sz w:val="21"/>
                      <w:szCs w:val="21"/>
                    </w:rPr>
                  </w:pPr>
                  <w:r>
                    <w:rPr>
                      <w:spacing w:val="-6"/>
                      <w:sz w:val="21"/>
                      <w:szCs w:val="21"/>
                    </w:rPr>
                    <w:t>所有辐射工作人员需进行学习考核，经考核合格后上岗</w:t>
                  </w:r>
                </w:p>
              </w:tc>
            </w:tr>
            <w:tr w14:paraId="2D84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5E9696B7">
                  <w:pPr>
                    <w:spacing w:line="360" w:lineRule="exact"/>
                    <w:jc w:val="center"/>
                    <w:rPr>
                      <w:spacing w:val="-6"/>
                      <w:sz w:val="21"/>
                      <w:szCs w:val="21"/>
                    </w:rPr>
                  </w:pPr>
                </w:p>
              </w:tc>
              <w:tc>
                <w:tcPr>
                  <w:tcW w:w="2685" w:type="pct"/>
                  <w:gridSpan w:val="5"/>
                  <w:tcBorders>
                    <w:left w:val="nil"/>
                  </w:tcBorders>
                  <w:vAlign w:val="center"/>
                </w:tcPr>
                <w:p w14:paraId="5220DE65">
                  <w:pPr>
                    <w:spacing w:line="360" w:lineRule="exact"/>
                    <w:jc w:val="center"/>
                    <w:rPr>
                      <w:spacing w:val="-6"/>
                      <w:sz w:val="21"/>
                      <w:szCs w:val="21"/>
                    </w:rPr>
                  </w:pPr>
                  <w:r>
                    <w:rPr>
                      <w:bCs/>
                      <w:spacing w:val="-6"/>
                      <w:sz w:val="21"/>
                      <w:szCs w:val="21"/>
                    </w:rPr>
                    <w:t>规章制度上墙</w:t>
                  </w:r>
                </w:p>
              </w:tc>
              <w:tc>
                <w:tcPr>
                  <w:tcW w:w="382" w:type="pct"/>
                  <w:vAlign w:val="center"/>
                </w:tcPr>
                <w:p w14:paraId="5200A274">
                  <w:pPr>
                    <w:spacing w:line="360" w:lineRule="exact"/>
                    <w:jc w:val="center"/>
                    <w:rPr>
                      <w:spacing w:val="-6"/>
                      <w:sz w:val="21"/>
                      <w:szCs w:val="21"/>
                    </w:rPr>
                  </w:pPr>
                  <w:r>
                    <w:rPr>
                      <w:spacing w:val="-6"/>
                      <w:sz w:val="21"/>
                      <w:szCs w:val="21"/>
                    </w:rPr>
                    <w:t>/</w:t>
                  </w:r>
                </w:p>
              </w:tc>
              <w:tc>
                <w:tcPr>
                  <w:tcW w:w="1331" w:type="pct"/>
                  <w:tcBorders>
                    <w:right w:val="nil"/>
                  </w:tcBorders>
                  <w:vAlign w:val="center"/>
                </w:tcPr>
                <w:p w14:paraId="7D652D34">
                  <w:pPr>
                    <w:spacing w:line="360" w:lineRule="exact"/>
                    <w:jc w:val="center"/>
                    <w:rPr>
                      <w:spacing w:val="-6"/>
                      <w:sz w:val="21"/>
                      <w:szCs w:val="21"/>
                    </w:rPr>
                  </w:pPr>
                  <w:r>
                    <w:rPr>
                      <w:spacing w:val="-6"/>
                      <w:sz w:val="21"/>
                      <w:szCs w:val="21"/>
                    </w:rPr>
                    <w:t>辐射工作场所安全管理要求、辐射工作人员岗位职责、运行操作规程和辐射事故应急响应程序应张贴上墙，上墙制度的尺寸不小于400mm×600mm</w:t>
                  </w:r>
                </w:p>
              </w:tc>
            </w:tr>
            <w:tr w14:paraId="0715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41F6580E">
                  <w:pPr>
                    <w:spacing w:line="360" w:lineRule="exact"/>
                    <w:jc w:val="center"/>
                    <w:rPr>
                      <w:bCs/>
                      <w:spacing w:val="-6"/>
                      <w:sz w:val="21"/>
                      <w:szCs w:val="21"/>
                    </w:rPr>
                  </w:pPr>
                </w:p>
              </w:tc>
              <w:tc>
                <w:tcPr>
                  <w:tcW w:w="2685" w:type="pct"/>
                  <w:gridSpan w:val="5"/>
                  <w:tcBorders>
                    <w:left w:val="nil"/>
                  </w:tcBorders>
                  <w:vAlign w:val="center"/>
                </w:tcPr>
                <w:p w14:paraId="229CE05D">
                  <w:pPr>
                    <w:spacing w:line="360" w:lineRule="exact"/>
                    <w:jc w:val="center"/>
                    <w:rPr>
                      <w:bCs/>
                      <w:spacing w:val="-6"/>
                      <w:sz w:val="21"/>
                      <w:szCs w:val="21"/>
                    </w:rPr>
                  </w:pPr>
                  <w:r>
                    <w:rPr>
                      <w:bCs/>
                      <w:spacing w:val="-6"/>
                      <w:sz w:val="21"/>
                      <w:szCs w:val="21"/>
                    </w:rPr>
                    <w:t>档案管理</w:t>
                  </w:r>
                </w:p>
              </w:tc>
              <w:tc>
                <w:tcPr>
                  <w:tcW w:w="382" w:type="pct"/>
                  <w:vAlign w:val="center"/>
                </w:tcPr>
                <w:p w14:paraId="77580A00">
                  <w:pPr>
                    <w:spacing w:line="360" w:lineRule="exact"/>
                    <w:jc w:val="center"/>
                    <w:rPr>
                      <w:spacing w:val="-6"/>
                      <w:sz w:val="21"/>
                      <w:szCs w:val="21"/>
                    </w:rPr>
                  </w:pPr>
                  <w:r>
                    <w:rPr>
                      <w:spacing w:val="-6"/>
                      <w:sz w:val="21"/>
                      <w:szCs w:val="21"/>
                    </w:rPr>
                    <w:t>/</w:t>
                  </w:r>
                </w:p>
              </w:tc>
              <w:tc>
                <w:tcPr>
                  <w:tcW w:w="1331" w:type="pct"/>
                  <w:tcBorders>
                    <w:right w:val="nil"/>
                  </w:tcBorders>
                  <w:vAlign w:val="center"/>
                </w:tcPr>
                <w:p w14:paraId="0784A760">
                  <w:pPr>
                    <w:spacing w:line="360" w:lineRule="exact"/>
                    <w:jc w:val="center"/>
                    <w:rPr>
                      <w:spacing w:val="-6"/>
                      <w:sz w:val="21"/>
                      <w:szCs w:val="21"/>
                    </w:rPr>
                  </w:pPr>
                  <w:r>
                    <w:rPr>
                      <w:spacing w:val="-6"/>
                      <w:sz w:val="21"/>
                      <w:szCs w:val="21"/>
                    </w:rPr>
                    <w:t>规章制度及应急预案文件、环保手续及辐射安全许可资料、射线装置台账、非密封放射性物质和放射源台账、监测和检查记录、个人剂量及健康档案、培训档案、三废排放记录、辐射应急资料等需健全，并由专人进行管理</w:t>
                  </w:r>
                </w:p>
              </w:tc>
            </w:tr>
            <w:tr w14:paraId="0D2C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0" w:type="pct"/>
                  <w:vMerge w:val="continue"/>
                  <w:tcBorders>
                    <w:left w:val="nil"/>
                  </w:tcBorders>
                  <w:vAlign w:val="center"/>
                </w:tcPr>
                <w:p w14:paraId="6A7ED628">
                  <w:pPr>
                    <w:spacing w:line="360" w:lineRule="exact"/>
                    <w:jc w:val="center"/>
                    <w:rPr>
                      <w:spacing w:val="-6"/>
                      <w:sz w:val="21"/>
                      <w:szCs w:val="21"/>
                    </w:rPr>
                  </w:pPr>
                </w:p>
              </w:tc>
              <w:tc>
                <w:tcPr>
                  <w:tcW w:w="2685" w:type="pct"/>
                  <w:gridSpan w:val="5"/>
                  <w:tcBorders>
                    <w:left w:val="nil"/>
                  </w:tcBorders>
                  <w:vAlign w:val="center"/>
                </w:tcPr>
                <w:p w14:paraId="1EEAA49C">
                  <w:pPr>
                    <w:spacing w:line="360" w:lineRule="exact"/>
                    <w:jc w:val="center"/>
                    <w:rPr>
                      <w:spacing w:val="-6"/>
                      <w:sz w:val="21"/>
                      <w:szCs w:val="21"/>
                    </w:rPr>
                  </w:pPr>
                  <w:r>
                    <w:rPr>
                      <w:bCs/>
                      <w:spacing w:val="-6"/>
                      <w:sz w:val="21"/>
                      <w:szCs w:val="21"/>
                    </w:rPr>
                    <w:t>应急和救助的物资准备（应急通信设备、警戒线、警示标牌、应急演练、备用铅罐等）</w:t>
                  </w:r>
                </w:p>
              </w:tc>
              <w:tc>
                <w:tcPr>
                  <w:tcW w:w="382" w:type="pct"/>
                  <w:vAlign w:val="center"/>
                </w:tcPr>
                <w:p w14:paraId="2AB9B39D">
                  <w:pPr>
                    <w:spacing w:line="360" w:lineRule="exact"/>
                    <w:jc w:val="center"/>
                    <w:rPr>
                      <w:spacing w:val="-6"/>
                      <w:sz w:val="21"/>
                      <w:szCs w:val="21"/>
                    </w:rPr>
                  </w:pPr>
                  <w:r>
                    <w:rPr>
                      <w:spacing w:val="-6"/>
                      <w:sz w:val="21"/>
                      <w:szCs w:val="21"/>
                    </w:rPr>
                    <w:t>/</w:t>
                  </w:r>
                </w:p>
              </w:tc>
              <w:tc>
                <w:tcPr>
                  <w:tcW w:w="1331" w:type="pct"/>
                  <w:tcBorders>
                    <w:right w:val="nil"/>
                  </w:tcBorders>
                  <w:vAlign w:val="center"/>
                </w:tcPr>
                <w:p w14:paraId="312C57B1">
                  <w:pPr>
                    <w:spacing w:line="360" w:lineRule="exact"/>
                    <w:jc w:val="center"/>
                    <w:rPr>
                      <w:spacing w:val="-6"/>
                      <w:sz w:val="21"/>
                      <w:szCs w:val="21"/>
                    </w:rPr>
                  </w:pPr>
                  <w:r>
                    <w:rPr>
                      <w:spacing w:val="-6"/>
                      <w:sz w:val="21"/>
                      <w:szCs w:val="21"/>
                    </w:rPr>
                    <w:t>/</w:t>
                  </w:r>
                </w:p>
              </w:tc>
            </w:tr>
          </w:tbl>
          <w:p w14:paraId="2820FC9F">
            <w:pPr>
              <w:pStyle w:val="55"/>
              <w:ind w:firstLine="0"/>
            </w:pPr>
          </w:p>
          <w:p w14:paraId="526E972D">
            <w:pPr>
              <w:pStyle w:val="55"/>
              <w:ind w:firstLine="0"/>
            </w:pPr>
          </w:p>
          <w:p w14:paraId="77AA84DE">
            <w:pPr>
              <w:pStyle w:val="55"/>
              <w:ind w:firstLine="0"/>
            </w:pPr>
          </w:p>
          <w:p w14:paraId="63B82B96">
            <w:pPr>
              <w:pStyle w:val="55"/>
              <w:ind w:firstLine="0"/>
            </w:pPr>
          </w:p>
        </w:tc>
      </w:tr>
    </w:tbl>
    <w:p w14:paraId="116EAB23">
      <w:pPr>
        <w:spacing w:line="240" w:lineRule="auto"/>
        <w:rPr>
          <w:sz w:val="21"/>
        </w:rPr>
      </w:pPr>
    </w:p>
    <w:p w14:paraId="0D3711F5">
      <w:r>
        <w:t xml:space="preserve"> </w:t>
      </w:r>
    </w:p>
    <w:sectPr>
      <w:pgSz w:w="11906" w:h="16838"/>
      <w:pgMar w:top="1418" w:right="1588" w:bottom="1418" w:left="1588" w:header="851" w:footer="992" w:gutter="0"/>
      <w:pgBorders>
        <w:top w:val="none" w:sz="0" w:space="0"/>
        <w:left w:val="none" w:sz="0" w:space="0"/>
        <w:bottom w:val="none" w:sz="0" w:space="0"/>
        <w:right w:val="none" w:sz="0" w:space="0"/>
      </w:pgBorders>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CG Times">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方正宋三简体">
    <w:altName w:val="宋体"/>
    <w:panose1 w:val="00000000000000000000"/>
    <w:charset w:val="86"/>
    <w:family w:val="auto"/>
    <w:pitch w:val="default"/>
    <w:sig w:usb0="00000000" w:usb1="00000000" w:usb2="00000010" w:usb3="00000000" w:csb0="00040000" w:csb1="00000000"/>
  </w:font>
  <w:font w:name="CG Times (W1)">
    <w:altName w:val="Times New Roman"/>
    <w:panose1 w:val="00000000000000000000"/>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Times New Roman”“">
    <w:altName w:val="宋体"/>
    <w:panose1 w:val="00000000000000000000"/>
    <w:charset w:val="86"/>
    <w:family w:val="roman"/>
    <w:pitch w:val="default"/>
    <w:sig w:usb0="00000000" w:usb1="00000000" w:usb2="00000010" w:usb3="00000000" w:csb0="00040000" w:csb1="00000000"/>
  </w:font>
  <w:font w:name="MSMincho">
    <w:altName w:val="Times New Roman"/>
    <w:panose1 w:val="00000000000000000000"/>
    <w:charset w:val="00"/>
    <w:family w:val="roman"/>
    <w:pitch w:val="default"/>
    <w:sig w:usb0="00000000" w:usb1="00000000" w:usb2="00000000"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8777F">
    <w:pPr>
      <w:pStyle w:val="3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0D6E5">
    <w:pPr>
      <w:pStyle w:val="37"/>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100</w:t>
    </w:r>
    <w:r>
      <w:rPr>
        <w:sz w:val="21"/>
        <w:szCs w:val="21"/>
      </w:rPr>
      <w:fldChar w:fldCharType="end"/>
    </w:r>
  </w:p>
  <w:p w14:paraId="7AD0D83E">
    <w:pPr>
      <w:pStyle w:val="3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3A6C7">
    <w:pPr>
      <w:pStyle w:val="37"/>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100</w:t>
    </w:r>
    <w:r>
      <w:rPr>
        <w:sz w:val="21"/>
        <w:szCs w:val="21"/>
      </w:rPr>
      <w:fldChar w:fldCharType="end"/>
    </w:r>
  </w:p>
  <w:p w14:paraId="33D1E1A2">
    <w:pPr>
      <w:pStyle w:val="3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pStyle w:val="412"/>
      <w:suff w:val="nothing"/>
      <w:lvlText w:val="%1."/>
      <w:lvlJc w:val="left"/>
      <w:pPr>
        <w:ind w:left="0" w:firstLine="48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
    <w:nsid w:val="C68EF313"/>
    <w:multiLevelType w:val="multilevel"/>
    <w:tmpl w:val="C68EF313"/>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1"/>
      <w:numFmt w:val="bullet"/>
      <w:pStyle w:val="404"/>
      <w:lvlText w:val=""/>
      <w:lvlJc w:val="left"/>
      <w:pPr>
        <w:tabs>
          <w:tab w:val="left" w:pos="360"/>
        </w:tabs>
        <w:ind w:left="360" w:hanging="360"/>
      </w:pPr>
      <w:rPr>
        <w:rFonts w:hint="default"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FFFFFF7E"/>
    <w:multiLevelType w:val="singleLevel"/>
    <w:tmpl w:val="FFFFFF7E"/>
    <w:lvl w:ilvl="0" w:tentative="0">
      <w:start w:val="1"/>
      <w:numFmt w:val="decimal"/>
      <w:pStyle w:val="25"/>
      <w:lvlText w:val="%1."/>
      <w:lvlJc w:val="left"/>
      <w:pPr>
        <w:tabs>
          <w:tab w:val="left" w:pos="1200"/>
        </w:tabs>
        <w:ind w:left="1200" w:leftChars="400" w:hanging="360" w:hangingChars="200"/>
      </w:pPr>
    </w:lvl>
  </w:abstractNum>
  <w:abstractNum w:abstractNumId="4">
    <w:nsid w:val="0053208E"/>
    <w:multiLevelType w:val="multilevel"/>
    <w:tmpl w:val="0053208E"/>
    <w:lvl w:ilvl="0" w:tentative="0">
      <w:start w:val="2"/>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pStyle w:val="320"/>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02EF62FE"/>
    <w:multiLevelType w:val="singleLevel"/>
    <w:tmpl w:val="02EF62FE"/>
    <w:lvl w:ilvl="0" w:tentative="0">
      <w:start w:val="3"/>
      <w:numFmt w:val="decimal"/>
      <w:suff w:val="nothing"/>
      <w:lvlText w:val="（%1）"/>
      <w:lvlJc w:val="left"/>
    </w:lvl>
  </w:abstractNum>
  <w:abstractNum w:abstractNumId="6">
    <w:nsid w:val="14E9E95E"/>
    <w:multiLevelType w:val="multilevel"/>
    <w:tmpl w:val="14E9E95E"/>
    <w:lvl w:ilvl="0" w:tentative="0">
      <w:start w:val="3"/>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59ADCABA"/>
    <w:multiLevelType w:val="multilevel"/>
    <w:tmpl w:val="59ADCABA"/>
    <w:lvl w:ilvl="0" w:tentative="0">
      <w:start w:val="1"/>
      <w:numFmt w:val="decimal"/>
      <w:pStyle w:val="409"/>
      <w:suff w:val="nothing"/>
      <w:lvlText w:val="%1、"/>
      <w:lvlJc w:val="left"/>
      <w:pPr>
        <w:ind w:left="0" w:firstLine="0"/>
      </w:pPr>
      <w:rPr>
        <w:rFonts w:hint="default" w:eastAsia="宋体"/>
      </w:rPr>
    </w:lvl>
    <w:lvl w:ilvl="1" w:tentative="0">
      <w:start w:val="1"/>
      <w:numFmt w:val="lowerLetter"/>
      <w:lvlText w:val="%2)"/>
      <w:lvlJc w:val="left"/>
      <w:pPr>
        <w:tabs>
          <w:tab w:val="left" w:pos="397"/>
        </w:tabs>
        <w:ind w:left="0" w:firstLine="0"/>
      </w:pPr>
      <w:rPr>
        <w:rFonts w:hint="eastAsia"/>
      </w:rPr>
    </w:lvl>
    <w:lvl w:ilvl="2" w:tentative="0">
      <w:start w:val="1"/>
      <w:numFmt w:val="lowerRoman"/>
      <w:lvlText w:val="%3."/>
      <w:lvlJc w:val="right"/>
      <w:pPr>
        <w:tabs>
          <w:tab w:val="left" w:pos="397"/>
        </w:tabs>
        <w:ind w:left="0" w:firstLine="0"/>
      </w:pPr>
      <w:rPr>
        <w:rFonts w:hint="eastAsia"/>
      </w:rPr>
    </w:lvl>
    <w:lvl w:ilvl="3" w:tentative="0">
      <w:start w:val="1"/>
      <w:numFmt w:val="decimal"/>
      <w:lvlText w:val="%4."/>
      <w:lvlJc w:val="left"/>
      <w:pPr>
        <w:tabs>
          <w:tab w:val="left" w:pos="397"/>
        </w:tabs>
        <w:ind w:left="0" w:firstLine="0"/>
      </w:pPr>
      <w:rPr>
        <w:rFonts w:hint="eastAsia"/>
      </w:rPr>
    </w:lvl>
    <w:lvl w:ilvl="4" w:tentative="0">
      <w:start w:val="1"/>
      <w:numFmt w:val="lowerLetter"/>
      <w:lvlText w:val="%5)"/>
      <w:lvlJc w:val="left"/>
      <w:pPr>
        <w:tabs>
          <w:tab w:val="left" w:pos="397"/>
        </w:tabs>
        <w:ind w:left="0" w:firstLine="0"/>
      </w:pPr>
      <w:rPr>
        <w:rFonts w:hint="eastAsia"/>
      </w:rPr>
    </w:lvl>
    <w:lvl w:ilvl="5" w:tentative="0">
      <w:start w:val="1"/>
      <w:numFmt w:val="lowerRoman"/>
      <w:lvlText w:val="%6."/>
      <w:lvlJc w:val="right"/>
      <w:pPr>
        <w:tabs>
          <w:tab w:val="left" w:pos="397"/>
        </w:tabs>
        <w:ind w:left="0" w:firstLine="0"/>
      </w:pPr>
      <w:rPr>
        <w:rFonts w:hint="eastAsia"/>
      </w:rPr>
    </w:lvl>
    <w:lvl w:ilvl="6" w:tentative="0">
      <w:start w:val="1"/>
      <w:numFmt w:val="decimal"/>
      <w:lvlText w:val="%7."/>
      <w:lvlJc w:val="left"/>
      <w:pPr>
        <w:tabs>
          <w:tab w:val="left" w:pos="397"/>
        </w:tabs>
        <w:ind w:left="0" w:firstLine="0"/>
      </w:pPr>
      <w:rPr>
        <w:rFonts w:hint="eastAsia"/>
      </w:rPr>
    </w:lvl>
    <w:lvl w:ilvl="7" w:tentative="0">
      <w:start w:val="1"/>
      <w:numFmt w:val="lowerLetter"/>
      <w:lvlText w:val="%8)"/>
      <w:lvlJc w:val="left"/>
      <w:pPr>
        <w:tabs>
          <w:tab w:val="left" w:pos="397"/>
        </w:tabs>
        <w:ind w:left="0" w:firstLine="0"/>
      </w:pPr>
      <w:rPr>
        <w:rFonts w:hint="eastAsia"/>
      </w:rPr>
    </w:lvl>
    <w:lvl w:ilvl="8" w:tentative="0">
      <w:start w:val="1"/>
      <w:numFmt w:val="lowerRoman"/>
      <w:lvlText w:val="%9."/>
      <w:lvlJc w:val="right"/>
      <w:pPr>
        <w:tabs>
          <w:tab w:val="left" w:pos="397"/>
        </w:tabs>
        <w:ind w:left="0" w:firstLine="0"/>
      </w:pPr>
      <w:rPr>
        <w:rFonts w:hint="eastAsia"/>
      </w:rPr>
    </w:lvl>
  </w:abstractNum>
  <w:abstractNum w:abstractNumId="8">
    <w:nsid w:val="5F7FF73B"/>
    <w:multiLevelType w:val="singleLevel"/>
    <w:tmpl w:val="5F7FF73B"/>
    <w:lvl w:ilvl="0" w:tentative="0">
      <w:start w:val="3"/>
      <w:numFmt w:val="decimal"/>
      <w:suff w:val="nothing"/>
      <w:lvlText w:val="（%1）"/>
      <w:lvlJc w:val="left"/>
    </w:lvl>
  </w:abstractNum>
  <w:abstractNum w:abstractNumId="9">
    <w:nsid w:val="68127DF9"/>
    <w:multiLevelType w:val="singleLevel"/>
    <w:tmpl w:val="68127DF9"/>
    <w:lvl w:ilvl="0" w:tentative="0">
      <w:start w:val="2"/>
      <w:numFmt w:val="decimal"/>
      <w:suff w:val="nothing"/>
      <w:lvlText w:val="（%1）"/>
      <w:lvlJc w:val="left"/>
      <w:rPr>
        <w:rFonts w:hint="default"/>
        <w:b/>
        <w:bCs/>
      </w:rPr>
    </w:lvl>
  </w:abstractNum>
  <w:num w:numId="1">
    <w:abstractNumId w:val="3"/>
  </w:num>
  <w:num w:numId="2">
    <w:abstractNumId w:val="4"/>
  </w:num>
  <w:num w:numId="3">
    <w:abstractNumId w:val="2"/>
  </w:num>
  <w:num w:numId="4">
    <w:abstractNumId w:val="7"/>
  </w:num>
  <w:num w:numId="5">
    <w:abstractNumId w:val="0"/>
  </w:num>
  <w:num w:numId="6">
    <w:abstractNumId w:val="9"/>
  </w:num>
  <w:num w:numId="7">
    <w:abstractNumId w:val="8"/>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C79"/>
    <w:rsid w:val="00054A60"/>
    <w:rsid w:val="000930BA"/>
    <w:rsid w:val="000B767B"/>
    <w:rsid w:val="000C5284"/>
    <w:rsid w:val="000E3A66"/>
    <w:rsid w:val="00105B01"/>
    <w:rsid w:val="00116DD7"/>
    <w:rsid w:val="001440F9"/>
    <w:rsid w:val="00145814"/>
    <w:rsid w:val="00147720"/>
    <w:rsid w:val="00151111"/>
    <w:rsid w:val="00157922"/>
    <w:rsid w:val="00160EE1"/>
    <w:rsid w:val="00163F08"/>
    <w:rsid w:val="00172A27"/>
    <w:rsid w:val="00183C3E"/>
    <w:rsid w:val="001C25A7"/>
    <w:rsid w:val="001C443E"/>
    <w:rsid w:val="002216C5"/>
    <w:rsid w:val="0024152E"/>
    <w:rsid w:val="00274C7E"/>
    <w:rsid w:val="002809DD"/>
    <w:rsid w:val="002942ED"/>
    <w:rsid w:val="002E1930"/>
    <w:rsid w:val="002E42A1"/>
    <w:rsid w:val="00337865"/>
    <w:rsid w:val="003B5EDE"/>
    <w:rsid w:val="003B7481"/>
    <w:rsid w:val="003F553B"/>
    <w:rsid w:val="003F678B"/>
    <w:rsid w:val="00405B5D"/>
    <w:rsid w:val="004113C2"/>
    <w:rsid w:val="00433E7B"/>
    <w:rsid w:val="00437DC3"/>
    <w:rsid w:val="00441CF1"/>
    <w:rsid w:val="004645CA"/>
    <w:rsid w:val="00465D03"/>
    <w:rsid w:val="00470703"/>
    <w:rsid w:val="00474FC2"/>
    <w:rsid w:val="004B4F85"/>
    <w:rsid w:val="004B70B6"/>
    <w:rsid w:val="004B7CFB"/>
    <w:rsid w:val="004D64C6"/>
    <w:rsid w:val="0051215C"/>
    <w:rsid w:val="00520CC3"/>
    <w:rsid w:val="00527BE1"/>
    <w:rsid w:val="00536D19"/>
    <w:rsid w:val="00556250"/>
    <w:rsid w:val="0062746B"/>
    <w:rsid w:val="0064114D"/>
    <w:rsid w:val="006646A5"/>
    <w:rsid w:val="00690ED6"/>
    <w:rsid w:val="006B710A"/>
    <w:rsid w:val="006F5B2C"/>
    <w:rsid w:val="00725C87"/>
    <w:rsid w:val="00761ECB"/>
    <w:rsid w:val="00771280"/>
    <w:rsid w:val="007A561D"/>
    <w:rsid w:val="007A6FE5"/>
    <w:rsid w:val="007C5987"/>
    <w:rsid w:val="007F644B"/>
    <w:rsid w:val="00857A0A"/>
    <w:rsid w:val="00893649"/>
    <w:rsid w:val="008A3F97"/>
    <w:rsid w:val="008D0F30"/>
    <w:rsid w:val="0093061C"/>
    <w:rsid w:val="00934C68"/>
    <w:rsid w:val="00954785"/>
    <w:rsid w:val="00963C79"/>
    <w:rsid w:val="0096712F"/>
    <w:rsid w:val="0096799F"/>
    <w:rsid w:val="009924D5"/>
    <w:rsid w:val="00A1161E"/>
    <w:rsid w:val="00B85F13"/>
    <w:rsid w:val="00B863B2"/>
    <w:rsid w:val="00BB1C2E"/>
    <w:rsid w:val="00C46716"/>
    <w:rsid w:val="00C74C96"/>
    <w:rsid w:val="00CF4730"/>
    <w:rsid w:val="00D0493C"/>
    <w:rsid w:val="00D827F1"/>
    <w:rsid w:val="00DE6F77"/>
    <w:rsid w:val="00E26950"/>
    <w:rsid w:val="00E42683"/>
    <w:rsid w:val="00E61424"/>
    <w:rsid w:val="00EB10CC"/>
    <w:rsid w:val="00EC03B1"/>
    <w:rsid w:val="00EF5358"/>
    <w:rsid w:val="00F236F8"/>
    <w:rsid w:val="00F24130"/>
    <w:rsid w:val="00F26145"/>
    <w:rsid w:val="00F94C02"/>
    <w:rsid w:val="00FA13F3"/>
    <w:rsid w:val="00FA2E73"/>
    <w:rsid w:val="00FC727C"/>
    <w:rsid w:val="00FD5660"/>
    <w:rsid w:val="00FE75C9"/>
    <w:rsid w:val="010550B5"/>
    <w:rsid w:val="011A3275"/>
    <w:rsid w:val="016438E0"/>
    <w:rsid w:val="018E67BC"/>
    <w:rsid w:val="01F31594"/>
    <w:rsid w:val="02367538"/>
    <w:rsid w:val="023A0914"/>
    <w:rsid w:val="0248052C"/>
    <w:rsid w:val="027475EC"/>
    <w:rsid w:val="02AC6CF6"/>
    <w:rsid w:val="02E41062"/>
    <w:rsid w:val="02EB7A13"/>
    <w:rsid w:val="03E0652E"/>
    <w:rsid w:val="03EC1C79"/>
    <w:rsid w:val="046D7117"/>
    <w:rsid w:val="047C774D"/>
    <w:rsid w:val="04A25E7C"/>
    <w:rsid w:val="057D1AFC"/>
    <w:rsid w:val="05BD2100"/>
    <w:rsid w:val="05E17C63"/>
    <w:rsid w:val="06B5752B"/>
    <w:rsid w:val="06E820BD"/>
    <w:rsid w:val="072510B1"/>
    <w:rsid w:val="07AF5168"/>
    <w:rsid w:val="07D5642C"/>
    <w:rsid w:val="08766574"/>
    <w:rsid w:val="08C361ED"/>
    <w:rsid w:val="091D2DA8"/>
    <w:rsid w:val="09B62BE3"/>
    <w:rsid w:val="0A7D5788"/>
    <w:rsid w:val="0BAC4FC1"/>
    <w:rsid w:val="0BF762A0"/>
    <w:rsid w:val="0BFE7E23"/>
    <w:rsid w:val="0C193AD3"/>
    <w:rsid w:val="0C684F3C"/>
    <w:rsid w:val="0C897A87"/>
    <w:rsid w:val="0CA73182"/>
    <w:rsid w:val="0D146743"/>
    <w:rsid w:val="0D7A41F2"/>
    <w:rsid w:val="0E3D591E"/>
    <w:rsid w:val="0E5919CF"/>
    <w:rsid w:val="0ED2440E"/>
    <w:rsid w:val="0F177B18"/>
    <w:rsid w:val="0FAA0AED"/>
    <w:rsid w:val="0FC41FA8"/>
    <w:rsid w:val="1036721C"/>
    <w:rsid w:val="10583A70"/>
    <w:rsid w:val="10784C45"/>
    <w:rsid w:val="11074842"/>
    <w:rsid w:val="11487B04"/>
    <w:rsid w:val="11BF6ECB"/>
    <w:rsid w:val="122E16CA"/>
    <w:rsid w:val="12364607"/>
    <w:rsid w:val="12703C36"/>
    <w:rsid w:val="1280329C"/>
    <w:rsid w:val="12AB6067"/>
    <w:rsid w:val="13E7714C"/>
    <w:rsid w:val="13EF1F37"/>
    <w:rsid w:val="145558C5"/>
    <w:rsid w:val="147E6DE4"/>
    <w:rsid w:val="151476B3"/>
    <w:rsid w:val="1573694A"/>
    <w:rsid w:val="15FC66EA"/>
    <w:rsid w:val="16212AC4"/>
    <w:rsid w:val="16227555"/>
    <w:rsid w:val="16920163"/>
    <w:rsid w:val="17D54E46"/>
    <w:rsid w:val="18333D11"/>
    <w:rsid w:val="183F73C2"/>
    <w:rsid w:val="18436BC2"/>
    <w:rsid w:val="18861FB3"/>
    <w:rsid w:val="18E436BB"/>
    <w:rsid w:val="19436B7D"/>
    <w:rsid w:val="19CC2DB6"/>
    <w:rsid w:val="19D92381"/>
    <w:rsid w:val="19F1192D"/>
    <w:rsid w:val="19F84C10"/>
    <w:rsid w:val="19FC307B"/>
    <w:rsid w:val="1A442663"/>
    <w:rsid w:val="1AB77BCE"/>
    <w:rsid w:val="1AC653B4"/>
    <w:rsid w:val="1B2F50C2"/>
    <w:rsid w:val="1BB83309"/>
    <w:rsid w:val="1C010FDD"/>
    <w:rsid w:val="1CC40C5C"/>
    <w:rsid w:val="1CD221A8"/>
    <w:rsid w:val="1CDC6080"/>
    <w:rsid w:val="1D6D0123"/>
    <w:rsid w:val="1DE52680"/>
    <w:rsid w:val="1E3E0893"/>
    <w:rsid w:val="1EE11E2C"/>
    <w:rsid w:val="1F1E3747"/>
    <w:rsid w:val="1F374545"/>
    <w:rsid w:val="1F5C61AA"/>
    <w:rsid w:val="1F634C7E"/>
    <w:rsid w:val="1F70496D"/>
    <w:rsid w:val="1F79648E"/>
    <w:rsid w:val="1FC70503"/>
    <w:rsid w:val="1FDF0FA7"/>
    <w:rsid w:val="1FE16BA6"/>
    <w:rsid w:val="1FE5303E"/>
    <w:rsid w:val="1FF70105"/>
    <w:rsid w:val="202076CF"/>
    <w:rsid w:val="20C91B14"/>
    <w:rsid w:val="211F7986"/>
    <w:rsid w:val="212E5E1B"/>
    <w:rsid w:val="21334B6B"/>
    <w:rsid w:val="21926F83"/>
    <w:rsid w:val="21B4720C"/>
    <w:rsid w:val="21CB366A"/>
    <w:rsid w:val="21D06A2A"/>
    <w:rsid w:val="21F1028B"/>
    <w:rsid w:val="22223E73"/>
    <w:rsid w:val="22985250"/>
    <w:rsid w:val="22E17FB5"/>
    <w:rsid w:val="23D05D4A"/>
    <w:rsid w:val="247C43EC"/>
    <w:rsid w:val="24880409"/>
    <w:rsid w:val="24C307A7"/>
    <w:rsid w:val="251371AB"/>
    <w:rsid w:val="26081A26"/>
    <w:rsid w:val="262A6D54"/>
    <w:rsid w:val="27667E2C"/>
    <w:rsid w:val="27892F16"/>
    <w:rsid w:val="28832DE6"/>
    <w:rsid w:val="28902311"/>
    <w:rsid w:val="28AC7781"/>
    <w:rsid w:val="293B3DB5"/>
    <w:rsid w:val="29514455"/>
    <w:rsid w:val="2A1932B4"/>
    <w:rsid w:val="2A612D75"/>
    <w:rsid w:val="2AB60F52"/>
    <w:rsid w:val="2ACF7D27"/>
    <w:rsid w:val="2B1F635B"/>
    <w:rsid w:val="2B8271D2"/>
    <w:rsid w:val="2B94795B"/>
    <w:rsid w:val="2BEC14B1"/>
    <w:rsid w:val="2C834DCB"/>
    <w:rsid w:val="2D095047"/>
    <w:rsid w:val="2D0A540E"/>
    <w:rsid w:val="2D593A53"/>
    <w:rsid w:val="2E2F23F0"/>
    <w:rsid w:val="2E525AC4"/>
    <w:rsid w:val="2E9C2364"/>
    <w:rsid w:val="2ED951F1"/>
    <w:rsid w:val="2FA208C0"/>
    <w:rsid w:val="301461DC"/>
    <w:rsid w:val="3041682B"/>
    <w:rsid w:val="30B30E94"/>
    <w:rsid w:val="30E92E43"/>
    <w:rsid w:val="31237B7D"/>
    <w:rsid w:val="316232F3"/>
    <w:rsid w:val="317E7EC2"/>
    <w:rsid w:val="31976288"/>
    <w:rsid w:val="31D748A2"/>
    <w:rsid w:val="31EF01C9"/>
    <w:rsid w:val="3339133C"/>
    <w:rsid w:val="335B3D2A"/>
    <w:rsid w:val="34993DB0"/>
    <w:rsid w:val="34C74165"/>
    <w:rsid w:val="34DA1486"/>
    <w:rsid w:val="34DE7C54"/>
    <w:rsid w:val="35455288"/>
    <w:rsid w:val="354E6D4E"/>
    <w:rsid w:val="3581353B"/>
    <w:rsid w:val="35FA671A"/>
    <w:rsid w:val="364E5E0F"/>
    <w:rsid w:val="36F56847"/>
    <w:rsid w:val="37181B80"/>
    <w:rsid w:val="379540A7"/>
    <w:rsid w:val="38070144"/>
    <w:rsid w:val="38215F4B"/>
    <w:rsid w:val="396D3103"/>
    <w:rsid w:val="397A79F8"/>
    <w:rsid w:val="39CF79FB"/>
    <w:rsid w:val="3A2227A2"/>
    <w:rsid w:val="3ABB2076"/>
    <w:rsid w:val="3BB918E4"/>
    <w:rsid w:val="3CBA6530"/>
    <w:rsid w:val="3DE71FBC"/>
    <w:rsid w:val="3DF15143"/>
    <w:rsid w:val="3E4346C9"/>
    <w:rsid w:val="3E491747"/>
    <w:rsid w:val="3F4640AB"/>
    <w:rsid w:val="3F473ED8"/>
    <w:rsid w:val="3FAE0AA0"/>
    <w:rsid w:val="3FEB2B2D"/>
    <w:rsid w:val="3FF13C32"/>
    <w:rsid w:val="40910684"/>
    <w:rsid w:val="409C38CE"/>
    <w:rsid w:val="409F3A7D"/>
    <w:rsid w:val="40A56C6F"/>
    <w:rsid w:val="40B557B9"/>
    <w:rsid w:val="410B1AF1"/>
    <w:rsid w:val="41667FEB"/>
    <w:rsid w:val="416970EF"/>
    <w:rsid w:val="41DE6972"/>
    <w:rsid w:val="42B86E9B"/>
    <w:rsid w:val="42D70C83"/>
    <w:rsid w:val="42F41542"/>
    <w:rsid w:val="437743CF"/>
    <w:rsid w:val="43B32799"/>
    <w:rsid w:val="44997248"/>
    <w:rsid w:val="44BD3094"/>
    <w:rsid w:val="465A0EE9"/>
    <w:rsid w:val="465E52A4"/>
    <w:rsid w:val="468D744C"/>
    <w:rsid w:val="46B5206F"/>
    <w:rsid w:val="47A15849"/>
    <w:rsid w:val="482E481B"/>
    <w:rsid w:val="48591300"/>
    <w:rsid w:val="48D35312"/>
    <w:rsid w:val="49134C6E"/>
    <w:rsid w:val="492C5A4C"/>
    <w:rsid w:val="49942ABD"/>
    <w:rsid w:val="4A17094B"/>
    <w:rsid w:val="4B251D57"/>
    <w:rsid w:val="4C0010D8"/>
    <w:rsid w:val="4CC7620E"/>
    <w:rsid w:val="4D2E00B9"/>
    <w:rsid w:val="4D2F4CB9"/>
    <w:rsid w:val="4D8B7D2E"/>
    <w:rsid w:val="4DE7240F"/>
    <w:rsid w:val="4E365927"/>
    <w:rsid w:val="4E9D7B25"/>
    <w:rsid w:val="4EA56BED"/>
    <w:rsid w:val="4F9B5B7A"/>
    <w:rsid w:val="4FFC322C"/>
    <w:rsid w:val="509B3EC3"/>
    <w:rsid w:val="51661E2B"/>
    <w:rsid w:val="5184487E"/>
    <w:rsid w:val="519D1D79"/>
    <w:rsid w:val="51CC3C49"/>
    <w:rsid w:val="523275AF"/>
    <w:rsid w:val="52652541"/>
    <w:rsid w:val="52C33C8E"/>
    <w:rsid w:val="52E06A01"/>
    <w:rsid w:val="52F42171"/>
    <w:rsid w:val="530E172E"/>
    <w:rsid w:val="54C17EA7"/>
    <w:rsid w:val="55384597"/>
    <w:rsid w:val="556B3577"/>
    <w:rsid w:val="55860D3A"/>
    <w:rsid w:val="56320B59"/>
    <w:rsid w:val="5673563E"/>
    <w:rsid w:val="56813D1C"/>
    <w:rsid w:val="569D082D"/>
    <w:rsid w:val="572B1498"/>
    <w:rsid w:val="57325FB4"/>
    <w:rsid w:val="575C107B"/>
    <w:rsid w:val="57F360FF"/>
    <w:rsid w:val="5880353B"/>
    <w:rsid w:val="58A06023"/>
    <w:rsid w:val="58B41BFA"/>
    <w:rsid w:val="58CE7EF2"/>
    <w:rsid w:val="58E801B2"/>
    <w:rsid w:val="591E3421"/>
    <w:rsid w:val="59E22A8C"/>
    <w:rsid w:val="5A1F4613"/>
    <w:rsid w:val="5A3B3C96"/>
    <w:rsid w:val="5A9B5E22"/>
    <w:rsid w:val="5B262FE3"/>
    <w:rsid w:val="5C0634CA"/>
    <w:rsid w:val="5C2471E9"/>
    <w:rsid w:val="5C2C5BA7"/>
    <w:rsid w:val="5C451348"/>
    <w:rsid w:val="5C8318D3"/>
    <w:rsid w:val="5CAC5726"/>
    <w:rsid w:val="5CF27722"/>
    <w:rsid w:val="5DA622E2"/>
    <w:rsid w:val="5DD801ED"/>
    <w:rsid w:val="5E0E156E"/>
    <w:rsid w:val="5E39748F"/>
    <w:rsid w:val="5E400012"/>
    <w:rsid w:val="5E40626B"/>
    <w:rsid w:val="5E8723C4"/>
    <w:rsid w:val="5F1D71D1"/>
    <w:rsid w:val="5F2E1C61"/>
    <w:rsid w:val="5F55090B"/>
    <w:rsid w:val="6056012F"/>
    <w:rsid w:val="60952B62"/>
    <w:rsid w:val="60990785"/>
    <w:rsid w:val="611C7CD4"/>
    <w:rsid w:val="616F614A"/>
    <w:rsid w:val="61FA7348"/>
    <w:rsid w:val="6283185B"/>
    <w:rsid w:val="630B15EA"/>
    <w:rsid w:val="636705A2"/>
    <w:rsid w:val="63932A29"/>
    <w:rsid w:val="63C70308"/>
    <w:rsid w:val="63CA0FE9"/>
    <w:rsid w:val="63F55D49"/>
    <w:rsid w:val="643B4154"/>
    <w:rsid w:val="6447111B"/>
    <w:rsid w:val="64F93799"/>
    <w:rsid w:val="664107D0"/>
    <w:rsid w:val="668D0D62"/>
    <w:rsid w:val="66B97FBF"/>
    <w:rsid w:val="66BF0939"/>
    <w:rsid w:val="66DB2506"/>
    <w:rsid w:val="66DC003B"/>
    <w:rsid w:val="670556C0"/>
    <w:rsid w:val="680B3AE8"/>
    <w:rsid w:val="680E2F36"/>
    <w:rsid w:val="682E4747"/>
    <w:rsid w:val="688356D2"/>
    <w:rsid w:val="68A84004"/>
    <w:rsid w:val="694B59E5"/>
    <w:rsid w:val="694F5D04"/>
    <w:rsid w:val="69BE208E"/>
    <w:rsid w:val="69C672F1"/>
    <w:rsid w:val="6B2E4F89"/>
    <w:rsid w:val="6B335A3D"/>
    <w:rsid w:val="6B470EFD"/>
    <w:rsid w:val="6B622C1F"/>
    <w:rsid w:val="6B8C4ADB"/>
    <w:rsid w:val="6BF17610"/>
    <w:rsid w:val="6CF81AE3"/>
    <w:rsid w:val="6D893DF7"/>
    <w:rsid w:val="6DBB11D2"/>
    <w:rsid w:val="6E6A0CC5"/>
    <w:rsid w:val="6E6D7390"/>
    <w:rsid w:val="6E8F26DB"/>
    <w:rsid w:val="6F1C6B95"/>
    <w:rsid w:val="6F861D1F"/>
    <w:rsid w:val="6FDB5DDE"/>
    <w:rsid w:val="70CC53D1"/>
    <w:rsid w:val="71073061"/>
    <w:rsid w:val="711315BD"/>
    <w:rsid w:val="7250470A"/>
    <w:rsid w:val="72E32C08"/>
    <w:rsid w:val="7345282E"/>
    <w:rsid w:val="73483FF0"/>
    <w:rsid w:val="73A97AA5"/>
    <w:rsid w:val="744E3729"/>
    <w:rsid w:val="7457152F"/>
    <w:rsid w:val="75375761"/>
    <w:rsid w:val="75AB4D25"/>
    <w:rsid w:val="763D3276"/>
    <w:rsid w:val="764D37C3"/>
    <w:rsid w:val="7674155E"/>
    <w:rsid w:val="767C4EBD"/>
    <w:rsid w:val="769327F4"/>
    <w:rsid w:val="770E13E1"/>
    <w:rsid w:val="773109EF"/>
    <w:rsid w:val="775D6D02"/>
    <w:rsid w:val="776B369A"/>
    <w:rsid w:val="7795006B"/>
    <w:rsid w:val="77BD19F9"/>
    <w:rsid w:val="786A1B94"/>
    <w:rsid w:val="794B3356"/>
    <w:rsid w:val="795045D7"/>
    <w:rsid w:val="7951725C"/>
    <w:rsid w:val="797D52E3"/>
    <w:rsid w:val="79BA2F1D"/>
    <w:rsid w:val="7A773C99"/>
    <w:rsid w:val="7AAF73E7"/>
    <w:rsid w:val="7AE542B9"/>
    <w:rsid w:val="7B6A3BB4"/>
    <w:rsid w:val="7B863D0D"/>
    <w:rsid w:val="7C156B31"/>
    <w:rsid w:val="7CBF5922"/>
    <w:rsid w:val="7CDA26FF"/>
    <w:rsid w:val="7CF14EA8"/>
    <w:rsid w:val="7D0706CC"/>
    <w:rsid w:val="7D173D88"/>
    <w:rsid w:val="7D3B6123"/>
    <w:rsid w:val="7E660124"/>
    <w:rsid w:val="7E6C24FF"/>
    <w:rsid w:val="7F386F44"/>
    <w:rsid w:val="7FB36445"/>
    <w:rsid w:val="7FCE4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0" w:semiHidden="0" w:name="table of figures"/>
    <w:lsdException w:uiPriority="99" w:name="envelope address"/>
    <w:lsdException w:uiPriority="99" w:name="envelope return"/>
    <w:lsdException w:qFormat="1" w:uiPriority="0" w:semiHidden="0" w:name="footnote reference"/>
    <w:lsdException w:qFormat="1" w:uiPriority="99" w:semiHidden="0" w:name="annotation reference"/>
    <w:lsdException w:qFormat="1" w:uiPriority="0" w:semiHidden="0"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qFormat="1" w:uiPriority="99" w:semiHidden="0" w:name="List Bullet"/>
    <w:lsdException w:qFormat="1" w:unhideWhenUsed="0" w:uiPriority="99" w:semiHidden="0" w:name="List Number"/>
    <w:lsdException w:qFormat="1" w:unhideWhenUsed="0" w:uiPriority="0" w:semiHidden="0"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uiPriority="99" w:name="List Bullet 4"/>
    <w:lsdException w:uiPriority="99" w:name="List Bullet 5"/>
    <w:lsdException w:uiPriority="99" w:name="List Number 2"/>
    <w:lsdException w:qFormat="1"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qFormat="1" w:unhideWhenUsed="0" w:uiPriority="0" w:semiHidden="0"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qFormat="1" w:uiPriority="99" w:semiHidden="0" w:name="Placeholder Text"/>
    <w:lsdException w:qFormat="1" w:unhideWhenUsed="0" w:uiPriority="0"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sz w:val="24"/>
      <w:szCs w:val="24"/>
      <w:lang w:val="en-US" w:eastAsia="zh-CN" w:bidi="ar-SA"/>
    </w:rPr>
  </w:style>
  <w:style w:type="paragraph" w:styleId="2">
    <w:name w:val="heading 1"/>
    <w:basedOn w:val="1"/>
    <w:next w:val="1"/>
    <w:link w:val="225"/>
    <w:qFormat/>
    <w:uiPriority w:val="0"/>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6"/>
    <w:unhideWhenUsed/>
    <w:qFormat/>
    <w:uiPriority w:val="0"/>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7"/>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8"/>
    <w:unhideWhenUsed/>
    <w:qFormat/>
    <w:uiPriority w:val="0"/>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9"/>
    <w:unhideWhenUsed/>
    <w:qFormat/>
    <w:uiPriority w:val="0"/>
    <w:pPr>
      <w:keepNext/>
      <w:keepLines/>
      <w:spacing w:before="80" w:after="40"/>
      <w:outlineLvl w:val="4"/>
    </w:pPr>
    <w:rPr>
      <w:rFonts w:cstheme="majorBidi"/>
      <w:color w:val="104862" w:themeColor="accent1" w:themeShade="BF"/>
    </w:rPr>
  </w:style>
  <w:style w:type="paragraph" w:styleId="7">
    <w:name w:val="heading 6"/>
    <w:basedOn w:val="1"/>
    <w:next w:val="1"/>
    <w:link w:val="230"/>
    <w:unhideWhenUsed/>
    <w:qFormat/>
    <w:uiPriority w:val="0"/>
    <w:pPr>
      <w:keepNext/>
      <w:keepLines/>
      <w:spacing w:before="40"/>
      <w:outlineLvl w:val="5"/>
    </w:pPr>
    <w:rPr>
      <w:rFonts w:cstheme="majorBidi"/>
      <w:b/>
      <w:bCs/>
      <w:color w:val="104862" w:themeColor="accent1" w:themeShade="BF"/>
    </w:rPr>
  </w:style>
  <w:style w:type="paragraph" w:styleId="8">
    <w:name w:val="heading 7"/>
    <w:basedOn w:val="1"/>
    <w:next w:val="1"/>
    <w:link w:val="231"/>
    <w:unhideWhenUsed/>
    <w:qFormat/>
    <w:uiPriority w:val="0"/>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2"/>
    <w:unhideWhenUsed/>
    <w:qFormat/>
    <w:uiPriority w:val="0"/>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3"/>
    <w:unhideWhenUsed/>
    <w:qFormat/>
    <w:uiPriority w:val="0"/>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67">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pPr>
  </w:style>
  <w:style w:type="paragraph" w:styleId="12">
    <w:name w:val="Note Heading"/>
    <w:basedOn w:val="1"/>
    <w:next w:val="1"/>
    <w:link w:val="840"/>
    <w:qFormat/>
    <w:uiPriority w:val="0"/>
    <w:pPr>
      <w:spacing w:line="240" w:lineRule="auto"/>
      <w:jc w:val="center"/>
    </w:pPr>
    <w:rPr>
      <w:rFonts w:ascii="宋体" w:hAnsi="宋体"/>
      <w:snapToGrid w:val="0"/>
      <w:sz w:val="28"/>
    </w:rPr>
  </w:style>
  <w:style w:type="paragraph" w:styleId="13">
    <w:name w:val="List Number"/>
    <w:basedOn w:val="1"/>
    <w:qFormat/>
    <w:uiPriority w:val="99"/>
    <w:pPr>
      <w:tabs>
        <w:tab w:val="left" w:pos="360"/>
      </w:tabs>
      <w:spacing w:line="240" w:lineRule="auto"/>
      <w:ind w:left="567" w:hanging="567"/>
    </w:pPr>
    <w:rPr>
      <w:kern w:val="2"/>
      <w:sz w:val="21"/>
    </w:rPr>
  </w:style>
  <w:style w:type="paragraph" w:styleId="14">
    <w:name w:val="Normal Indent"/>
    <w:basedOn w:val="1"/>
    <w:link w:val="481"/>
    <w:qFormat/>
    <w:uiPriority w:val="0"/>
    <w:pPr>
      <w:ind w:firstLine="420"/>
    </w:pPr>
    <w:rPr>
      <w:rFonts w:eastAsia="仿宋_GB2312"/>
    </w:rPr>
  </w:style>
  <w:style w:type="paragraph" w:styleId="15">
    <w:name w:val="caption"/>
    <w:basedOn w:val="1"/>
    <w:next w:val="1"/>
    <w:link w:val="581"/>
    <w:qFormat/>
    <w:uiPriority w:val="0"/>
    <w:rPr>
      <w:rFonts w:ascii="Arial" w:hAnsi="Arial" w:eastAsia="黑体" w:cs="Arial"/>
      <w:sz w:val="20"/>
      <w:szCs w:val="20"/>
    </w:rPr>
  </w:style>
  <w:style w:type="paragraph" w:styleId="16">
    <w:name w:val="List Bullet"/>
    <w:basedOn w:val="1"/>
    <w:unhideWhenUsed/>
    <w:qFormat/>
    <w:uiPriority w:val="99"/>
    <w:pPr>
      <w:tabs>
        <w:tab w:val="left" w:pos="360"/>
      </w:tabs>
      <w:spacing w:line="240" w:lineRule="auto"/>
      <w:contextualSpacing/>
    </w:pPr>
    <w:rPr>
      <w:sz w:val="21"/>
      <w:szCs w:val="22"/>
    </w:rPr>
  </w:style>
  <w:style w:type="paragraph" w:styleId="17">
    <w:name w:val="Document Map"/>
    <w:basedOn w:val="1"/>
    <w:link w:val="249"/>
    <w:qFormat/>
    <w:uiPriority w:val="99"/>
    <w:pPr>
      <w:shd w:val="clear" w:color="auto" w:fill="000080"/>
    </w:pPr>
    <w:rPr>
      <w:sz w:val="21"/>
    </w:rPr>
  </w:style>
  <w:style w:type="paragraph" w:styleId="18">
    <w:name w:val="toa heading"/>
    <w:basedOn w:val="1"/>
    <w:next w:val="1"/>
    <w:qFormat/>
    <w:uiPriority w:val="99"/>
    <w:pPr>
      <w:spacing w:before="120" w:line="240" w:lineRule="auto"/>
    </w:pPr>
    <w:rPr>
      <w:rFonts w:ascii="Arial" w:hAnsi="Arial" w:cs="Arial"/>
    </w:rPr>
  </w:style>
  <w:style w:type="paragraph" w:styleId="19">
    <w:name w:val="annotation text"/>
    <w:basedOn w:val="1"/>
    <w:link w:val="245"/>
    <w:qFormat/>
    <w:uiPriority w:val="0"/>
    <w:pPr>
      <w:jc w:val="left"/>
    </w:pPr>
    <w:rPr>
      <w:sz w:val="21"/>
    </w:rPr>
  </w:style>
  <w:style w:type="paragraph" w:styleId="20">
    <w:name w:val="Salutation"/>
    <w:basedOn w:val="1"/>
    <w:next w:val="1"/>
    <w:link w:val="246"/>
    <w:qFormat/>
    <w:uiPriority w:val="0"/>
  </w:style>
  <w:style w:type="paragraph" w:styleId="21">
    <w:name w:val="Body Text 3"/>
    <w:basedOn w:val="1"/>
    <w:link w:val="484"/>
    <w:qFormat/>
    <w:uiPriority w:val="0"/>
    <w:pPr>
      <w:spacing w:line="240" w:lineRule="auto"/>
      <w:jc w:val="center"/>
    </w:pPr>
    <w:rPr>
      <w:kern w:val="2"/>
      <w:sz w:val="21"/>
      <w:szCs w:val="20"/>
      <w:lang w:val="zh-CN"/>
    </w:rPr>
  </w:style>
  <w:style w:type="paragraph" w:styleId="22">
    <w:name w:val="List Bullet 3"/>
    <w:basedOn w:val="1"/>
    <w:qFormat/>
    <w:uiPriority w:val="0"/>
    <w:pPr>
      <w:tabs>
        <w:tab w:val="left" w:pos="1200"/>
      </w:tabs>
      <w:spacing w:line="240" w:lineRule="auto"/>
      <w:ind w:left="1200" w:hanging="360"/>
    </w:pPr>
    <w:rPr>
      <w:kern w:val="2"/>
      <w:sz w:val="21"/>
      <w:szCs w:val="20"/>
    </w:rPr>
  </w:style>
  <w:style w:type="paragraph" w:styleId="23">
    <w:name w:val="Body Text"/>
    <w:basedOn w:val="1"/>
    <w:link w:val="247"/>
    <w:unhideWhenUsed/>
    <w:qFormat/>
    <w:uiPriority w:val="0"/>
    <w:pPr>
      <w:spacing w:after="120"/>
    </w:pPr>
  </w:style>
  <w:style w:type="paragraph" w:styleId="24">
    <w:name w:val="Body Text Indent"/>
    <w:basedOn w:val="1"/>
    <w:link w:val="250"/>
    <w:unhideWhenUsed/>
    <w:qFormat/>
    <w:uiPriority w:val="0"/>
    <w:pPr>
      <w:spacing w:after="120" w:line="240" w:lineRule="auto"/>
      <w:ind w:left="420"/>
    </w:pPr>
    <w:rPr>
      <w:sz w:val="21"/>
      <w:szCs w:val="20"/>
    </w:rPr>
  </w:style>
  <w:style w:type="paragraph" w:styleId="25">
    <w:name w:val="List Number 3"/>
    <w:basedOn w:val="1"/>
    <w:semiHidden/>
    <w:unhideWhenUsed/>
    <w:qFormat/>
    <w:uiPriority w:val="99"/>
    <w:pPr>
      <w:widowControl/>
      <w:numPr>
        <w:ilvl w:val="0"/>
        <w:numId w:val="1"/>
      </w:numPr>
      <w:tabs>
        <w:tab w:val="left" w:pos="360"/>
        <w:tab w:val="left" w:pos="425"/>
        <w:tab w:val="left" w:pos="926"/>
        <w:tab w:val="clear" w:pos="1200"/>
      </w:tabs>
      <w:ind w:left="425" w:leftChars="0" w:hanging="425" w:firstLineChars="0"/>
      <w:contextualSpacing/>
      <w:jc w:val="left"/>
    </w:pPr>
    <w:rPr>
      <w:szCs w:val="22"/>
    </w:rPr>
  </w:style>
  <w:style w:type="paragraph" w:styleId="26">
    <w:name w:val="List 2"/>
    <w:basedOn w:val="1"/>
    <w:qFormat/>
    <w:uiPriority w:val="0"/>
    <w:pPr>
      <w:spacing w:line="360" w:lineRule="exact"/>
      <w:jc w:val="center"/>
    </w:pPr>
    <w:rPr>
      <w:rFonts w:ascii="仿宋_GB2312" w:eastAsia="仿宋_GB2312"/>
      <w:kern w:val="2"/>
      <w:sz w:val="21"/>
    </w:rPr>
  </w:style>
  <w:style w:type="paragraph" w:styleId="27">
    <w:name w:val="Block Text"/>
    <w:basedOn w:val="1"/>
    <w:qFormat/>
    <w:uiPriority w:val="99"/>
    <w:pPr>
      <w:spacing w:line="260" w:lineRule="exact"/>
      <w:ind w:left="-84" w:leftChars="-30" w:right="-84" w:rightChars="-30" w:firstLine="180" w:firstLineChars="100"/>
    </w:pPr>
    <w:rPr>
      <w:kern w:val="2"/>
      <w:sz w:val="18"/>
      <w:szCs w:val="18"/>
    </w:rPr>
  </w:style>
  <w:style w:type="paragraph" w:styleId="28">
    <w:name w:val="List Bullet 2"/>
    <w:basedOn w:val="1"/>
    <w:qFormat/>
    <w:uiPriority w:val="0"/>
    <w:pPr>
      <w:spacing w:line="240" w:lineRule="auto"/>
      <w:ind w:left="900" w:hanging="420"/>
    </w:pPr>
    <w:rPr>
      <w:kern w:val="2"/>
      <w:sz w:val="21"/>
    </w:rPr>
  </w:style>
  <w:style w:type="paragraph" w:styleId="29">
    <w:name w:val="toc 5"/>
    <w:basedOn w:val="1"/>
    <w:next w:val="1"/>
    <w:qFormat/>
    <w:uiPriority w:val="39"/>
    <w:pPr>
      <w:ind w:left="1680"/>
    </w:pPr>
  </w:style>
  <w:style w:type="paragraph" w:styleId="30">
    <w:name w:val="toc 3"/>
    <w:basedOn w:val="1"/>
    <w:next w:val="1"/>
    <w:qFormat/>
    <w:uiPriority w:val="39"/>
    <w:pPr>
      <w:ind w:left="840"/>
    </w:pPr>
  </w:style>
  <w:style w:type="paragraph" w:styleId="31">
    <w:name w:val="Plain Text"/>
    <w:basedOn w:val="1"/>
    <w:link w:val="251"/>
    <w:qFormat/>
    <w:uiPriority w:val="0"/>
    <w:rPr>
      <w:rFonts w:ascii="宋体" w:hAnsi="Courier New"/>
      <w:sz w:val="21"/>
      <w:szCs w:val="20"/>
    </w:rPr>
  </w:style>
  <w:style w:type="paragraph" w:styleId="32">
    <w:name w:val="toc 8"/>
    <w:basedOn w:val="1"/>
    <w:next w:val="1"/>
    <w:qFormat/>
    <w:uiPriority w:val="39"/>
    <w:pPr>
      <w:ind w:left="2940"/>
    </w:pPr>
  </w:style>
  <w:style w:type="paragraph" w:styleId="33">
    <w:name w:val="Date"/>
    <w:basedOn w:val="1"/>
    <w:next w:val="1"/>
    <w:link w:val="252"/>
    <w:qFormat/>
    <w:uiPriority w:val="0"/>
    <w:rPr>
      <w:sz w:val="28"/>
    </w:rPr>
  </w:style>
  <w:style w:type="paragraph" w:styleId="34">
    <w:name w:val="Body Text Indent 2"/>
    <w:basedOn w:val="1"/>
    <w:next w:val="1"/>
    <w:link w:val="253"/>
    <w:qFormat/>
    <w:uiPriority w:val="0"/>
    <w:pPr>
      <w:ind w:left="2" w:firstLine="24"/>
    </w:pPr>
    <w:rPr>
      <w:rFonts w:ascii="宋体" w:hAnsi="宋体"/>
    </w:rPr>
  </w:style>
  <w:style w:type="paragraph" w:styleId="35">
    <w:name w:val="endnote text"/>
    <w:basedOn w:val="1"/>
    <w:link w:val="223"/>
    <w:semiHidden/>
    <w:unhideWhenUsed/>
    <w:qFormat/>
    <w:uiPriority w:val="99"/>
    <w:pPr>
      <w:spacing w:line="240" w:lineRule="auto"/>
    </w:pPr>
    <w:rPr>
      <w:sz w:val="20"/>
    </w:rPr>
  </w:style>
  <w:style w:type="paragraph" w:styleId="36">
    <w:name w:val="Balloon Text"/>
    <w:basedOn w:val="1"/>
    <w:link w:val="254"/>
    <w:qFormat/>
    <w:uiPriority w:val="99"/>
    <w:rPr>
      <w:sz w:val="18"/>
      <w:szCs w:val="18"/>
    </w:rPr>
  </w:style>
  <w:style w:type="paragraph" w:styleId="37">
    <w:name w:val="footer"/>
    <w:basedOn w:val="1"/>
    <w:link w:val="244"/>
    <w:unhideWhenUsed/>
    <w:qFormat/>
    <w:uiPriority w:val="99"/>
    <w:pPr>
      <w:tabs>
        <w:tab w:val="center" w:pos="4153"/>
        <w:tab w:val="right" w:pos="8306"/>
      </w:tabs>
      <w:spacing w:line="240" w:lineRule="auto"/>
    </w:pPr>
    <w:rPr>
      <w:sz w:val="18"/>
      <w:szCs w:val="18"/>
    </w:rPr>
  </w:style>
  <w:style w:type="paragraph" w:styleId="38">
    <w:name w:val="header"/>
    <w:basedOn w:val="1"/>
    <w:link w:val="243"/>
    <w:unhideWhenUsed/>
    <w:qFormat/>
    <w:uiPriority w:val="99"/>
    <w:pPr>
      <w:tabs>
        <w:tab w:val="center" w:pos="4153"/>
        <w:tab w:val="right" w:pos="8306"/>
      </w:tabs>
      <w:spacing w:line="240" w:lineRule="auto"/>
      <w:jc w:val="center"/>
    </w:pPr>
    <w:rPr>
      <w:sz w:val="18"/>
      <w:szCs w:val="18"/>
    </w:rPr>
  </w:style>
  <w:style w:type="paragraph" w:styleId="39">
    <w:name w:val="toc 1"/>
    <w:basedOn w:val="1"/>
    <w:next w:val="1"/>
    <w:link w:val="576"/>
    <w:qFormat/>
    <w:uiPriority w:val="39"/>
  </w:style>
  <w:style w:type="paragraph" w:styleId="40">
    <w:name w:val="toc 4"/>
    <w:basedOn w:val="1"/>
    <w:next w:val="1"/>
    <w:qFormat/>
    <w:uiPriority w:val="39"/>
    <w:pPr>
      <w:ind w:left="1260"/>
    </w:pPr>
  </w:style>
  <w:style w:type="paragraph" w:styleId="41">
    <w:name w:val="Subtitle"/>
    <w:basedOn w:val="1"/>
    <w:next w:val="1"/>
    <w:link w:val="23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2">
    <w:name w:val="List"/>
    <w:basedOn w:val="1"/>
    <w:link w:val="255"/>
    <w:qFormat/>
    <w:uiPriority w:val="99"/>
    <w:pPr>
      <w:ind w:left="200" w:hanging="200"/>
    </w:pPr>
    <w:rPr>
      <w:sz w:val="21"/>
      <w:szCs w:val="20"/>
    </w:rPr>
  </w:style>
  <w:style w:type="paragraph" w:styleId="43">
    <w:name w:val="footnote text"/>
    <w:basedOn w:val="1"/>
    <w:link w:val="222"/>
    <w:unhideWhenUsed/>
    <w:qFormat/>
    <w:uiPriority w:val="99"/>
    <w:pPr>
      <w:spacing w:after="40" w:line="240" w:lineRule="auto"/>
    </w:pPr>
    <w:rPr>
      <w:sz w:val="18"/>
    </w:rPr>
  </w:style>
  <w:style w:type="paragraph" w:styleId="44">
    <w:name w:val="toc 6"/>
    <w:basedOn w:val="1"/>
    <w:next w:val="1"/>
    <w:qFormat/>
    <w:uiPriority w:val="39"/>
    <w:pPr>
      <w:ind w:left="2100"/>
    </w:pPr>
  </w:style>
  <w:style w:type="paragraph" w:styleId="45">
    <w:name w:val="Body Text Indent 3"/>
    <w:basedOn w:val="1"/>
    <w:link w:val="256"/>
    <w:unhideWhenUsed/>
    <w:qFormat/>
    <w:uiPriority w:val="0"/>
    <w:pPr>
      <w:spacing w:after="120"/>
      <w:ind w:left="420"/>
    </w:pPr>
    <w:rPr>
      <w:sz w:val="16"/>
      <w:szCs w:val="16"/>
    </w:rPr>
  </w:style>
  <w:style w:type="paragraph" w:styleId="46">
    <w:name w:val="table of figures"/>
    <w:basedOn w:val="1"/>
    <w:next w:val="1"/>
    <w:unhideWhenUsed/>
    <w:qFormat/>
    <w:uiPriority w:val="0"/>
  </w:style>
  <w:style w:type="paragraph" w:styleId="47">
    <w:name w:val="toc 2"/>
    <w:basedOn w:val="1"/>
    <w:next w:val="1"/>
    <w:link w:val="1024"/>
    <w:qFormat/>
    <w:uiPriority w:val="39"/>
    <w:pPr>
      <w:ind w:left="420"/>
    </w:pPr>
  </w:style>
  <w:style w:type="paragraph" w:styleId="48">
    <w:name w:val="toc 9"/>
    <w:basedOn w:val="1"/>
    <w:next w:val="1"/>
    <w:qFormat/>
    <w:uiPriority w:val="39"/>
    <w:pPr>
      <w:ind w:left="3360"/>
    </w:pPr>
  </w:style>
  <w:style w:type="paragraph" w:styleId="49">
    <w:name w:val="Body Text 2"/>
    <w:basedOn w:val="1"/>
    <w:link w:val="486"/>
    <w:qFormat/>
    <w:uiPriority w:val="99"/>
    <w:pPr>
      <w:spacing w:after="120" w:line="480" w:lineRule="auto"/>
    </w:pPr>
    <w:rPr>
      <w:kern w:val="2"/>
      <w:sz w:val="21"/>
      <w:lang w:val="zh-CN"/>
    </w:rPr>
  </w:style>
  <w:style w:type="paragraph" w:styleId="50">
    <w:name w:val="HTML Preformatted"/>
    <w:basedOn w:val="1"/>
    <w:link w:val="257"/>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hint="eastAsia" w:ascii="宋体" w:hAnsi="宋体"/>
    </w:rPr>
  </w:style>
  <w:style w:type="paragraph" w:styleId="51">
    <w:name w:val="Normal (Web)"/>
    <w:basedOn w:val="1"/>
    <w:qFormat/>
    <w:uiPriority w:val="99"/>
    <w:pPr>
      <w:widowControl/>
      <w:spacing w:before="100" w:beforeAutospacing="1" w:after="100" w:afterAutospacing="1"/>
      <w:jc w:val="left"/>
    </w:pPr>
    <w:rPr>
      <w:rFonts w:ascii="宋体" w:hAnsi="宋体" w:cs="宋体"/>
    </w:rPr>
  </w:style>
  <w:style w:type="paragraph" w:styleId="52">
    <w:name w:val="index 1"/>
    <w:basedOn w:val="1"/>
    <w:next w:val="1"/>
    <w:autoRedefine/>
    <w:semiHidden/>
    <w:unhideWhenUsed/>
    <w:qFormat/>
    <w:uiPriority w:val="99"/>
    <w:pPr>
      <w:spacing w:afterLines="30" w:line="240" w:lineRule="auto"/>
    </w:pPr>
    <w:rPr>
      <w:rFonts w:cs="宋体"/>
      <w:spacing w:val="-4"/>
      <w:kern w:val="2"/>
      <w:sz w:val="21"/>
      <w:szCs w:val="21"/>
    </w:rPr>
  </w:style>
  <w:style w:type="paragraph" w:styleId="53">
    <w:name w:val="Title"/>
    <w:basedOn w:val="1"/>
    <w:next w:val="1"/>
    <w:link w:val="234"/>
    <w:qFormat/>
    <w:uiPriority w:val="99"/>
    <w:pPr>
      <w:spacing w:after="80" w:line="240" w:lineRule="auto"/>
      <w:contextualSpacing/>
      <w:jc w:val="center"/>
    </w:pPr>
    <w:rPr>
      <w:rFonts w:asciiTheme="majorHAnsi" w:hAnsiTheme="majorHAnsi" w:eastAsiaTheme="majorEastAsia" w:cstheme="majorBidi"/>
      <w:spacing w:val="-10"/>
      <w:sz w:val="56"/>
      <w:szCs w:val="56"/>
    </w:rPr>
  </w:style>
  <w:style w:type="paragraph" w:styleId="54">
    <w:name w:val="annotation subject"/>
    <w:basedOn w:val="19"/>
    <w:next w:val="19"/>
    <w:link w:val="258"/>
    <w:qFormat/>
    <w:uiPriority w:val="99"/>
    <w:rPr>
      <w:b/>
      <w:bCs/>
    </w:rPr>
  </w:style>
  <w:style w:type="paragraph" w:styleId="55">
    <w:name w:val="Body Text First Indent"/>
    <w:basedOn w:val="23"/>
    <w:link w:val="248"/>
    <w:unhideWhenUsed/>
    <w:qFormat/>
    <w:uiPriority w:val="0"/>
    <w:pPr>
      <w:ind w:firstLine="420"/>
    </w:pPr>
  </w:style>
  <w:style w:type="paragraph" w:styleId="56">
    <w:name w:val="Body Text First Indent 2"/>
    <w:basedOn w:val="24"/>
    <w:link w:val="259"/>
    <w:qFormat/>
    <w:uiPriority w:val="0"/>
    <w:pPr>
      <w:spacing w:line="360" w:lineRule="auto"/>
      <w:ind w:firstLine="420"/>
      <w:jc w:val="left"/>
    </w:pPr>
  </w:style>
  <w:style w:type="table" w:styleId="58">
    <w:name w:val="Table Grid"/>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9">
    <w:name w:val="Table Theme"/>
    <w:basedOn w:val="57"/>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60">
    <w:name w:val="Table Elegant"/>
    <w:basedOn w:val="57"/>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cBorders>
      </w:tcPr>
    </w:tblStylePr>
  </w:style>
  <w:style w:type="table" w:styleId="61">
    <w:name w:val="Table Classic 1"/>
    <w:basedOn w:val="57"/>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62">
    <w:name w:val="Table Simple 1"/>
    <w:basedOn w:val="57"/>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63">
    <w:name w:val="Table List 2"/>
    <w:basedOn w:val="57"/>
    <w:qFormat/>
    <w:uiPriority w:val="0"/>
    <w:pPr>
      <w:widowControl w:val="0"/>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64">
    <w:name w:val="Table Grid 1"/>
    <w:basedOn w:val="57"/>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5">
    <w:name w:val="Light Shading"/>
    <w:basedOn w:val="57"/>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tcBorders>
          <w:top w:val="nil"/>
          <w:left w:val="nil"/>
          <w:bottom w:val="nil"/>
          <w:right w:val="nil"/>
          <w:insideH w:val="nil"/>
          <w:insideV w:val="nil"/>
        </w:tcBorders>
        <w:shd w:val="clear" w:color="auto" w:fill="C0C0C0"/>
      </w:tcPr>
    </w:tblStylePr>
  </w:style>
  <w:style w:type="table" w:styleId="66">
    <w:name w:val="Light Shading Accent 1"/>
    <w:basedOn w:val="57"/>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tcBorders>
          <w:top w:val="nil"/>
          <w:left w:val="nil"/>
          <w:bottom w:val="nil"/>
          <w:right w:val="nil"/>
          <w:insideH w:val="nil"/>
          <w:insideV w:val="nil"/>
        </w:tcBorders>
        <w:shd w:val="clear" w:color="auto" w:fill="D3DFEE"/>
      </w:tcPr>
    </w:tblStylePr>
  </w:style>
  <w:style w:type="character" w:styleId="68">
    <w:name w:val="Strong"/>
    <w:qFormat/>
    <w:uiPriority w:val="22"/>
    <w:rPr>
      <w:b/>
      <w:bCs/>
    </w:rPr>
  </w:style>
  <w:style w:type="character" w:styleId="69">
    <w:name w:val="endnote reference"/>
    <w:basedOn w:val="67"/>
    <w:semiHidden/>
    <w:unhideWhenUsed/>
    <w:qFormat/>
    <w:uiPriority w:val="99"/>
    <w:rPr>
      <w:vertAlign w:val="superscript"/>
    </w:rPr>
  </w:style>
  <w:style w:type="character" w:styleId="70">
    <w:name w:val="page number"/>
    <w:qFormat/>
    <w:uiPriority w:val="0"/>
  </w:style>
  <w:style w:type="character" w:styleId="71">
    <w:name w:val="FollowedHyperlink"/>
    <w:qFormat/>
    <w:uiPriority w:val="99"/>
    <w:rPr>
      <w:color w:val="727272"/>
      <w:u w:val="none"/>
    </w:rPr>
  </w:style>
  <w:style w:type="character" w:styleId="72">
    <w:name w:val="Emphasis"/>
    <w:qFormat/>
    <w:uiPriority w:val="20"/>
  </w:style>
  <w:style w:type="character" w:styleId="73">
    <w:name w:val="line number"/>
    <w:unhideWhenUsed/>
    <w:qFormat/>
    <w:uiPriority w:val="0"/>
  </w:style>
  <w:style w:type="character" w:styleId="74">
    <w:name w:val="Hyperlink"/>
    <w:qFormat/>
    <w:uiPriority w:val="99"/>
    <w:rPr>
      <w:color w:val="0000CC"/>
      <w:u w:val="single"/>
    </w:rPr>
  </w:style>
  <w:style w:type="character" w:styleId="75">
    <w:name w:val="annotation reference"/>
    <w:basedOn w:val="67"/>
    <w:unhideWhenUsed/>
    <w:qFormat/>
    <w:uiPriority w:val="99"/>
    <w:rPr>
      <w:sz w:val="21"/>
      <w:szCs w:val="21"/>
    </w:rPr>
  </w:style>
  <w:style w:type="character" w:styleId="76">
    <w:name w:val="footnote reference"/>
    <w:basedOn w:val="67"/>
    <w:unhideWhenUsed/>
    <w:qFormat/>
    <w:uiPriority w:val="0"/>
    <w:rPr>
      <w:vertAlign w:val="superscript"/>
    </w:rPr>
  </w:style>
  <w:style w:type="paragraph" w:customStyle="1" w:styleId="77">
    <w:name w:val="Default"/>
    <w:basedOn w:val="78"/>
    <w:next w:val="79"/>
    <w:qFormat/>
    <w:uiPriority w:val="0"/>
    <w:rPr>
      <w:rFonts w:ascii="Arial Unicode MS" w:hAnsi="Times New Roman" w:eastAsia="Arial Unicode MS" w:cs="Arial Unicode MS"/>
      <w:color w:val="000000"/>
    </w:rPr>
  </w:style>
  <w:style w:type="paragraph" w:customStyle="1" w:styleId="78">
    <w:name w:val="纯文本1"/>
    <w:basedOn w:val="1"/>
    <w:qFormat/>
    <w:uiPriority w:val="0"/>
    <w:rPr>
      <w:rFonts w:ascii="宋体" w:hAnsi="Courier New"/>
      <w:b/>
    </w:rPr>
  </w:style>
  <w:style w:type="paragraph" w:customStyle="1" w:styleId="79">
    <w:name w:val="正文文字 6"/>
    <w:basedOn w:val="80"/>
    <w:next w:val="1"/>
    <w:qFormat/>
    <w:uiPriority w:val="0"/>
    <w:pPr>
      <w:ind w:left="240"/>
      <w:jc w:val="both"/>
    </w:pPr>
    <w:rPr>
      <w:rFonts w:ascii="宋体" w:hAnsi="Calibri" w:cs="Times New Roman"/>
      <w:bCs/>
      <w:sz w:val="32"/>
      <w:szCs w:val="32"/>
    </w:rPr>
  </w:style>
  <w:style w:type="paragraph" w:customStyle="1" w:styleId="80">
    <w:name w:val="TT标题"/>
    <w:basedOn w:val="1"/>
    <w:qFormat/>
    <w:uiPriority w:val="0"/>
    <w:pPr>
      <w:jc w:val="center"/>
    </w:pPr>
    <w:rPr>
      <w:rFonts w:cs="宋体"/>
      <w:b/>
      <w:szCs w:val="20"/>
    </w:rPr>
  </w:style>
  <w:style w:type="character" w:customStyle="1" w:styleId="81">
    <w:name w:val="Heading 1 Char"/>
    <w:basedOn w:val="67"/>
    <w:qFormat/>
    <w:uiPriority w:val="9"/>
    <w:rPr>
      <w:rFonts w:ascii="Arial" w:hAnsi="Arial" w:eastAsia="Arial" w:cs="Arial"/>
      <w:sz w:val="40"/>
      <w:szCs w:val="40"/>
    </w:rPr>
  </w:style>
  <w:style w:type="character" w:customStyle="1" w:styleId="82">
    <w:name w:val="Heading 2 Char"/>
    <w:basedOn w:val="67"/>
    <w:qFormat/>
    <w:uiPriority w:val="9"/>
    <w:rPr>
      <w:rFonts w:ascii="Arial" w:hAnsi="Arial" w:eastAsia="Arial" w:cs="Arial"/>
      <w:sz w:val="34"/>
    </w:rPr>
  </w:style>
  <w:style w:type="character" w:customStyle="1" w:styleId="83">
    <w:name w:val="Heading 3 Char"/>
    <w:basedOn w:val="67"/>
    <w:qFormat/>
    <w:uiPriority w:val="9"/>
    <w:rPr>
      <w:rFonts w:ascii="Arial" w:hAnsi="Arial" w:eastAsia="Arial" w:cs="Arial"/>
      <w:sz w:val="30"/>
      <w:szCs w:val="30"/>
    </w:rPr>
  </w:style>
  <w:style w:type="character" w:customStyle="1" w:styleId="84">
    <w:name w:val="Heading 4 Char"/>
    <w:basedOn w:val="67"/>
    <w:qFormat/>
    <w:uiPriority w:val="9"/>
    <w:rPr>
      <w:rFonts w:ascii="Arial" w:hAnsi="Arial" w:eastAsia="Arial" w:cs="Arial"/>
      <w:b/>
      <w:bCs/>
      <w:sz w:val="26"/>
      <w:szCs w:val="26"/>
    </w:rPr>
  </w:style>
  <w:style w:type="character" w:customStyle="1" w:styleId="85">
    <w:name w:val="Heading 5 Char"/>
    <w:basedOn w:val="67"/>
    <w:qFormat/>
    <w:uiPriority w:val="9"/>
    <w:rPr>
      <w:rFonts w:ascii="Arial" w:hAnsi="Arial" w:eastAsia="Arial" w:cs="Arial"/>
      <w:b/>
      <w:bCs/>
      <w:sz w:val="24"/>
      <w:szCs w:val="24"/>
    </w:rPr>
  </w:style>
  <w:style w:type="character" w:customStyle="1" w:styleId="86">
    <w:name w:val="Heading 6 Char"/>
    <w:basedOn w:val="67"/>
    <w:qFormat/>
    <w:uiPriority w:val="9"/>
    <w:rPr>
      <w:rFonts w:ascii="Arial" w:hAnsi="Arial" w:eastAsia="Arial" w:cs="Arial"/>
      <w:b/>
      <w:bCs/>
      <w:sz w:val="22"/>
      <w:szCs w:val="22"/>
    </w:rPr>
  </w:style>
  <w:style w:type="character" w:customStyle="1" w:styleId="87">
    <w:name w:val="Heading 7 Char"/>
    <w:basedOn w:val="67"/>
    <w:qFormat/>
    <w:uiPriority w:val="9"/>
    <w:rPr>
      <w:rFonts w:ascii="Arial" w:hAnsi="Arial" w:eastAsia="Arial" w:cs="Arial"/>
      <w:b/>
      <w:bCs/>
      <w:i/>
      <w:iCs/>
      <w:sz w:val="22"/>
      <w:szCs w:val="22"/>
    </w:rPr>
  </w:style>
  <w:style w:type="character" w:customStyle="1" w:styleId="88">
    <w:name w:val="Heading 8 Char"/>
    <w:basedOn w:val="67"/>
    <w:qFormat/>
    <w:uiPriority w:val="9"/>
    <w:rPr>
      <w:rFonts w:ascii="Arial" w:hAnsi="Arial" w:eastAsia="Arial" w:cs="Arial"/>
      <w:i/>
      <w:iCs/>
      <w:sz w:val="22"/>
      <w:szCs w:val="22"/>
    </w:rPr>
  </w:style>
  <w:style w:type="character" w:customStyle="1" w:styleId="89">
    <w:name w:val="Heading 9 Char"/>
    <w:basedOn w:val="67"/>
    <w:qFormat/>
    <w:uiPriority w:val="9"/>
    <w:rPr>
      <w:rFonts w:ascii="Arial" w:hAnsi="Arial" w:eastAsia="Arial" w:cs="Arial"/>
      <w:i/>
      <w:iCs/>
      <w:sz w:val="21"/>
      <w:szCs w:val="21"/>
    </w:rPr>
  </w:style>
  <w:style w:type="paragraph" w:styleId="90">
    <w:name w:val="No Spacing"/>
    <w:link w:val="680"/>
    <w:qFormat/>
    <w:uiPriority w:val="0"/>
    <w:rPr>
      <w:rFonts w:ascii="Times New Roman" w:hAnsi="Times New Roman" w:eastAsia="宋体" w:cs="Times New Roman"/>
      <w:lang w:val="en-US" w:eastAsia="zh-CN" w:bidi="ar-SA"/>
    </w:rPr>
  </w:style>
  <w:style w:type="character" w:customStyle="1" w:styleId="91">
    <w:name w:val="Title Char"/>
    <w:basedOn w:val="67"/>
    <w:qFormat/>
    <w:uiPriority w:val="10"/>
    <w:rPr>
      <w:sz w:val="48"/>
      <w:szCs w:val="48"/>
    </w:rPr>
  </w:style>
  <w:style w:type="character" w:customStyle="1" w:styleId="92">
    <w:name w:val="Subtitle Char"/>
    <w:basedOn w:val="67"/>
    <w:qFormat/>
    <w:uiPriority w:val="11"/>
    <w:rPr>
      <w:sz w:val="24"/>
      <w:szCs w:val="24"/>
    </w:rPr>
  </w:style>
  <w:style w:type="character" w:customStyle="1" w:styleId="93">
    <w:name w:val="Quote Char"/>
    <w:qFormat/>
    <w:uiPriority w:val="29"/>
    <w:rPr>
      <w:i/>
    </w:rPr>
  </w:style>
  <w:style w:type="character" w:customStyle="1" w:styleId="94">
    <w:name w:val="Intense Quote Char"/>
    <w:qFormat/>
    <w:uiPriority w:val="30"/>
    <w:rPr>
      <w:i/>
    </w:rPr>
  </w:style>
  <w:style w:type="character" w:customStyle="1" w:styleId="95">
    <w:name w:val="Footer Char"/>
    <w:basedOn w:val="67"/>
    <w:qFormat/>
    <w:uiPriority w:val="0"/>
  </w:style>
  <w:style w:type="character" w:customStyle="1" w:styleId="96">
    <w:name w:val="Caption Char"/>
    <w:qFormat/>
    <w:uiPriority w:val="99"/>
  </w:style>
  <w:style w:type="table" w:customStyle="1" w:styleId="97">
    <w:name w:val="Table Grid Light"/>
    <w:basedOn w:val="5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98">
    <w:name w:val="无格式表格 11"/>
    <w:basedOn w:val="5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9">
    <w:name w:val="无格式表格 21"/>
    <w:basedOn w:val="57"/>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100">
    <w:name w:val="无格式表格 31"/>
    <w:basedOn w:val="57"/>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1">
    <w:name w:val="无格式表格 41"/>
    <w:basedOn w:val="57"/>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2">
    <w:name w:val="无格式表格 51"/>
    <w:basedOn w:val="57"/>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3">
    <w:name w:val="网格表 1 浅色1"/>
    <w:basedOn w:val="57"/>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04">
    <w:name w:val="Grid Table 1 Light - Accent 1"/>
    <w:basedOn w:val="57"/>
    <w:qFormat/>
    <w:uiPriority w:val="99"/>
    <w:tblPr>
      <w:tbl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insideH w:val="single" w:color="82CAEA" w:themeColor="accent1" w:themeTint="67" w:sz="4" w:space="0"/>
        <w:insideV w:val="single" w:color="82CAEA" w:themeColor="accent1" w:themeTint="67" w:sz="4" w:space="0"/>
      </w:tblBorders>
    </w:tblPr>
    <w:tblStylePr w:type="firstRow">
      <w:rPr>
        <w:b/>
        <w:color w:val="404040"/>
      </w:rPr>
      <w:tcPr>
        <w:tcBorders>
          <w:bottom w:val="single" w:color="4AB2E1"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tcBorders>
      </w:tcPr>
    </w:tblStylePr>
  </w:style>
  <w:style w:type="table" w:customStyle="1" w:styleId="105">
    <w:name w:val="Grid Table 1 Light - Accent 2"/>
    <w:basedOn w:val="57"/>
    <w:qFormat/>
    <w:uiPriority w:val="99"/>
    <w:tblPr>
      <w:tbl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insideH w:val="single" w:color="F6C5AC" w:themeColor="accent2" w:themeTint="67" w:sz="4" w:space="0"/>
        <w:insideV w:val="single" w:color="F6C5AC" w:themeColor="accent2" w:themeTint="67" w:sz="4" w:space="0"/>
      </w:tblBorders>
    </w:tblPr>
    <w:tblStylePr w:type="firstRow">
      <w:rPr>
        <w:b/>
        <w:color w:val="404040"/>
      </w:rPr>
      <w:tcPr>
        <w:tcBorders>
          <w:bottom w:val="single" w:color="F2AC87"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tcBorders>
      </w:tcPr>
    </w:tblStylePr>
  </w:style>
  <w:style w:type="table" w:customStyle="1" w:styleId="106">
    <w:name w:val="Grid Table 1 Light - Accent 3"/>
    <w:basedOn w:val="57"/>
    <w:qFormat/>
    <w:uiPriority w:val="99"/>
    <w:tblPr>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blStylePr w:type="firstRow">
      <w:rPr>
        <w:b/>
        <w:color w:val="404040"/>
      </w:rPr>
      <w:tcPr>
        <w:tcBorders>
          <w:bottom w:val="single" w:color="4BD55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style>
  <w:style w:type="table" w:customStyle="1" w:styleId="107">
    <w:name w:val="Grid Table 1 Light - Accent 4"/>
    <w:basedOn w:val="57"/>
    <w:qFormat/>
    <w:uiPriority w:val="99"/>
    <w:tblPr>
      <w:tbl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insideH w:val="single" w:color="94DCF7" w:themeColor="accent4" w:themeTint="67" w:sz="4" w:space="0"/>
        <w:insideV w:val="single" w:color="94DCF7" w:themeColor="accent4" w:themeTint="67" w:sz="4" w:space="0"/>
      </w:tblBorders>
    </w:tblPr>
    <w:tblStylePr w:type="firstRow">
      <w:rPr>
        <w:b/>
        <w:color w:val="404040"/>
      </w:rPr>
      <w:tcPr>
        <w:tcBorders>
          <w:bottom w:val="single" w:color="65CCF4"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tcBorders>
      </w:tcPr>
    </w:tblStylePr>
  </w:style>
  <w:style w:type="table" w:customStyle="1" w:styleId="108">
    <w:name w:val="Grid Table 1 Light - Accent 5"/>
    <w:basedOn w:val="57"/>
    <w:qFormat/>
    <w:uiPriority w:val="99"/>
    <w:tblPr>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blStylePr w:type="firstRow">
      <w:rPr>
        <w:b/>
        <w:color w:val="404040"/>
      </w:rPr>
      <w:tcPr>
        <w:tcBorders>
          <w:bottom w:val="single" w:color="D871C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style>
  <w:style w:type="table" w:customStyle="1" w:styleId="109">
    <w:name w:val="Grid Table 1 Light - Accent 6"/>
    <w:basedOn w:val="57"/>
    <w:qFormat/>
    <w:uiPriority w:val="99"/>
    <w:tblPr>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blStylePr w:type="firstRow">
      <w:rPr>
        <w:b/>
        <w:color w:val="404040"/>
      </w:rPr>
      <w:tcPr>
        <w:tcBorders>
          <w:bottom w:val="single" w:color="91D976"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style>
  <w:style w:type="table" w:customStyle="1" w:styleId="110">
    <w:name w:val="网格表 21"/>
    <w:basedOn w:val="5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1">
    <w:name w:val="Grid Table 2 - Accent 1"/>
    <w:basedOn w:val="57"/>
    <w:qFormat/>
    <w:uiPriority w:val="99"/>
    <w:tblPr>
      <w:tblBorders>
        <w:bottom w:val="single" w:color="19729B" w:themeColor="accent1" w:themeTint="EA" w:sz="4" w:space="0"/>
        <w:insideH w:val="single" w:color="19729B" w:themeColor="accent1" w:themeTint="EA" w:sz="4" w:space="0"/>
        <w:insideV w:val="single" w:color="19729B" w:themeColor="accent1" w:themeTint="EA" w:sz="4" w:space="0"/>
      </w:tblBorders>
    </w:tblPr>
    <w:tblStylePr w:type="firstRow">
      <w:rPr>
        <w:b/>
        <w:color w:val="404040"/>
      </w:rPr>
      <w:tcPr>
        <w:tcBorders>
          <w:top w:val="nil"/>
          <w:left w:val="nil"/>
          <w:bottom w:val="single" w:color="19729B" w:themeColor="accent1" w:themeTint="EA" w:sz="12" w:space="0"/>
          <w:right w:val="nil"/>
        </w:tcBorders>
        <w:shd w:val="clear" w:color="FFFFFF" w:fill="auto"/>
      </w:tcPr>
    </w:tblStylePr>
    <w:tblStylePr w:type="lastRow">
      <w:rPr>
        <w:b/>
        <w:color w:val="404040"/>
      </w:rPr>
      <w:tcPr>
        <w:tcBorders>
          <w:top w:val="single" w:color="19729B"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BFE4F4" w:themeColor="accent1" w:themeTint="34" w:fill="BFE4F4" w:themeFill="accent1" w:themeFillTint="34"/>
      </w:tcPr>
    </w:tblStylePr>
    <w:tblStylePr w:type="band1Horz">
      <w:rPr>
        <w:rFonts w:ascii="Arial" w:hAnsi="Arial"/>
        <w:color w:val="404040"/>
        <w:sz w:val="22"/>
      </w:rPr>
      <w:tcPr>
        <w:shd w:val="clear" w:color="BFE4F4" w:themeColor="accent1" w:themeTint="34" w:fill="BFE4F4" w:themeFill="accent1" w:themeFillTint="34"/>
      </w:tcPr>
    </w:tblStylePr>
  </w:style>
  <w:style w:type="table" w:customStyle="1" w:styleId="112">
    <w:name w:val="Grid Table 2 - Accent 2"/>
    <w:basedOn w:val="57"/>
    <w:qFormat/>
    <w:uiPriority w:val="99"/>
    <w:tblPr>
      <w:tblBorders>
        <w:bottom w:val="single" w:color="F1AA85" w:themeColor="accent2" w:themeTint="97" w:sz="4" w:space="0"/>
        <w:insideH w:val="single" w:color="F1AA85" w:themeColor="accent2" w:themeTint="97" w:sz="4" w:space="0"/>
        <w:insideV w:val="single" w:color="F1AA85" w:themeColor="accent2" w:themeTint="97" w:sz="4" w:space="0"/>
      </w:tblBorders>
    </w:tblPr>
    <w:tblStylePr w:type="firstRow">
      <w:rPr>
        <w:b/>
        <w:color w:val="404040"/>
      </w:rPr>
      <w:tcPr>
        <w:tcBorders>
          <w:top w:val="nil"/>
          <w:left w:val="nil"/>
          <w:bottom w:val="single" w:color="F1AA85" w:themeColor="accent2" w:themeTint="97" w:sz="12" w:space="0"/>
          <w:right w:val="nil"/>
        </w:tcBorders>
        <w:shd w:val="clear" w:color="FFFFFF" w:fill="auto"/>
      </w:tcPr>
    </w:tblStylePr>
    <w:tblStylePr w:type="lastRow">
      <w:rPr>
        <w:b/>
        <w:color w:val="404040"/>
      </w:rPr>
      <w:tcPr>
        <w:tcBorders>
          <w:top w:val="single" w:color="F1AA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AE3D6" w:themeColor="accent2" w:themeTint="32" w:fill="FAE3D6" w:themeFill="accent2" w:themeFillTint="32"/>
      </w:tcPr>
    </w:tblStylePr>
    <w:tblStylePr w:type="band1Horz">
      <w:rPr>
        <w:rFonts w:ascii="Arial" w:hAnsi="Arial"/>
        <w:color w:val="404040"/>
        <w:sz w:val="22"/>
      </w:rPr>
      <w:tcPr>
        <w:shd w:val="clear" w:color="FAE3D6" w:themeColor="accent2" w:themeTint="32" w:fill="FAE3D6" w:themeFill="accent2" w:themeFillTint="32"/>
      </w:tcPr>
    </w:tblStylePr>
  </w:style>
  <w:style w:type="table" w:customStyle="1" w:styleId="113">
    <w:name w:val="Grid Table 2 - Accent 3"/>
    <w:basedOn w:val="57"/>
    <w:qFormat/>
    <w:uiPriority w:val="99"/>
    <w:tblPr>
      <w:tblBorders>
        <w:bottom w:val="single" w:color="196C24" w:themeColor="accent3" w:themeTint="FE" w:sz="4" w:space="0"/>
        <w:insideH w:val="single" w:color="196C24" w:themeColor="accent3" w:themeTint="FE" w:sz="4" w:space="0"/>
        <w:insideV w:val="single" w:color="196C24" w:themeColor="accent3" w:themeTint="FE" w:sz="4" w:space="0"/>
      </w:tblBorders>
    </w:tblPr>
    <w:tblStylePr w:type="firstRow">
      <w:rPr>
        <w:b/>
        <w:color w:val="404040"/>
      </w:rPr>
      <w:tcPr>
        <w:tcBorders>
          <w:top w:val="nil"/>
          <w:left w:val="nil"/>
          <w:bottom w:val="single" w:color="196C24" w:themeColor="accent3" w:themeTint="FE" w:sz="12" w:space="0"/>
          <w:right w:val="nil"/>
        </w:tcBorders>
        <w:shd w:val="clear" w:color="FFFFFF" w:fill="auto"/>
      </w:tcPr>
    </w:tblStylePr>
    <w:tblStylePr w:type="lastRow">
      <w:rPr>
        <w:b/>
        <w:color w:val="404040"/>
      </w:rPr>
      <w:tcPr>
        <w:tcBorders>
          <w:top w:val="single" w:color="196C24"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0F0C6" w:themeColor="accent3" w:themeTint="34" w:fill="C0F0C6" w:themeFill="accent3" w:themeFillTint="34"/>
      </w:tcPr>
    </w:tblStylePr>
    <w:tblStylePr w:type="band1Horz">
      <w:rPr>
        <w:rFonts w:ascii="Arial" w:hAnsi="Arial"/>
        <w:color w:val="404040"/>
        <w:sz w:val="22"/>
      </w:rPr>
      <w:tcPr>
        <w:shd w:val="clear" w:color="C0F0C6" w:themeColor="accent3" w:themeTint="34" w:fill="C0F0C6" w:themeFill="accent3" w:themeFillTint="34"/>
      </w:tcPr>
    </w:tblStylePr>
  </w:style>
  <w:style w:type="table" w:customStyle="1" w:styleId="114">
    <w:name w:val="Grid Table 2 - Accent 4"/>
    <w:basedOn w:val="57"/>
    <w:qFormat/>
    <w:uiPriority w:val="99"/>
    <w:tblPr>
      <w:tblBorders>
        <w:bottom w:val="single" w:color="5FCAF3" w:themeColor="accent4" w:themeTint="9A" w:sz="4" w:space="0"/>
        <w:insideH w:val="single" w:color="5FCAF3" w:themeColor="accent4" w:themeTint="9A" w:sz="4" w:space="0"/>
        <w:insideV w:val="single" w:color="5FCAF3" w:themeColor="accent4" w:themeTint="9A" w:sz="4" w:space="0"/>
      </w:tblBorders>
    </w:tblPr>
    <w:tblStylePr w:type="firstRow">
      <w:rPr>
        <w:b/>
        <w:color w:val="404040"/>
      </w:rPr>
      <w:tcPr>
        <w:tcBorders>
          <w:top w:val="nil"/>
          <w:left w:val="nil"/>
          <w:bottom w:val="single" w:color="5FCAF3" w:themeColor="accent4" w:themeTint="9A" w:sz="12" w:space="0"/>
          <w:right w:val="nil"/>
        </w:tcBorders>
        <w:shd w:val="clear" w:color="FFFFFF" w:fill="auto"/>
      </w:tcPr>
    </w:tblStylePr>
    <w:tblStylePr w:type="lastRow">
      <w:rPr>
        <w:b/>
        <w:color w:val="404040"/>
      </w:rPr>
      <w:tcPr>
        <w:tcBorders>
          <w:top w:val="single" w:color="5FCAF3"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9EDFB" w:themeColor="accent4" w:themeTint="34" w:fill="C9EDFB" w:themeFill="accent4" w:themeFillTint="34"/>
      </w:tcPr>
    </w:tblStylePr>
    <w:tblStylePr w:type="band1Horz">
      <w:rPr>
        <w:rFonts w:ascii="Arial" w:hAnsi="Arial"/>
        <w:color w:val="404040"/>
        <w:sz w:val="22"/>
      </w:rPr>
      <w:tcPr>
        <w:shd w:val="clear" w:color="C9EDFB" w:themeColor="accent4" w:themeTint="34" w:fill="C9EDFB" w:themeFill="accent4" w:themeFillTint="34"/>
      </w:tcPr>
    </w:tblStylePr>
  </w:style>
  <w:style w:type="table" w:customStyle="1" w:styleId="115">
    <w:name w:val="Grid Table 2 - Accent 5"/>
    <w:basedOn w:val="57"/>
    <w:qFormat/>
    <w:uiPriority w:val="99"/>
    <w:tblPr>
      <w:tblBorders>
        <w:bottom w:val="single" w:color="A02B93" w:themeColor="accent5" w:sz="4" w:space="0"/>
        <w:insideH w:val="single" w:color="A02B93" w:themeColor="accent5" w:sz="4" w:space="0"/>
        <w:insideV w:val="single" w:color="A02B93" w:themeColor="accent5" w:sz="4" w:space="0"/>
      </w:tblBorders>
    </w:tblPr>
    <w:tblStylePr w:type="firstRow">
      <w:rPr>
        <w:b/>
        <w:color w:val="404040"/>
      </w:rPr>
      <w:tcPr>
        <w:tcBorders>
          <w:top w:val="nil"/>
          <w:left w:val="nil"/>
          <w:bottom w:val="single" w:color="A02B93" w:themeColor="accent5" w:sz="12" w:space="0"/>
          <w:right w:val="nil"/>
        </w:tcBorders>
        <w:shd w:val="clear" w:color="FFFFFF" w:fill="auto"/>
      </w:tcPr>
    </w:tblStylePr>
    <w:tblStylePr w:type="lastRow">
      <w:rPr>
        <w:b/>
        <w:color w:val="404040"/>
      </w:rPr>
      <w:tcPr>
        <w:tcBorders>
          <w:top w:val="single" w:color="A02B93"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1CDED" w:themeColor="accent5" w:themeTint="34" w:fill="F1CDED" w:themeFill="accent5" w:themeFillTint="34"/>
      </w:tcPr>
    </w:tblStylePr>
    <w:tblStylePr w:type="band1Horz">
      <w:rPr>
        <w:rFonts w:ascii="Arial" w:hAnsi="Arial"/>
        <w:color w:val="404040"/>
        <w:sz w:val="22"/>
      </w:rPr>
      <w:tcPr>
        <w:shd w:val="clear" w:color="F1CDED" w:themeColor="accent5" w:themeTint="34" w:fill="F1CDED" w:themeFill="accent5" w:themeFillTint="34"/>
      </w:tcPr>
    </w:tblStylePr>
  </w:style>
  <w:style w:type="table" w:customStyle="1" w:styleId="116">
    <w:name w:val="Grid Table 2 - Accent 6"/>
    <w:basedOn w:val="57"/>
    <w:qFormat/>
    <w:uiPriority w:val="99"/>
    <w:tblPr>
      <w:tblBorders>
        <w:bottom w:val="single" w:color="4EA72E" w:themeColor="accent6" w:sz="4" w:space="0"/>
        <w:insideH w:val="single" w:color="4EA72E" w:themeColor="accent6" w:sz="4" w:space="0"/>
        <w:insideV w:val="single" w:color="4EA72E" w:themeColor="accent6" w:sz="4" w:space="0"/>
      </w:tblBorders>
    </w:tblPr>
    <w:tblStylePr w:type="firstRow">
      <w:rPr>
        <w:b/>
        <w:color w:val="404040"/>
      </w:rPr>
      <w:tcPr>
        <w:tcBorders>
          <w:top w:val="nil"/>
          <w:left w:val="nil"/>
          <w:bottom w:val="single" w:color="4EA72E" w:themeColor="accent6" w:sz="12" w:space="0"/>
          <w:right w:val="nil"/>
        </w:tcBorders>
        <w:shd w:val="clear" w:color="FFFFFF" w:fill="auto"/>
      </w:tcPr>
    </w:tblStylePr>
    <w:tblStylePr w:type="lastRow">
      <w:rPr>
        <w:b/>
        <w:color w:val="404040"/>
      </w:rPr>
      <w:tcPr>
        <w:tcBorders>
          <w:top w:val="single" w:color="4EA72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F1CF" w:themeColor="accent6" w:themeTint="34" w:fill="D8F1CF" w:themeFill="accent6" w:themeFillTint="34"/>
      </w:tcPr>
    </w:tblStylePr>
    <w:tblStylePr w:type="band1Horz">
      <w:rPr>
        <w:rFonts w:ascii="Arial" w:hAnsi="Arial"/>
        <w:color w:val="404040"/>
        <w:sz w:val="22"/>
      </w:rPr>
      <w:tcPr>
        <w:shd w:val="clear" w:color="D8F1CF" w:themeColor="accent6" w:themeTint="34" w:fill="D8F1CF" w:themeFill="accent6" w:themeFillTint="34"/>
      </w:tcPr>
    </w:tblStylePr>
  </w:style>
  <w:style w:type="table" w:customStyle="1" w:styleId="117">
    <w:name w:val="网格表 31"/>
    <w:basedOn w:val="5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8">
    <w:name w:val="Grid Table 3 - Accent 1"/>
    <w:basedOn w:val="57"/>
    <w:qFormat/>
    <w:uiPriority w:val="99"/>
    <w:tblPr>
      <w:tblBorders>
        <w:bottom w:val="single" w:color="19729B" w:themeColor="accent1" w:themeTint="EA" w:sz="4" w:space="0"/>
        <w:insideH w:val="single" w:color="19729B" w:themeColor="accent1" w:themeTint="EA" w:sz="4" w:space="0"/>
        <w:insideV w:val="single" w:color="19729B"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BFE4F4" w:themeColor="accent1" w:themeTint="34" w:fill="BFE4F4" w:themeFill="accent1" w:themeFillTint="34"/>
      </w:tcPr>
    </w:tblStylePr>
    <w:tblStylePr w:type="band1Horz">
      <w:rPr>
        <w:rFonts w:ascii="Arial" w:hAnsi="Arial"/>
        <w:color w:val="404040"/>
        <w:sz w:val="22"/>
      </w:rPr>
      <w:tcPr>
        <w:shd w:val="clear" w:color="BFE4F4" w:themeColor="accent1" w:themeTint="34" w:fill="BFE4F4" w:themeFill="accent1" w:themeFillTint="34"/>
      </w:tcPr>
    </w:tblStylePr>
  </w:style>
  <w:style w:type="table" w:customStyle="1" w:styleId="119">
    <w:name w:val="Grid Table 3 - Accent 2"/>
    <w:basedOn w:val="57"/>
    <w:qFormat/>
    <w:uiPriority w:val="99"/>
    <w:tblPr>
      <w:tblBorders>
        <w:bottom w:val="single" w:color="F1AA85" w:themeColor="accent2" w:themeTint="97" w:sz="4" w:space="0"/>
        <w:insideH w:val="single" w:color="F1AA85" w:themeColor="accent2" w:themeTint="97" w:sz="4" w:space="0"/>
        <w:insideV w:val="single" w:color="F1AA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AE3D6" w:themeColor="accent2" w:themeTint="32" w:fill="FAE3D6" w:themeFill="accent2" w:themeFillTint="32"/>
      </w:tcPr>
    </w:tblStylePr>
    <w:tblStylePr w:type="band1Horz">
      <w:rPr>
        <w:rFonts w:ascii="Arial" w:hAnsi="Arial"/>
        <w:color w:val="404040"/>
        <w:sz w:val="22"/>
      </w:rPr>
      <w:tcPr>
        <w:shd w:val="clear" w:color="FAE3D6" w:themeColor="accent2" w:themeTint="32" w:fill="FAE3D6" w:themeFill="accent2" w:themeFillTint="32"/>
      </w:tcPr>
    </w:tblStylePr>
  </w:style>
  <w:style w:type="table" w:customStyle="1" w:styleId="120">
    <w:name w:val="Grid Table 3 - Accent 3"/>
    <w:basedOn w:val="57"/>
    <w:qFormat/>
    <w:uiPriority w:val="99"/>
    <w:tblPr>
      <w:tblBorders>
        <w:bottom w:val="single" w:color="196C24" w:themeColor="accent3" w:themeTint="FE" w:sz="4" w:space="0"/>
        <w:insideH w:val="single" w:color="196C24" w:themeColor="accent3" w:themeTint="FE" w:sz="4" w:space="0"/>
        <w:insideV w:val="single" w:color="196C24"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0F0C6" w:themeColor="accent3" w:themeTint="34" w:fill="C0F0C6" w:themeFill="accent3" w:themeFillTint="34"/>
      </w:tcPr>
    </w:tblStylePr>
    <w:tblStylePr w:type="band1Horz">
      <w:rPr>
        <w:rFonts w:ascii="Arial" w:hAnsi="Arial"/>
        <w:color w:val="404040"/>
        <w:sz w:val="22"/>
      </w:rPr>
      <w:tcPr>
        <w:shd w:val="clear" w:color="C0F0C6" w:themeColor="accent3" w:themeTint="34" w:fill="C0F0C6" w:themeFill="accent3" w:themeFillTint="34"/>
      </w:tcPr>
    </w:tblStylePr>
  </w:style>
  <w:style w:type="table" w:customStyle="1" w:styleId="121">
    <w:name w:val="Grid Table 3 - Accent 4"/>
    <w:basedOn w:val="57"/>
    <w:qFormat/>
    <w:uiPriority w:val="99"/>
    <w:tblPr>
      <w:tblBorders>
        <w:bottom w:val="single" w:color="5FCAF3" w:themeColor="accent4" w:themeTint="9A" w:sz="4" w:space="0"/>
        <w:insideH w:val="single" w:color="5FCAF3" w:themeColor="accent4" w:themeTint="9A" w:sz="4" w:space="0"/>
        <w:insideV w:val="single" w:color="5FCAF3"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9EDFB" w:themeColor="accent4" w:themeTint="34" w:fill="C9EDFB" w:themeFill="accent4" w:themeFillTint="34"/>
      </w:tcPr>
    </w:tblStylePr>
    <w:tblStylePr w:type="band1Horz">
      <w:rPr>
        <w:rFonts w:ascii="Arial" w:hAnsi="Arial"/>
        <w:color w:val="404040"/>
        <w:sz w:val="22"/>
      </w:rPr>
      <w:tcPr>
        <w:shd w:val="clear" w:color="C9EDFB" w:themeColor="accent4" w:themeTint="34" w:fill="C9EDFB" w:themeFill="accent4" w:themeFillTint="34"/>
      </w:tcPr>
    </w:tblStylePr>
  </w:style>
  <w:style w:type="table" w:customStyle="1" w:styleId="122">
    <w:name w:val="Grid Table 3 - Accent 5"/>
    <w:basedOn w:val="57"/>
    <w:qFormat/>
    <w:uiPriority w:val="99"/>
    <w:tblPr>
      <w:tblBorders>
        <w:bottom w:val="single" w:color="A02B93" w:themeColor="accent5" w:sz="4" w:space="0"/>
        <w:insideH w:val="single" w:color="A02B93" w:themeColor="accent5" w:sz="4" w:space="0"/>
        <w:insideV w:val="single" w:color="A02B93"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1CDED" w:themeColor="accent5" w:themeTint="34" w:fill="F1CDED" w:themeFill="accent5" w:themeFillTint="34"/>
      </w:tcPr>
    </w:tblStylePr>
    <w:tblStylePr w:type="band1Horz">
      <w:rPr>
        <w:rFonts w:ascii="Arial" w:hAnsi="Arial"/>
        <w:color w:val="404040"/>
        <w:sz w:val="22"/>
      </w:rPr>
      <w:tcPr>
        <w:shd w:val="clear" w:color="F1CDED" w:themeColor="accent5" w:themeTint="34" w:fill="F1CDED" w:themeFill="accent5" w:themeFillTint="34"/>
      </w:tcPr>
    </w:tblStylePr>
  </w:style>
  <w:style w:type="table" w:customStyle="1" w:styleId="123">
    <w:name w:val="Grid Table 3 - Accent 6"/>
    <w:basedOn w:val="57"/>
    <w:qFormat/>
    <w:uiPriority w:val="99"/>
    <w:tblPr>
      <w:tblBorders>
        <w:bottom w:val="single" w:color="4EA72E" w:themeColor="accent6" w:sz="4" w:space="0"/>
        <w:insideH w:val="single" w:color="4EA72E" w:themeColor="accent6" w:sz="4" w:space="0"/>
        <w:insideV w:val="single" w:color="4EA72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F1CF" w:themeColor="accent6" w:themeTint="34" w:fill="D8F1CF" w:themeFill="accent6" w:themeFillTint="34"/>
      </w:tcPr>
    </w:tblStylePr>
    <w:tblStylePr w:type="band1Horz">
      <w:rPr>
        <w:rFonts w:ascii="Arial" w:hAnsi="Arial"/>
        <w:color w:val="404040"/>
        <w:sz w:val="22"/>
      </w:rPr>
      <w:tcPr>
        <w:shd w:val="clear" w:color="D8F1CF" w:themeColor="accent6" w:themeTint="34" w:fill="D8F1CF" w:themeFill="accent6" w:themeFillTint="34"/>
      </w:tcPr>
    </w:tblStylePr>
  </w:style>
  <w:style w:type="table" w:customStyle="1" w:styleId="124">
    <w:name w:val="网格表 41"/>
    <w:basedOn w:val="57"/>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25">
    <w:name w:val="Grid Table 4 - Accent 1"/>
    <w:basedOn w:val="57"/>
    <w:qFormat/>
    <w:uiPriority w:val="59"/>
    <w:tblPr>
      <w:tblBorders>
        <w:top w:val="single" w:color="50B5E2" w:themeColor="accent1" w:themeTint="90" w:sz="4" w:space="0"/>
        <w:left w:val="single" w:color="50B5E2" w:themeColor="accent1" w:themeTint="90" w:sz="4" w:space="0"/>
        <w:bottom w:val="single" w:color="50B5E2" w:themeColor="accent1" w:themeTint="90" w:sz="4" w:space="0"/>
        <w:right w:val="single" w:color="50B5E2" w:themeColor="accent1" w:themeTint="90" w:sz="4" w:space="0"/>
        <w:insideH w:val="single" w:color="50B5E2" w:themeColor="accent1" w:themeTint="90" w:sz="4" w:space="0"/>
        <w:insideV w:val="single" w:color="50B5E2" w:themeColor="accent1" w:themeTint="90" w:sz="4" w:space="0"/>
      </w:tblBorders>
    </w:tblPr>
    <w:tblStylePr w:type="firstRow">
      <w:rPr>
        <w:rFonts w:ascii="Arial" w:hAnsi="Arial"/>
        <w:b/>
        <w:color w:val="FFFFFF"/>
        <w:sz w:val="22"/>
      </w:rPr>
      <w:tcPr>
        <w:tcBorders>
          <w:top w:val="single" w:color="19729B" w:themeColor="accent1" w:themeTint="EA" w:sz="4" w:space="0"/>
          <w:left w:val="single" w:color="19729B" w:themeColor="accent1" w:themeTint="EA" w:sz="4" w:space="0"/>
          <w:bottom w:val="single" w:color="19729B" w:themeColor="accent1" w:themeTint="EA" w:sz="4" w:space="0"/>
          <w:right w:val="single" w:color="19729B" w:themeColor="accent1" w:themeTint="EA" w:sz="4" w:space="0"/>
        </w:tcBorders>
        <w:shd w:val="clear" w:color="19729B" w:themeColor="accent1" w:themeTint="EA" w:fill="19729B" w:themeFill="accent1" w:themeFillTint="EA"/>
      </w:tcPr>
    </w:tblStylePr>
    <w:tblStylePr w:type="lastRow">
      <w:rPr>
        <w:b/>
        <w:color w:val="404040"/>
      </w:rPr>
      <w:tcPr>
        <w:tcBorders>
          <w:top w:val="single" w:color="19729B"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2E5F5" w:themeColor="accent1" w:themeTint="32" w:fill="C2E5F5" w:themeFill="accent1" w:themeFillTint="32"/>
      </w:tcPr>
    </w:tblStylePr>
    <w:tblStylePr w:type="band1Horz">
      <w:rPr>
        <w:rFonts w:ascii="Arial" w:hAnsi="Arial"/>
        <w:color w:val="404040"/>
        <w:sz w:val="22"/>
      </w:rPr>
      <w:tcPr>
        <w:shd w:val="clear" w:color="C2E5F5" w:themeColor="accent1" w:themeTint="32" w:fill="C2E5F5" w:themeFill="accent1" w:themeFillTint="32"/>
      </w:tcPr>
    </w:tblStylePr>
  </w:style>
  <w:style w:type="table" w:customStyle="1" w:styleId="126">
    <w:name w:val="Grid Table 4 - Accent 2"/>
    <w:basedOn w:val="57"/>
    <w:qFormat/>
    <w:uiPriority w:val="59"/>
    <w:tblPr>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Pr>
    <w:tblStylePr w:type="firstRow">
      <w:rPr>
        <w:rFonts w:ascii="Arial" w:hAnsi="Arial"/>
        <w:b/>
        <w:color w:val="FFFFFF"/>
        <w:sz w:val="22"/>
      </w:rPr>
      <w:tcPr>
        <w:tcBorders>
          <w:top w:val="single" w:color="F1AA85" w:themeColor="accent2" w:themeTint="97" w:sz="4" w:space="0"/>
          <w:left w:val="single" w:color="F1AA85" w:themeColor="accent2" w:themeTint="97" w:sz="4" w:space="0"/>
          <w:bottom w:val="single" w:color="F1AA85" w:themeColor="accent2" w:themeTint="97" w:sz="4" w:space="0"/>
          <w:right w:val="single" w:color="F1AA85" w:themeColor="accent2" w:themeTint="97" w:sz="4" w:space="0"/>
        </w:tcBorders>
        <w:shd w:val="clear" w:color="F1AA85" w:themeColor="accent2" w:themeTint="97" w:fill="F1AA85" w:themeFill="accent2" w:themeFillTint="97"/>
      </w:tcPr>
    </w:tblStylePr>
    <w:tblStylePr w:type="lastRow">
      <w:rPr>
        <w:b/>
        <w:color w:val="404040"/>
      </w:rPr>
      <w:tcPr>
        <w:tcBorders>
          <w:top w:val="single" w:color="F1AA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AE3D6" w:themeColor="accent2" w:themeTint="32" w:fill="FAE3D6" w:themeFill="accent2" w:themeFillTint="32"/>
      </w:tcPr>
    </w:tblStylePr>
    <w:tblStylePr w:type="band1Horz">
      <w:rPr>
        <w:rFonts w:ascii="Arial" w:hAnsi="Arial"/>
        <w:color w:val="404040"/>
        <w:sz w:val="22"/>
      </w:rPr>
      <w:tcPr>
        <w:shd w:val="clear" w:color="FAE3D6" w:themeColor="accent2" w:themeTint="32" w:fill="FAE3D6" w:themeFill="accent2" w:themeFillTint="32"/>
      </w:tcPr>
    </w:tblStylePr>
  </w:style>
  <w:style w:type="table" w:customStyle="1" w:styleId="127">
    <w:name w:val="Grid Table 4 - Accent 3"/>
    <w:basedOn w:val="57"/>
    <w:qFormat/>
    <w:uiPriority w:val="59"/>
    <w:tblPr>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Pr>
    <w:tblStylePr w:type="firstRow">
      <w:rPr>
        <w:rFonts w:ascii="Arial" w:hAnsi="Arial"/>
        <w:b/>
        <w:color w:val="FFFFFF"/>
        <w:sz w:val="22"/>
      </w:rPr>
      <w:tcPr>
        <w:tc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tcBorders>
        <w:shd w:val="clear" w:color="196C24" w:themeColor="accent3" w:themeTint="FE" w:fill="196C24" w:themeFill="accent3" w:themeFillTint="FE"/>
      </w:tcPr>
    </w:tblStylePr>
    <w:tblStylePr w:type="lastRow">
      <w:rPr>
        <w:b/>
        <w:color w:val="404040"/>
      </w:rPr>
      <w:tcPr>
        <w:tcBorders>
          <w:top w:val="single" w:color="196C24"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0F0C6" w:themeColor="accent3" w:themeTint="34" w:fill="C0F0C6" w:themeFill="accent3" w:themeFillTint="34"/>
      </w:tcPr>
    </w:tblStylePr>
    <w:tblStylePr w:type="band1Horz">
      <w:rPr>
        <w:rFonts w:ascii="Arial" w:hAnsi="Arial"/>
        <w:color w:val="404040"/>
        <w:sz w:val="22"/>
      </w:rPr>
      <w:tcPr>
        <w:shd w:val="clear" w:color="C0F0C6" w:themeColor="accent3" w:themeTint="34" w:fill="C0F0C6" w:themeFill="accent3" w:themeFillTint="34"/>
      </w:tcPr>
    </w:tblStylePr>
  </w:style>
  <w:style w:type="table" w:customStyle="1" w:styleId="128">
    <w:name w:val="Grid Table 4 - Accent 4"/>
    <w:basedOn w:val="57"/>
    <w:qFormat/>
    <w:uiPriority w:val="59"/>
    <w:tblPr>
      <w:tblBorders>
        <w:top w:val="single" w:color="6ACEF4" w:themeColor="accent4" w:themeTint="90" w:sz="4" w:space="0"/>
        <w:left w:val="single" w:color="6ACEF4" w:themeColor="accent4" w:themeTint="90" w:sz="4" w:space="0"/>
        <w:bottom w:val="single" w:color="6ACEF4" w:themeColor="accent4" w:themeTint="90" w:sz="4" w:space="0"/>
        <w:right w:val="single" w:color="6ACEF4" w:themeColor="accent4" w:themeTint="90" w:sz="4" w:space="0"/>
        <w:insideH w:val="single" w:color="6ACEF4" w:themeColor="accent4" w:themeTint="90" w:sz="4" w:space="0"/>
        <w:insideV w:val="single" w:color="6ACEF4" w:themeColor="accent4" w:themeTint="90" w:sz="4" w:space="0"/>
      </w:tblBorders>
    </w:tblPr>
    <w:tblStylePr w:type="firstRow">
      <w:rPr>
        <w:rFonts w:ascii="Arial" w:hAnsi="Arial"/>
        <w:b/>
        <w:color w:val="FFFFFF"/>
        <w:sz w:val="22"/>
      </w:rPr>
      <w:tcPr>
        <w:tc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cBorders>
        <w:shd w:val="clear" w:color="5FCAF3" w:themeColor="accent4" w:themeTint="9A" w:fill="5FCAF3" w:themeFill="accent4" w:themeFillTint="9A"/>
      </w:tcPr>
    </w:tblStylePr>
    <w:tblStylePr w:type="lastRow">
      <w:rPr>
        <w:b/>
        <w:color w:val="404040"/>
      </w:rPr>
      <w:tcPr>
        <w:tcBorders>
          <w:top w:val="single" w:color="5FCAF3"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9EDFB" w:themeColor="accent4" w:themeTint="34" w:fill="C9EDFB" w:themeFill="accent4" w:themeFillTint="34"/>
      </w:tcPr>
    </w:tblStylePr>
    <w:tblStylePr w:type="band1Horz">
      <w:rPr>
        <w:rFonts w:ascii="Arial" w:hAnsi="Arial"/>
        <w:color w:val="404040"/>
        <w:sz w:val="22"/>
      </w:rPr>
      <w:tcPr>
        <w:shd w:val="clear" w:color="C9EDFB" w:themeColor="accent4" w:themeTint="34" w:fill="C9EDFB" w:themeFill="accent4" w:themeFillTint="34"/>
      </w:tcPr>
    </w:tblStylePr>
  </w:style>
  <w:style w:type="table" w:customStyle="1" w:styleId="129">
    <w:name w:val="Grid Table 4 - Accent 5"/>
    <w:basedOn w:val="57"/>
    <w:qFormat/>
    <w:uiPriority w:val="59"/>
    <w:tblPr>
      <w:tblBorders>
        <w:top w:val="single" w:color="DA76CF" w:themeColor="accent5" w:themeTint="90" w:sz="4" w:space="0"/>
        <w:left w:val="single" w:color="DA76CF" w:themeColor="accent5" w:themeTint="90" w:sz="4" w:space="0"/>
        <w:bottom w:val="single" w:color="DA76CF" w:themeColor="accent5" w:themeTint="90" w:sz="4" w:space="0"/>
        <w:right w:val="single" w:color="DA76CF" w:themeColor="accent5" w:themeTint="90" w:sz="4" w:space="0"/>
        <w:insideH w:val="single" w:color="DA76CF" w:themeColor="accent5" w:themeTint="90" w:sz="4" w:space="0"/>
        <w:insideV w:val="single" w:color="DA76CF" w:themeColor="accent5" w:themeTint="90" w:sz="4" w:space="0"/>
      </w:tblBorders>
    </w:tblPr>
    <w:tblStylePr w:type="firstRow">
      <w:rPr>
        <w:rFonts w:ascii="Arial" w:hAnsi="Arial"/>
        <w:b/>
        <w:color w:val="FFFFFF"/>
        <w:sz w:val="22"/>
      </w:rPr>
      <w:tcPr>
        <w:tcBorders>
          <w:top w:val="single" w:color="A02B93" w:themeColor="accent5" w:sz="4" w:space="0"/>
          <w:left w:val="single" w:color="A02B93" w:themeColor="accent5" w:sz="4" w:space="0"/>
          <w:bottom w:val="single" w:color="A02B93" w:themeColor="accent5" w:sz="4" w:space="0"/>
          <w:right w:val="single" w:color="A02B93" w:themeColor="accent5" w:sz="4" w:space="0"/>
        </w:tcBorders>
        <w:shd w:val="clear" w:color="A02B93" w:themeColor="accent5" w:fill="A02B93" w:themeFill="accent5"/>
      </w:tcPr>
    </w:tblStylePr>
    <w:tblStylePr w:type="lastRow">
      <w:rPr>
        <w:b/>
        <w:color w:val="404040"/>
      </w:rPr>
      <w:tcPr>
        <w:tcBorders>
          <w:top w:val="single" w:color="A02B93"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1CDED" w:themeColor="accent5" w:themeTint="34" w:fill="F1CDED" w:themeFill="accent5" w:themeFillTint="34"/>
      </w:tcPr>
    </w:tblStylePr>
    <w:tblStylePr w:type="band1Horz">
      <w:rPr>
        <w:rFonts w:ascii="Arial" w:hAnsi="Arial"/>
        <w:color w:val="404040"/>
        <w:sz w:val="22"/>
      </w:rPr>
      <w:tcPr>
        <w:shd w:val="clear" w:color="F1CDED" w:themeColor="accent5" w:themeTint="34" w:fill="F1CDED" w:themeFill="accent5" w:themeFillTint="34"/>
      </w:tcPr>
    </w:tblStylePr>
  </w:style>
  <w:style w:type="table" w:customStyle="1" w:styleId="130">
    <w:name w:val="Grid Table 4 - Accent 6"/>
    <w:basedOn w:val="57"/>
    <w:qFormat/>
    <w:uiPriority w:val="59"/>
    <w:tblPr>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blStylePr w:type="firstRow">
      <w:rPr>
        <w:rFonts w:ascii="Arial" w:hAnsi="Arial"/>
        <w:b/>
        <w:color w:val="FFFFFF"/>
        <w:sz w:val="22"/>
      </w:rPr>
      <w:tcPr>
        <w:tcBorders>
          <w:top w:val="single" w:color="4EA72E" w:themeColor="accent6" w:sz="4" w:space="0"/>
          <w:left w:val="single" w:color="4EA72E" w:themeColor="accent6" w:sz="4" w:space="0"/>
          <w:bottom w:val="single" w:color="4EA72E" w:themeColor="accent6" w:sz="4" w:space="0"/>
          <w:right w:val="single" w:color="4EA72E" w:themeColor="accent6" w:sz="4" w:space="0"/>
        </w:tcBorders>
        <w:shd w:val="clear" w:color="4EA72E" w:themeColor="accent6" w:fill="4EA72E" w:themeFill="accent6"/>
      </w:tcPr>
    </w:tblStylePr>
    <w:tblStylePr w:type="lastRow">
      <w:rPr>
        <w:b/>
        <w:color w:val="404040"/>
      </w:rPr>
      <w:tcPr>
        <w:tcBorders>
          <w:top w:val="single" w:color="4EA72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F1CF" w:themeColor="accent6" w:themeTint="34" w:fill="D8F1CF" w:themeFill="accent6" w:themeFillTint="34"/>
      </w:tcPr>
    </w:tblStylePr>
    <w:tblStylePr w:type="band1Horz">
      <w:rPr>
        <w:rFonts w:ascii="Arial" w:hAnsi="Arial"/>
        <w:color w:val="404040"/>
        <w:sz w:val="22"/>
      </w:rPr>
      <w:tcPr>
        <w:shd w:val="clear" w:color="D8F1CF" w:themeColor="accent6" w:themeTint="34" w:fill="D8F1CF" w:themeFill="accent6" w:themeFillTint="34"/>
      </w:tcPr>
    </w:tblStylePr>
  </w:style>
  <w:style w:type="table" w:customStyle="1" w:styleId="131">
    <w:name w:val="网格表 5 深色1"/>
    <w:basedOn w:val="5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32">
    <w:name w:val="Grid Table 5 Dark- Accent 1"/>
    <w:basedOn w:val="5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156082" w:themeColor="accent1" w:fill="156082" w:themeFill="accent1"/>
      </w:tcPr>
    </w:tblStylePr>
    <w:tblStylePr w:type="lastRow">
      <w:rPr>
        <w:rFonts w:ascii="Arial" w:hAnsi="Arial"/>
        <w:b/>
        <w:color w:val="FFFFFF"/>
        <w:sz w:val="22"/>
      </w:rPr>
      <w:tcPr>
        <w:tcBorders>
          <w:top w:val="single" w:color="FFFFFF" w:themeColor="light1" w:sz="4" w:space="0"/>
        </w:tcBorders>
        <w:shd w:val="clear" w:color="156082" w:themeColor="accent1" w:fill="156082" w:themeFill="accent1"/>
      </w:tcPr>
    </w:tblStylePr>
    <w:tblStylePr w:type="firstCol">
      <w:rPr>
        <w:rFonts w:ascii="Arial" w:hAnsi="Arial"/>
        <w:b/>
        <w:color w:val="FFFFFF"/>
        <w:sz w:val="22"/>
      </w:rPr>
      <w:tcPr>
        <w:shd w:val="clear" w:color="156082" w:themeColor="accent1" w:fill="156082" w:themeFill="accent1"/>
      </w:tcPr>
    </w:tblStylePr>
    <w:tblStylePr w:type="lastCol">
      <w:rPr>
        <w:rFonts w:ascii="Arial" w:hAnsi="Arial"/>
        <w:b/>
        <w:color w:val="FFFFFF"/>
        <w:sz w:val="22"/>
      </w:rPr>
      <w:tcPr>
        <w:shd w:val="clear" w:color="156082" w:themeColor="accent1" w:fill="156082" w:themeFill="accent1"/>
      </w:tcPr>
    </w:tblStylePr>
    <w:tblStylePr w:type="band1Vert">
      <w:tcPr>
        <w:shd w:val="clear" w:color="71C3E8" w:themeColor="accent1" w:themeTint="75" w:fill="71C3E8" w:themeFill="accent1" w:themeFillTint="75"/>
      </w:tcPr>
    </w:tblStylePr>
    <w:tblStylePr w:type="band1Horz">
      <w:tcPr>
        <w:shd w:val="clear" w:color="71C3E8" w:themeColor="accent1" w:themeTint="75" w:fill="71C3E8" w:themeFill="accent1" w:themeFillTint="75"/>
      </w:tcPr>
    </w:tblStylePr>
  </w:style>
  <w:style w:type="table" w:customStyle="1" w:styleId="133">
    <w:name w:val="Grid Table 5 Dark - Accent 2"/>
    <w:basedOn w:val="5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97132" w:themeColor="accent2" w:fill="E97132" w:themeFill="accent2"/>
      </w:tcPr>
    </w:tblStylePr>
    <w:tblStylePr w:type="lastRow">
      <w:rPr>
        <w:rFonts w:ascii="Arial" w:hAnsi="Arial"/>
        <w:b/>
        <w:color w:val="FFFFFF"/>
        <w:sz w:val="22"/>
      </w:rPr>
      <w:tcPr>
        <w:tcBorders>
          <w:top w:val="single" w:color="FFFFFF" w:themeColor="light1" w:sz="4" w:space="0"/>
        </w:tcBorders>
        <w:shd w:val="clear" w:color="E97132" w:themeColor="accent2" w:fill="E97132" w:themeFill="accent2"/>
      </w:tcPr>
    </w:tblStylePr>
    <w:tblStylePr w:type="firstCol">
      <w:rPr>
        <w:rFonts w:ascii="Arial" w:hAnsi="Arial"/>
        <w:b/>
        <w:color w:val="FFFFFF"/>
        <w:sz w:val="22"/>
      </w:rPr>
      <w:tcPr>
        <w:shd w:val="clear" w:color="E97132" w:themeColor="accent2" w:fill="E97132" w:themeFill="accent2"/>
      </w:tcPr>
    </w:tblStylePr>
    <w:tblStylePr w:type="lastCol">
      <w:rPr>
        <w:rFonts w:ascii="Arial" w:hAnsi="Arial"/>
        <w:b/>
        <w:color w:val="FFFFFF"/>
        <w:sz w:val="22"/>
      </w:rPr>
      <w:tcPr>
        <w:shd w:val="clear" w:color="E97132" w:themeColor="accent2" w:fill="E97132" w:themeFill="accent2"/>
      </w:tcPr>
    </w:tblStylePr>
    <w:tblStylePr w:type="band1Vert">
      <w:tcPr>
        <w:shd w:val="clear" w:color="F4BDA0" w:themeColor="accent2" w:themeTint="75" w:fill="F4BDA0" w:themeFill="accent2" w:themeFillTint="75"/>
      </w:tcPr>
    </w:tblStylePr>
    <w:tblStylePr w:type="band1Horz">
      <w:tcPr>
        <w:shd w:val="clear" w:color="F4BDA0" w:themeColor="accent2" w:themeTint="75" w:fill="F4BDA0" w:themeFill="accent2" w:themeFillTint="75"/>
      </w:tcPr>
    </w:tblStylePr>
  </w:style>
  <w:style w:type="table" w:customStyle="1" w:styleId="134">
    <w:name w:val="Grid Table 5 Dark - Accent 3"/>
    <w:basedOn w:val="5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196B24" w:themeColor="accent3" w:fill="196B24" w:themeFill="accent3"/>
      </w:tcPr>
    </w:tblStylePr>
    <w:tblStylePr w:type="lastRow">
      <w:rPr>
        <w:rFonts w:ascii="Arial" w:hAnsi="Arial"/>
        <w:b/>
        <w:color w:val="FFFFFF"/>
        <w:sz w:val="22"/>
      </w:rPr>
      <w:tcPr>
        <w:tcBorders>
          <w:top w:val="single" w:color="FFFFFF" w:themeColor="light1" w:sz="4" w:space="0"/>
        </w:tcBorders>
        <w:shd w:val="clear" w:color="196B24" w:themeColor="accent3" w:fill="196B24" w:themeFill="accent3"/>
      </w:tcPr>
    </w:tblStylePr>
    <w:tblStylePr w:type="firstCol">
      <w:rPr>
        <w:rFonts w:ascii="Arial" w:hAnsi="Arial"/>
        <w:b/>
        <w:color w:val="FFFFFF"/>
        <w:sz w:val="22"/>
      </w:rPr>
      <w:tcPr>
        <w:shd w:val="clear" w:color="196B24" w:themeColor="accent3" w:fill="196B24" w:themeFill="accent3"/>
      </w:tcPr>
    </w:tblStylePr>
    <w:tblStylePr w:type="lastCol">
      <w:rPr>
        <w:rFonts w:ascii="Arial" w:hAnsi="Arial"/>
        <w:b/>
        <w:color w:val="FFFFFF"/>
        <w:sz w:val="22"/>
      </w:rPr>
      <w:tcPr>
        <w:shd w:val="clear" w:color="196B24" w:themeColor="accent3" w:fill="196B24" w:themeFill="accent3"/>
      </w:tcPr>
    </w:tblStylePr>
    <w:tblStylePr w:type="band1Vert">
      <w:tcPr>
        <w:shd w:val="clear" w:color="72DE80" w:themeColor="accent3" w:themeTint="75" w:fill="72DE80" w:themeFill="accent3" w:themeFillTint="75"/>
      </w:tcPr>
    </w:tblStylePr>
    <w:tblStylePr w:type="band1Horz">
      <w:tcPr>
        <w:shd w:val="clear" w:color="72DE80" w:themeColor="accent3" w:themeTint="75" w:fill="72DE80" w:themeFill="accent3" w:themeFillTint="75"/>
      </w:tcPr>
    </w:tblStylePr>
  </w:style>
  <w:style w:type="table" w:customStyle="1" w:styleId="135">
    <w:name w:val="Grid Table 5 Dark- Accent 4"/>
    <w:basedOn w:val="5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F9ED5" w:themeColor="accent4" w:fill="0F9ED5" w:themeFill="accent4"/>
      </w:tcPr>
    </w:tblStylePr>
    <w:tblStylePr w:type="lastRow">
      <w:rPr>
        <w:rFonts w:ascii="Arial" w:hAnsi="Arial"/>
        <w:b/>
        <w:color w:val="FFFFFF"/>
        <w:sz w:val="22"/>
      </w:rPr>
      <w:tcPr>
        <w:tcBorders>
          <w:top w:val="single" w:color="FFFFFF" w:themeColor="light1" w:sz="4" w:space="0"/>
        </w:tcBorders>
        <w:shd w:val="clear" w:color="0F9ED5" w:themeColor="accent4" w:fill="0F9ED5" w:themeFill="accent4"/>
      </w:tcPr>
    </w:tblStylePr>
    <w:tblStylePr w:type="firstCol">
      <w:rPr>
        <w:rFonts w:ascii="Arial" w:hAnsi="Arial"/>
        <w:b/>
        <w:color w:val="FFFFFF"/>
        <w:sz w:val="22"/>
      </w:rPr>
      <w:tcPr>
        <w:shd w:val="clear" w:color="0F9ED5" w:themeColor="accent4" w:fill="0F9ED5" w:themeFill="accent4"/>
      </w:tcPr>
    </w:tblStylePr>
    <w:tblStylePr w:type="lastCol">
      <w:rPr>
        <w:rFonts w:ascii="Arial" w:hAnsi="Arial"/>
        <w:b/>
        <w:color w:val="FFFFFF"/>
        <w:sz w:val="22"/>
      </w:rPr>
      <w:tcPr>
        <w:shd w:val="clear" w:color="0F9ED5" w:themeColor="accent4" w:fill="0F9ED5" w:themeFill="accent4"/>
      </w:tcPr>
    </w:tblStylePr>
    <w:tblStylePr w:type="band1Vert">
      <w:tcPr>
        <w:shd w:val="clear" w:color="86D7F6" w:themeColor="accent4" w:themeTint="75" w:fill="86D7F6" w:themeFill="accent4" w:themeFillTint="75"/>
      </w:tcPr>
    </w:tblStylePr>
    <w:tblStylePr w:type="band1Horz">
      <w:tcPr>
        <w:shd w:val="clear" w:color="86D7F6" w:themeColor="accent4" w:themeTint="75" w:fill="86D7F6" w:themeFill="accent4" w:themeFillTint="75"/>
      </w:tcPr>
    </w:tblStylePr>
  </w:style>
  <w:style w:type="table" w:customStyle="1" w:styleId="136">
    <w:name w:val="Grid Table 5 Dark - Accent 5"/>
    <w:basedOn w:val="5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02B93" w:themeColor="accent5" w:fill="A02B93" w:themeFill="accent5"/>
      </w:tcPr>
    </w:tblStylePr>
    <w:tblStylePr w:type="lastRow">
      <w:rPr>
        <w:rFonts w:ascii="Arial" w:hAnsi="Arial"/>
        <w:b/>
        <w:color w:val="FFFFFF"/>
        <w:sz w:val="22"/>
      </w:rPr>
      <w:tcPr>
        <w:tcBorders>
          <w:top w:val="single" w:color="FFFFFF" w:themeColor="light1" w:sz="4" w:space="0"/>
        </w:tcBorders>
        <w:shd w:val="clear" w:color="A02B93" w:themeColor="accent5" w:fill="A02B93" w:themeFill="accent5"/>
      </w:tcPr>
    </w:tblStylePr>
    <w:tblStylePr w:type="firstCol">
      <w:rPr>
        <w:rFonts w:ascii="Arial" w:hAnsi="Arial"/>
        <w:b/>
        <w:color w:val="FFFFFF"/>
        <w:sz w:val="22"/>
      </w:rPr>
      <w:tcPr>
        <w:shd w:val="clear" w:color="A02B93" w:themeColor="accent5" w:fill="A02B93" w:themeFill="accent5"/>
      </w:tcPr>
    </w:tblStylePr>
    <w:tblStylePr w:type="lastCol">
      <w:rPr>
        <w:rFonts w:ascii="Arial" w:hAnsi="Arial"/>
        <w:b/>
        <w:color w:val="FFFFFF"/>
        <w:sz w:val="22"/>
      </w:rPr>
      <w:tcPr>
        <w:shd w:val="clear" w:color="A02B93" w:themeColor="accent5" w:fill="A02B93" w:themeFill="accent5"/>
      </w:tcPr>
    </w:tblStylePr>
    <w:tblStylePr w:type="band1Vert">
      <w:tcPr>
        <w:shd w:val="clear" w:color="E18FD8" w:themeColor="accent5" w:themeTint="75" w:fill="E18FD8" w:themeFill="accent5" w:themeFillTint="75"/>
      </w:tcPr>
    </w:tblStylePr>
    <w:tblStylePr w:type="band1Horz">
      <w:tcPr>
        <w:shd w:val="clear" w:color="E18FD8" w:themeColor="accent5" w:themeTint="75" w:fill="E18FD8" w:themeFill="accent5" w:themeFillTint="75"/>
      </w:tcPr>
    </w:tblStylePr>
  </w:style>
  <w:style w:type="table" w:customStyle="1" w:styleId="137">
    <w:name w:val="Grid Table 5 Dark - Accent 6"/>
    <w:basedOn w:val="5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EA72E" w:themeColor="accent6" w:fill="4EA72E" w:themeFill="accent6"/>
      </w:tcPr>
    </w:tblStylePr>
    <w:tblStylePr w:type="lastRow">
      <w:rPr>
        <w:rFonts w:ascii="Arial" w:hAnsi="Arial"/>
        <w:b/>
        <w:color w:val="FFFFFF"/>
        <w:sz w:val="22"/>
      </w:rPr>
      <w:tcPr>
        <w:tcBorders>
          <w:top w:val="single" w:color="FFFFFF" w:themeColor="light1" w:sz="4" w:space="0"/>
        </w:tcBorders>
        <w:shd w:val="clear" w:color="4EA72E" w:themeColor="accent6" w:fill="4EA72E" w:themeFill="accent6"/>
      </w:tcPr>
    </w:tblStylePr>
    <w:tblStylePr w:type="firstCol">
      <w:rPr>
        <w:rFonts w:ascii="Arial" w:hAnsi="Arial"/>
        <w:b/>
        <w:color w:val="FFFFFF"/>
        <w:sz w:val="22"/>
      </w:rPr>
      <w:tcPr>
        <w:shd w:val="clear" w:color="4EA72E" w:themeColor="accent6" w:fill="4EA72E" w:themeFill="accent6"/>
      </w:tcPr>
    </w:tblStylePr>
    <w:tblStylePr w:type="lastCol">
      <w:rPr>
        <w:rFonts w:ascii="Arial" w:hAnsi="Arial"/>
        <w:b/>
        <w:color w:val="FFFFFF"/>
        <w:sz w:val="22"/>
      </w:rPr>
      <w:tcPr>
        <w:shd w:val="clear" w:color="4EA72E" w:themeColor="accent6" w:fill="4EA72E" w:themeFill="accent6"/>
      </w:tcPr>
    </w:tblStylePr>
    <w:tblStylePr w:type="band1Vert">
      <w:tcPr>
        <w:shd w:val="clear" w:color="A8E194" w:themeColor="accent6" w:themeTint="75" w:fill="A8E194" w:themeFill="accent6" w:themeFillTint="75"/>
      </w:tcPr>
    </w:tblStylePr>
    <w:tblStylePr w:type="band1Horz">
      <w:tcPr>
        <w:shd w:val="clear" w:color="A8E194" w:themeColor="accent6" w:themeTint="75" w:fill="A8E194" w:themeFill="accent6" w:themeFillTint="75"/>
      </w:tcPr>
    </w:tblStylePr>
  </w:style>
  <w:style w:type="table" w:customStyle="1" w:styleId="138">
    <w:name w:val="网格表 6 彩色1"/>
    <w:basedOn w:val="57"/>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9">
    <w:name w:val="Grid Table 6 Colorful - Accent 1"/>
    <w:basedOn w:val="57"/>
    <w:qFormat/>
    <w:uiPriority w:val="99"/>
    <w:tblPr>
      <w:tblBorders>
        <w:top w:val="single" w:color="63BDE5" w:themeColor="accent1" w:themeTint="80" w:sz="4" w:space="0"/>
        <w:left w:val="single" w:color="63BDE5" w:themeColor="accent1" w:themeTint="80" w:sz="4" w:space="0"/>
        <w:bottom w:val="single" w:color="63BDE5" w:themeColor="accent1" w:themeTint="80" w:sz="4" w:space="0"/>
        <w:right w:val="single" w:color="63BDE5" w:themeColor="accent1" w:themeTint="80" w:sz="4" w:space="0"/>
        <w:insideH w:val="single" w:color="63BDE5" w:themeColor="accent1" w:themeTint="80" w:sz="4" w:space="0"/>
        <w:insideV w:val="single" w:color="63BDE5" w:themeColor="accent1" w:themeTint="80" w:sz="4" w:space="0"/>
      </w:tblBorders>
    </w:tblPr>
    <w:tblStylePr w:type="firstRow">
      <w:rPr>
        <w:b/>
        <w:color w:val="64BEE6" w:themeColor="accent1" w:themeTint="80"/>
        <w14:textFill>
          <w14:solidFill>
            <w14:schemeClr w14:val="accent1">
              <w14:lumMod w14:val="50000"/>
              <w14:lumOff w14:val="50000"/>
            </w14:schemeClr>
          </w14:solidFill>
        </w14:textFill>
      </w:rPr>
      <w:tcPr>
        <w:tcBorders>
          <w:bottom w:val="single" w:color="63BDE5" w:themeColor="accent1" w:themeTint="80" w:sz="12" w:space="0"/>
        </w:tcBorders>
      </w:tcPr>
    </w:tblStylePr>
    <w:tblStylePr w:type="lastRow">
      <w:rPr>
        <w:b/>
        <w:color w:val="64BEE6" w:themeColor="accent1" w:themeTint="80"/>
        <w14:textFill>
          <w14:solidFill>
            <w14:schemeClr w14:val="accent1">
              <w14:lumMod w14:val="50000"/>
              <w14:lumOff w14:val="50000"/>
            </w14:schemeClr>
          </w14:solidFill>
        </w14:textFill>
      </w:rPr>
    </w:tblStylePr>
    <w:tblStylePr w:type="firstCol">
      <w:rPr>
        <w:b/>
        <w:color w:val="64BEE6" w:themeColor="accent1" w:themeTint="80"/>
        <w14:textFill>
          <w14:solidFill>
            <w14:schemeClr w14:val="accent1">
              <w14:lumMod w14:val="50000"/>
              <w14:lumOff w14:val="50000"/>
            </w14:schemeClr>
          </w14:solidFill>
        </w14:textFill>
      </w:rPr>
    </w:tblStylePr>
    <w:tblStylePr w:type="lastCol">
      <w:rPr>
        <w:b/>
        <w:color w:val="64BEE6" w:themeColor="accent1" w:themeTint="80"/>
        <w14:textFill>
          <w14:solidFill>
            <w14:schemeClr w14:val="accent1">
              <w14:lumMod w14:val="50000"/>
              <w14:lumOff w14:val="50000"/>
            </w14:schemeClr>
          </w14:solidFill>
        </w14:textFill>
      </w:rPr>
    </w:tblStylePr>
    <w:tblStylePr w:type="band1Vert">
      <w:tcPr>
        <w:shd w:val="clear" w:color="BFE4F4" w:themeColor="accent1" w:themeTint="34" w:fill="BFE4F4" w:themeFill="accent1" w:themeFillTint="34"/>
      </w:tcPr>
    </w:tblStylePr>
    <w:tblStylePr w:type="band1Horz">
      <w:rPr>
        <w:rFonts w:ascii="Arial" w:hAnsi="Arial"/>
        <w:color w:val="64BEE6" w:themeColor="accent1" w:themeTint="80"/>
        <w:sz w:val="22"/>
        <w14:textFill>
          <w14:solidFill>
            <w14:schemeClr w14:val="accent1">
              <w14:lumMod w14:val="50000"/>
              <w14:lumOff w14:val="50000"/>
            </w14:schemeClr>
          </w14:solidFill>
        </w14:textFill>
      </w:rPr>
      <w:tcPr>
        <w:shd w:val="clear" w:color="BFE4F4" w:themeColor="accent1" w:themeTint="34" w:fill="BFE4F4" w:themeFill="accent1" w:themeFillTint="34"/>
      </w:tcPr>
    </w:tblStylePr>
    <w:tblStylePr w:type="band2Horz">
      <w:rPr>
        <w:rFonts w:ascii="Arial" w:hAnsi="Arial"/>
        <w:color w:val="64BEE6" w:themeColor="accent1" w:themeTint="80"/>
        <w:sz w:val="22"/>
        <w14:textFill>
          <w14:solidFill>
            <w14:schemeClr w14:val="accent1">
              <w14:lumMod w14:val="50000"/>
              <w14:lumOff w14:val="50000"/>
            </w14:schemeClr>
          </w14:solidFill>
        </w14:textFill>
      </w:rPr>
    </w:tblStylePr>
  </w:style>
  <w:style w:type="table" w:customStyle="1" w:styleId="140">
    <w:name w:val="Grid Table 6 Colorful - Accent 2"/>
    <w:basedOn w:val="57"/>
    <w:qFormat/>
    <w:uiPriority w:val="99"/>
    <w:tblPr>
      <w:tblBorders>
        <w:top w:val="single" w:color="F1AA85" w:themeColor="accent2" w:themeTint="97" w:sz="4" w:space="0"/>
        <w:left w:val="single" w:color="F1AA85" w:themeColor="accent2" w:themeTint="97" w:sz="4" w:space="0"/>
        <w:bottom w:val="single" w:color="F1AA85" w:themeColor="accent2" w:themeTint="97" w:sz="4" w:space="0"/>
        <w:right w:val="single" w:color="F1AA85" w:themeColor="accent2" w:themeTint="97" w:sz="4" w:space="0"/>
        <w:insideH w:val="single" w:color="F1AA85" w:themeColor="accent2" w:themeTint="97" w:sz="4" w:space="0"/>
        <w:insideV w:val="single" w:color="F1AA85" w:themeColor="accent2" w:themeTint="97" w:sz="4" w:space="0"/>
      </w:tblBorders>
    </w:tblPr>
    <w:tblStylePr w:type="firstRow">
      <w:rPr>
        <w:b/>
        <w:color w:val="F2AB86" w:themeColor="accent2" w:themeTint="96"/>
        <w14:textFill>
          <w14:solidFill>
            <w14:schemeClr w14:val="accent2">
              <w14:lumMod w14:val="59000"/>
              <w14:lumOff w14:val="41000"/>
            </w14:schemeClr>
          </w14:solidFill>
        </w14:textFill>
      </w:rPr>
      <w:tcPr>
        <w:tcBorders>
          <w:bottom w:val="single" w:color="F1AA85" w:themeColor="accent2" w:themeTint="97" w:sz="12" w:space="0"/>
        </w:tcBorders>
      </w:tcPr>
    </w:tblStylePr>
    <w:tblStylePr w:type="lastRow">
      <w:rPr>
        <w:b/>
        <w:color w:val="F2AB86" w:themeColor="accent2" w:themeTint="96"/>
        <w14:textFill>
          <w14:solidFill>
            <w14:schemeClr w14:val="accent2">
              <w14:lumMod w14:val="59000"/>
              <w14:lumOff w14:val="41000"/>
            </w14:schemeClr>
          </w14:solidFill>
        </w14:textFill>
      </w:rPr>
    </w:tblStylePr>
    <w:tblStylePr w:type="firstCol">
      <w:rPr>
        <w:b/>
        <w:color w:val="F2AB86" w:themeColor="accent2" w:themeTint="96"/>
        <w14:textFill>
          <w14:solidFill>
            <w14:schemeClr w14:val="accent2">
              <w14:lumMod w14:val="59000"/>
              <w14:lumOff w14:val="41000"/>
            </w14:schemeClr>
          </w14:solidFill>
        </w14:textFill>
      </w:rPr>
    </w:tblStylePr>
    <w:tblStylePr w:type="lastCol">
      <w:rPr>
        <w:b/>
        <w:color w:val="F2AB86" w:themeColor="accent2" w:themeTint="96"/>
        <w14:textFill>
          <w14:solidFill>
            <w14:schemeClr w14:val="accent2">
              <w14:lumMod w14:val="59000"/>
              <w14:lumOff w14:val="41000"/>
            </w14:schemeClr>
          </w14:solidFill>
        </w14:textFill>
      </w:rPr>
    </w:tblStylePr>
    <w:tblStylePr w:type="band1Vert">
      <w:tcPr>
        <w:shd w:val="clear" w:color="FAE3D6" w:themeColor="accent2" w:themeTint="32" w:fill="FAE3D6" w:themeFill="accent2" w:themeFillTint="32"/>
      </w:tcPr>
    </w:tblStylePr>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FAE3D6" w:themeColor="accent2" w:themeTint="32" w:fill="FAE3D6" w:themeFill="accent2" w:themeFillTint="32"/>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style>
  <w:style w:type="table" w:customStyle="1" w:styleId="141">
    <w:name w:val="Grid Table 6 Colorful - Accent 3"/>
    <w:basedOn w:val="57"/>
    <w:qFormat/>
    <w:uiPriority w:val="99"/>
    <w:tblPr>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blStylePr w:type="firstRow">
      <w:rPr>
        <w:b/>
        <w:color w:val="196B24" w:themeColor="accent3"/>
        <w14:textFill>
          <w14:solidFill>
            <w14:schemeClr w14:val="accent3"/>
          </w14:solidFill>
        </w14:textFill>
      </w:rPr>
      <w:tcPr>
        <w:tcBorders>
          <w:bottom w:val="single" w:color="196C24" w:themeColor="accent3" w:themeTint="FE" w:sz="12" w:space="0"/>
        </w:tcBorders>
      </w:tcPr>
    </w:tblStylePr>
    <w:tblStylePr w:type="lastRow">
      <w:rPr>
        <w:b/>
        <w:color w:val="196B24" w:themeColor="accent3"/>
        <w14:textFill>
          <w14:solidFill>
            <w14:schemeClr w14:val="accent3"/>
          </w14:solidFill>
        </w14:textFill>
      </w:rPr>
    </w:tblStylePr>
    <w:tblStylePr w:type="firstCol">
      <w:rPr>
        <w:b/>
        <w:color w:val="196B24" w:themeColor="accent3"/>
        <w14:textFill>
          <w14:solidFill>
            <w14:schemeClr w14:val="accent3"/>
          </w14:solidFill>
        </w14:textFill>
      </w:rPr>
    </w:tblStylePr>
    <w:tblStylePr w:type="lastCol">
      <w:rPr>
        <w:b/>
        <w:color w:val="196B24" w:themeColor="accent3"/>
        <w14:textFill>
          <w14:solidFill>
            <w14:schemeClr w14:val="accent3"/>
          </w14:solidFill>
        </w14:textFill>
      </w:rPr>
    </w:tblStylePr>
    <w:tblStylePr w:type="band1Vert">
      <w:tcPr>
        <w:shd w:val="clear" w:color="C0F0C6" w:themeColor="accent3" w:themeTint="34" w:fill="C0F0C6" w:themeFill="accent3" w:themeFillTint="34"/>
      </w:tcPr>
    </w:tblStylePr>
    <w:tblStylePr w:type="band1Horz">
      <w:rPr>
        <w:rFonts w:ascii="Arial" w:hAnsi="Arial"/>
        <w:color w:val="196B24" w:themeColor="accent3"/>
        <w:sz w:val="22"/>
        <w14:textFill>
          <w14:solidFill>
            <w14:schemeClr w14:val="accent3"/>
          </w14:solidFill>
        </w14:textFill>
      </w:rPr>
      <w:tcPr>
        <w:shd w:val="clear" w:color="C0F0C6" w:themeColor="accent3" w:themeTint="34" w:fill="C0F0C6" w:themeFill="accent3" w:themeFillTint="34"/>
      </w:tcPr>
    </w:tblStylePr>
    <w:tblStylePr w:type="band2Horz">
      <w:rPr>
        <w:rFonts w:ascii="Arial" w:hAnsi="Arial"/>
        <w:color w:val="196B24" w:themeColor="accent3"/>
        <w:sz w:val="22"/>
        <w14:textFill>
          <w14:solidFill>
            <w14:schemeClr w14:val="accent3"/>
          </w14:solidFill>
        </w14:textFill>
      </w:rPr>
    </w:tblStylePr>
  </w:style>
  <w:style w:type="table" w:customStyle="1" w:styleId="142">
    <w:name w:val="Grid Table 6 Colorful - Accent 4"/>
    <w:basedOn w:val="57"/>
    <w:qFormat/>
    <w:uiPriority w:val="99"/>
    <w:tblPr>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blStylePr w:type="firstRow">
      <w:rPr>
        <w:b/>
        <w:color w:val="61CBF4" w:themeColor="accent4" w:themeTint="99"/>
        <w14:textFill>
          <w14:solidFill>
            <w14:schemeClr w14:val="accent4">
              <w14:lumMod w14:val="60000"/>
              <w14:lumOff w14:val="40000"/>
            </w14:schemeClr>
          </w14:solidFill>
        </w14:textFill>
      </w:rPr>
      <w:tcPr>
        <w:tcBorders>
          <w:bottom w:val="single" w:color="5FCAF3" w:themeColor="accent4" w:themeTint="9A" w:sz="12" w:space="0"/>
        </w:tcBorders>
      </w:tcPr>
    </w:tblStylePr>
    <w:tblStylePr w:type="lastRow">
      <w:rPr>
        <w:b/>
        <w:color w:val="61CBF4" w:themeColor="accent4" w:themeTint="99"/>
        <w14:textFill>
          <w14:solidFill>
            <w14:schemeClr w14:val="accent4">
              <w14:lumMod w14:val="60000"/>
              <w14:lumOff w14:val="40000"/>
            </w14:schemeClr>
          </w14:solidFill>
        </w14:textFill>
      </w:rPr>
    </w:tblStylePr>
    <w:tblStylePr w:type="firstCol">
      <w:rPr>
        <w:b/>
        <w:color w:val="61CBF4" w:themeColor="accent4" w:themeTint="99"/>
        <w14:textFill>
          <w14:solidFill>
            <w14:schemeClr w14:val="accent4">
              <w14:lumMod w14:val="60000"/>
              <w14:lumOff w14:val="40000"/>
            </w14:schemeClr>
          </w14:solidFill>
        </w14:textFill>
      </w:rPr>
    </w:tblStylePr>
    <w:tblStylePr w:type="lastCol">
      <w:rPr>
        <w:b/>
        <w:color w:val="61CBF4" w:themeColor="accent4" w:themeTint="99"/>
        <w14:textFill>
          <w14:solidFill>
            <w14:schemeClr w14:val="accent4">
              <w14:lumMod w14:val="60000"/>
              <w14:lumOff w14:val="40000"/>
            </w14:schemeClr>
          </w14:solidFill>
        </w14:textFill>
      </w:rPr>
    </w:tblStylePr>
    <w:tblStylePr w:type="band1Vert">
      <w:tcPr>
        <w:shd w:val="clear" w:color="C9EDFB" w:themeColor="accent4" w:themeTint="34" w:fill="C9EDFB" w:themeFill="accent4" w:themeFillTint="34"/>
      </w:tcPr>
    </w:tblStylePr>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C9EDFB" w:themeColor="accent4" w:themeTint="34" w:fill="C9EDFB" w:themeFill="accent4" w:themeFillTint="34"/>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style>
  <w:style w:type="table" w:customStyle="1" w:styleId="143">
    <w:name w:val="Grid Table 6 Colorful - Accent 5"/>
    <w:basedOn w:val="57"/>
    <w:qFormat/>
    <w:uiPriority w:val="99"/>
    <w:tblPr>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Pr>
    <w:tblStylePr w:type="firstRow">
      <w:rPr>
        <w:b/>
        <w:color w:val="5D1955" w:themeColor="accent5" w:themeShade="94"/>
      </w:rPr>
      <w:tcPr>
        <w:tcBorders>
          <w:bottom w:val="single" w:color="A02B93" w:themeColor="accent5" w:sz="12" w:space="0"/>
        </w:tcBorders>
      </w:tcPr>
    </w:tblStylePr>
    <w:tblStylePr w:type="lastRow">
      <w:rPr>
        <w:b/>
        <w:color w:val="5D1955" w:themeColor="accent5" w:themeShade="94"/>
      </w:rPr>
    </w:tblStylePr>
    <w:tblStylePr w:type="firstCol">
      <w:rPr>
        <w:b/>
        <w:color w:val="5D1955" w:themeColor="accent5" w:themeShade="94"/>
      </w:rPr>
    </w:tblStylePr>
    <w:tblStylePr w:type="lastCol">
      <w:rPr>
        <w:b/>
        <w:color w:val="5D1955" w:themeColor="accent5" w:themeShade="94"/>
      </w:rPr>
    </w:tblStylePr>
    <w:tblStylePr w:type="band1Vert">
      <w:tcPr>
        <w:shd w:val="clear" w:color="F1CDED" w:themeColor="accent5" w:themeTint="34" w:fill="F1CDED" w:themeFill="accent5" w:themeFillTint="34"/>
      </w:tcPr>
    </w:tblStylePr>
    <w:tblStylePr w:type="band1Horz">
      <w:rPr>
        <w:rFonts w:ascii="Arial" w:hAnsi="Arial"/>
        <w:color w:val="5D1955" w:themeColor="accent5" w:themeShade="94"/>
        <w:sz w:val="22"/>
      </w:rPr>
      <w:tcPr>
        <w:shd w:val="clear" w:color="F1CDED" w:themeColor="accent5" w:themeTint="34" w:fill="F1CDED" w:themeFill="accent5" w:themeFillTint="34"/>
      </w:tcPr>
    </w:tblStylePr>
    <w:tblStylePr w:type="band2Horz">
      <w:rPr>
        <w:rFonts w:ascii="Arial" w:hAnsi="Arial"/>
        <w:color w:val="5D1955" w:themeColor="accent5" w:themeShade="94"/>
        <w:sz w:val="22"/>
      </w:rPr>
    </w:tblStylePr>
  </w:style>
  <w:style w:type="table" w:customStyle="1" w:styleId="144">
    <w:name w:val="Grid Table 6 Colorful - Accent 6"/>
    <w:basedOn w:val="57"/>
    <w:qFormat/>
    <w:uiPriority w:val="99"/>
    <w:tblPr>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Pr>
    <w:tblStylePr w:type="firstRow">
      <w:rPr>
        <w:b/>
        <w:color w:val="5D1955" w:themeColor="accent5" w:themeShade="94"/>
      </w:rPr>
      <w:tcPr>
        <w:tcBorders>
          <w:bottom w:val="single" w:color="4EA72E" w:themeColor="accent6" w:sz="12" w:space="0"/>
        </w:tcBorders>
      </w:tcPr>
    </w:tblStylePr>
    <w:tblStylePr w:type="lastRow">
      <w:rPr>
        <w:b/>
        <w:color w:val="5D1955" w:themeColor="accent5" w:themeShade="94"/>
      </w:rPr>
    </w:tblStylePr>
    <w:tblStylePr w:type="firstCol">
      <w:rPr>
        <w:b/>
        <w:color w:val="5D1955" w:themeColor="accent5" w:themeShade="94"/>
      </w:rPr>
    </w:tblStylePr>
    <w:tblStylePr w:type="lastCol">
      <w:rPr>
        <w:b/>
        <w:color w:val="5D1955" w:themeColor="accent5" w:themeShade="94"/>
      </w:rPr>
    </w:tblStylePr>
    <w:tblStylePr w:type="band1Vert">
      <w:tcPr>
        <w:shd w:val="clear" w:color="D8F1CF" w:themeColor="accent6" w:themeTint="34" w:fill="D8F1CF" w:themeFill="accent6" w:themeFillTint="34"/>
      </w:tcPr>
    </w:tblStylePr>
    <w:tblStylePr w:type="band1Horz">
      <w:rPr>
        <w:rFonts w:ascii="Arial" w:hAnsi="Arial"/>
        <w:color w:val="5D1955" w:themeColor="accent5" w:themeShade="94"/>
        <w:sz w:val="22"/>
      </w:rPr>
      <w:tcPr>
        <w:shd w:val="clear" w:color="D8F1CF" w:themeColor="accent6" w:themeTint="34" w:fill="D8F1CF" w:themeFill="accent6" w:themeFillTint="34"/>
      </w:tcPr>
    </w:tblStylePr>
    <w:tblStylePr w:type="band2Horz">
      <w:rPr>
        <w:rFonts w:ascii="Arial" w:hAnsi="Arial"/>
        <w:color w:val="5D1955" w:themeColor="accent5" w:themeShade="94"/>
        <w:sz w:val="22"/>
      </w:rPr>
    </w:tblStylePr>
  </w:style>
  <w:style w:type="table" w:customStyle="1" w:styleId="145">
    <w:name w:val="网格表 7 彩色1"/>
    <w:basedOn w:val="57"/>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6">
    <w:name w:val="Grid Table 7 Colorful - Accent 1"/>
    <w:basedOn w:val="57"/>
    <w:qFormat/>
    <w:uiPriority w:val="99"/>
    <w:tblPr>
      <w:tblBorders>
        <w:bottom w:val="single" w:color="63BDE5" w:themeColor="accent1" w:themeTint="80" w:sz="4" w:space="0"/>
        <w:right w:val="single" w:color="63BDE5" w:themeColor="accent1" w:themeTint="80" w:sz="4" w:space="0"/>
        <w:insideH w:val="single" w:color="63BDE5" w:themeColor="accent1" w:themeTint="80" w:sz="4" w:space="0"/>
        <w:insideV w:val="single" w:color="63BDE5" w:themeColor="accent1" w:themeTint="80" w:sz="4" w:space="0"/>
      </w:tblBorders>
    </w:tblPr>
    <w:tblStylePr w:type="firstRow">
      <w:rPr>
        <w:rFonts w:ascii="Arial" w:hAnsi="Arial"/>
        <w:b/>
        <w:color w:val="64BEE6" w:themeColor="accent1" w:themeTint="80"/>
        <w:sz w:val="22"/>
        <w14:textFill>
          <w14:solidFill>
            <w14:schemeClr w14:val="accent1">
              <w14:lumMod w14:val="50000"/>
              <w14:lumOff w14:val="50000"/>
            </w14:schemeClr>
          </w14:solidFill>
        </w14:textFill>
      </w:rPr>
      <w:tcPr>
        <w:tcBorders>
          <w:top w:val="nil"/>
          <w:left w:val="nil"/>
          <w:bottom w:val="single" w:color="63BDE5" w:themeColor="accent1" w:themeTint="80" w:sz="4" w:space="0"/>
          <w:right w:val="nil"/>
        </w:tcBorders>
        <w:shd w:val="clear" w:color="FFFFFF" w:themeColor="light1" w:fill="FFFFFF" w:themeFill="light1"/>
      </w:tcPr>
    </w:tblStylePr>
    <w:tblStylePr w:type="lastRow">
      <w:rPr>
        <w:rFonts w:ascii="Arial" w:hAnsi="Arial"/>
        <w:b/>
        <w:color w:val="64BEE6" w:themeColor="accent1" w:themeTint="80"/>
        <w:sz w:val="22"/>
        <w14:textFill>
          <w14:solidFill>
            <w14:schemeClr w14:val="accent1">
              <w14:lumMod w14:val="50000"/>
              <w14:lumOff w14:val="50000"/>
            </w14:schemeClr>
          </w14:solidFill>
        </w14:textFill>
      </w:rPr>
      <w:tcPr>
        <w:tcBorders>
          <w:top w:val="single" w:color="63BDE5"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64BEE6" w:themeColor="accent1" w:themeTint="80"/>
        <w:sz w:val="22"/>
        <w14:textFill>
          <w14:solidFill>
            <w14:schemeClr w14:val="accent1">
              <w14:lumMod w14:val="50000"/>
              <w14:lumOff w14:val="50000"/>
            </w14:schemeClr>
          </w14:solidFill>
        </w14:textFill>
      </w:rPr>
      <w:tcPr>
        <w:tcBorders>
          <w:top w:val="nil"/>
          <w:left w:val="nil"/>
          <w:bottom w:val="nil"/>
          <w:right w:val="single" w:color="63BDE5" w:themeColor="accent1" w:themeTint="80" w:sz="4" w:space="0"/>
        </w:tcBorders>
        <w:shd w:val="clear" w:color="FFFFFF" w:fill="auto"/>
      </w:tcPr>
    </w:tblStylePr>
    <w:tblStylePr w:type="lastCol">
      <w:rPr>
        <w:rFonts w:ascii="Arial" w:hAnsi="Arial"/>
        <w:i/>
        <w:color w:val="64BEE6" w:themeColor="accent1" w:themeTint="80"/>
        <w:sz w:val="22"/>
        <w14:textFill>
          <w14:solidFill>
            <w14:schemeClr w14:val="accent1">
              <w14:lumMod w14:val="50000"/>
              <w14:lumOff w14:val="50000"/>
            </w14:schemeClr>
          </w14:solidFill>
        </w14:textFill>
      </w:rPr>
      <w:tcPr>
        <w:tcBorders>
          <w:top w:val="nil"/>
          <w:left w:val="single" w:color="63BDE5" w:themeColor="accent1" w:themeTint="80" w:sz="4" w:space="0"/>
          <w:bottom w:val="nil"/>
          <w:right w:val="nil"/>
        </w:tcBorders>
        <w:shd w:val="clear" w:color="FFFFFF" w:fill="auto"/>
      </w:tcPr>
    </w:tblStylePr>
    <w:tblStylePr w:type="band1Vert">
      <w:tcPr>
        <w:shd w:val="clear" w:color="BFE4F4" w:themeColor="accent1" w:themeTint="34" w:fill="BFE4F4" w:themeFill="accent1" w:themeFillTint="34"/>
      </w:tcPr>
    </w:tblStylePr>
    <w:tblStylePr w:type="band1Horz">
      <w:rPr>
        <w:rFonts w:ascii="Arial" w:hAnsi="Arial"/>
        <w:color w:val="64BEE6" w:themeColor="accent1" w:themeTint="80"/>
        <w:sz w:val="22"/>
        <w14:textFill>
          <w14:solidFill>
            <w14:schemeClr w14:val="accent1">
              <w14:lumMod w14:val="50000"/>
              <w14:lumOff w14:val="50000"/>
            </w14:schemeClr>
          </w14:solidFill>
        </w14:textFill>
      </w:rPr>
      <w:tcPr>
        <w:shd w:val="clear" w:color="BFE4F4" w:themeColor="accent1" w:themeTint="34" w:fill="BFE4F4" w:themeFill="accent1" w:themeFillTint="34"/>
      </w:tcPr>
    </w:tblStylePr>
    <w:tblStylePr w:type="band2Horz">
      <w:rPr>
        <w:rFonts w:ascii="Arial" w:hAnsi="Arial"/>
        <w:color w:val="64BEE6" w:themeColor="accent1" w:themeTint="80"/>
        <w:sz w:val="22"/>
        <w14:textFill>
          <w14:solidFill>
            <w14:schemeClr w14:val="accent1">
              <w14:lumMod w14:val="50000"/>
              <w14:lumOff w14:val="50000"/>
            </w14:schemeClr>
          </w14:solidFill>
        </w14:textFill>
      </w:rPr>
    </w:tblStylePr>
  </w:style>
  <w:style w:type="table" w:customStyle="1" w:styleId="147">
    <w:name w:val="Grid Table 7 Colorful - Accent 2"/>
    <w:basedOn w:val="57"/>
    <w:qFormat/>
    <w:uiPriority w:val="99"/>
    <w:tblPr>
      <w:tblBorders>
        <w:bottom w:val="single" w:color="F1AA85" w:themeColor="accent2" w:themeTint="97" w:sz="4" w:space="0"/>
        <w:right w:val="single" w:color="F1AA85" w:themeColor="accent2" w:themeTint="97" w:sz="4" w:space="0"/>
        <w:insideH w:val="single" w:color="F1AA85" w:themeColor="accent2" w:themeTint="97" w:sz="4" w:space="0"/>
        <w:insideV w:val="single" w:color="F1AA85" w:themeColor="accent2" w:themeTint="97" w:sz="4" w:space="0"/>
      </w:tblBorders>
    </w:tblPr>
    <w:tblStylePr w:type="firstRow">
      <w:rPr>
        <w:rFonts w:ascii="Arial" w:hAnsi="Arial"/>
        <w:b/>
        <w:color w:val="F2AB86" w:themeColor="accent2" w:themeTint="96"/>
        <w:sz w:val="22"/>
        <w14:textFill>
          <w14:solidFill>
            <w14:schemeClr w14:val="accent2">
              <w14:lumMod w14:val="59000"/>
              <w14:lumOff w14:val="41000"/>
            </w14:schemeClr>
          </w14:solidFill>
        </w14:textFill>
      </w:rPr>
      <w:tcPr>
        <w:tcBorders>
          <w:top w:val="nil"/>
          <w:left w:val="nil"/>
          <w:bottom w:val="single" w:color="F1AA85" w:themeColor="accent2" w:themeTint="97" w:sz="4" w:space="0"/>
          <w:right w:val="nil"/>
        </w:tcBorders>
        <w:shd w:val="clear" w:color="FFFFFF" w:themeColor="light1" w:fill="FFFFFF" w:themeFill="light1"/>
      </w:tcPr>
    </w:tblStylePr>
    <w:tblStylePr w:type="lastRow">
      <w:rPr>
        <w:rFonts w:ascii="Arial" w:hAnsi="Arial"/>
        <w:b/>
        <w:color w:val="F2AB86" w:themeColor="accent2" w:themeTint="96"/>
        <w:sz w:val="22"/>
        <w14:textFill>
          <w14:solidFill>
            <w14:schemeClr w14:val="accent2">
              <w14:lumMod w14:val="59000"/>
              <w14:lumOff w14:val="41000"/>
            </w14:schemeClr>
          </w14:solidFill>
        </w14:textFill>
      </w:rPr>
      <w:tcPr>
        <w:tcBorders>
          <w:top w:val="single" w:color="F1AA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nil"/>
          <w:bottom w:val="nil"/>
          <w:right w:val="single" w:color="F1AA85" w:themeColor="accent2" w:themeTint="97" w:sz="4" w:space="0"/>
        </w:tcBorders>
        <w:shd w:val="clear" w:color="FFFFFF" w:fill="auto"/>
      </w:tcPr>
    </w:tblStylePr>
    <w:tblStylePr w:type="lastCol">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single" w:color="F1AA85" w:themeColor="accent2" w:themeTint="97" w:sz="4" w:space="0"/>
          <w:bottom w:val="nil"/>
          <w:right w:val="nil"/>
        </w:tcBorders>
        <w:shd w:val="clear" w:color="FFFFFF" w:fill="auto"/>
      </w:tcPr>
    </w:tblStylePr>
    <w:tblStylePr w:type="band1Vert">
      <w:tcPr>
        <w:shd w:val="clear" w:color="FAE3D6" w:themeColor="accent2" w:themeTint="32" w:fill="FAE3D6" w:themeFill="accent2" w:themeFillTint="32"/>
      </w:tcPr>
    </w:tblStylePr>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FAE3D6" w:themeColor="accent2" w:themeTint="32" w:fill="FAE3D6" w:themeFill="accent2" w:themeFillTint="32"/>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style>
  <w:style w:type="table" w:customStyle="1" w:styleId="148">
    <w:name w:val="Grid Table 7 Colorful - Accent 3"/>
    <w:basedOn w:val="57"/>
    <w:qFormat/>
    <w:uiPriority w:val="99"/>
    <w:tblPr>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blStylePr w:type="firstRow">
      <w:rPr>
        <w:rFonts w:ascii="Arial" w:hAnsi="Arial"/>
        <w:b/>
        <w:color w:val="196B24" w:themeColor="accent3"/>
        <w:sz w:val="22"/>
        <w14:textFill>
          <w14:solidFill>
            <w14:schemeClr w14:val="accent3"/>
          </w14:solidFill>
        </w14:textFill>
      </w:rPr>
      <w:tcPr>
        <w:tcBorders>
          <w:top w:val="nil"/>
          <w:left w:val="nil"/>
          <w:bottom w:val="single" w:color="196C24" w:themeColor="accent3" w:themeTint="FE" w:sz="4" w:space="0"/>
          <w:right w:val="nil"/>
        </w:tcBorders>
        <w:shd w:val="clear" w:color="FFFFFF" w:themeColor="light1" w:fill="FFFFFF" w:themeFill="light1"/>
      </w:tcPr>
    </w:tblStylePr>
    <w:tblStylePr w:type="lastRow">
      <w:rPr>
        <w:rFonts w:ascii="Arial" w:hAnsi="Arial"/>
        <w:b/>
        <w:color w:val="196B24" w:themeColor="accent3"/>
        <w:sz w:val="22"/>
        <w14:textFill>
          <w14:solidFill>
            <w14:schemeClr w14:val="accent3"/>
          </w14:solidFill>
        </w14:textFill>
      </w:rPr>
      <w:tcPr>
        <w:tcBorders>
          <w:top w:val="single" w:color="196C24"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196B24" w:themeColor="accent3"/>
        <w:sz w:val="22"/>
        <w14:textFill>
          <w14:solidFill>
            <w14:schemeClr w14:val="accent3"/>
          </w14:solidFill>
        </w14:textFill>
      </w:rPr>
      <w:tcPr>
        <w:tcBorders>
          <w:top w:val="nil"/>
          <w:left w:val="nil"/>
          <w:bottom w:val="nil"/>
          <w:right w:val="single" w:color="196C24" w:themeColor="accent3" w:themeTint="FE" w:sz="4" w:space="0"/>
        </w:tcBorders>
        <w:shd w:val="clear" w:color="FFFFFF" w:fill="auto"/>
      </w:tcPr>
    </w:tblStylePr>
    <w:tblStylePr w:type="lastCol">
      <w:rPr>
        <w:rFonts w:ascii="Arial" w:hAnsi="Arial"/>
        <w:i/>
        <w:color w:val="196B24" w:themeColor="accent3"/>
        <w:sz w:val="22"/>
        <w14:textFill>
          <w14:solidFill>
            <w14:schemeClr w14:val="accent3"/>
          </w14:solidFill>
        </w14:textFill>
      </w:rPr>
      <w:tcPr>
        <w:tcBorders>
          <w:top w:val="nil"/>
          <w:left w:val="single" w:color="196C24" w:themeColor="accent3" w:themeTint="FE" w:sz="4" w:space="0"/>
          <w:bottom w:val="nil"/>
          <w:right w:val="nil"/>
        </w:tcBorders>
        <w:shd w:val="clear" w:color="FFFFFF" w:fill="auto"/>
      </w:tcPr>
    </w:tblStylePr>
    <w:tblStylePr w:type="band1Vert">
      <w:tcPr>
        <w:shd w:val="clear" w:color="C0F0C6" w:themeColor="accent3" w:themeTint="34" w:fill="C0F0C6" w:themeFill="accent3" w:themeFillTint="34"/>
      </w:tcPr>
    </w:tblStylePr>
    <w:tblStylePr w:type="band1Horz">
      <w:rPr>
        <w:rFonts w:ascii="Arial" w:hAnsi="Arial"/>
        <w:color w:val="196B24" w:themeColor="accent3"/>
        <w:sz w:val="22"/>
        <w14:textFill>
          <w14:solidFill>
            <w14:schemeClr w14:val="accent3"/>
          </w14:solidFill>
        </w14:textFill>
      </w:rPr>
      <w:tcPr>
        <w:shd w:val="clear" w:color="C0F0C6" w:themeColor="accent3" w:themeTint="34" w:fill="C0F0C6" w:themeFill="accent3" w:themeFillTint="34"/>
      </w:tcPr>
    </w:tblStylePr>
    <w:tblStylePr w:type="band2Horz">
      <w:rPr>
        <w:rFonts w:ascii="Arial" w:hAnsi="Arial"/>
        <w:color w:val="196B24" w:themeColor="accent3"/>
        <w:sz w:val="22"/>
        <w14:textFill>
          <w14:solidFill>
            <w14:schemeClr w14:val="accent3"/>
          </w14:solidFill>
        </w14:textFill>
      </w:rPr>
    </w:tblStylePr>
  </w:style>
  <w:style w:type="table" w:customStyle="1" w:styleId="149">
    <w:name w:val="Grid Table 7 Colorful - Accent 4"/>
    <w:basedOn w:val="57"/>
    <w:qFormat/>
    <w:uiPriority w:val="99"/>
    <w:tblPr>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blStylePr w:type="firstRow">
      <w:rPr>
        <w:rFonts w:ascii="Arial" w:hAnsi="Arial"/>
        <w:b/>
        <w:color w:val="61CBF4" w:themeColor="accent4" w:themeTint="99"/>
        <w:sz w:val="22"/>
        <w14:textFill>
          <w14:solidFill>
            <w14:schemeClr w14:val="accent4">
              <w14:lumMod w14:val="60000"/>
              <w14:lumOff w14:val="40000"/>
            </w14:schemeClr>
          </w14:solidFill>
        </w14:textFill>
      </w:rPr>
      <w:tcPr>
        <w:tcBorders>
          <w:top w:val="nil"/>
          <w:left w:val="nil"/>
          <w:bottom w:val="single" w:color="5FCAF3" w:themeColor="accent4" w:themeTint="9A" w:sz="4" w:space="0"/>
          <w:right w:val="nil"/>
        </w:tcBorders>
        <w:shd w:val="clear" w:color="FFFFFF" w:themeColor="light1" w:fill="FFFFFF" w:themeFill="light1"/>
      </w:tcPr>
    </w:tblStylePr>
    <w:tblStylePr w:type="lastRow">
      <w:rPr>
        <w:rFonts w:ascii="Arial" w:hAnsi="Arial"/>
        <w:b/>
        <w:color w:val="61CBF4" w:themeColor="accent4" w:themeTint="99"/>
        <w:sz w:val="22"/>
        <w14:textFill>
          <w14:solidFill>
            <w14:schemeClr w14:val="accent4">
              <w14:lumMod w14:val="60000"/>
              <w14:lumOff w14:val="40000"/>
            </w14:schemeClr>
          </w14:solidFill>
        </w14:textFill>
      </w:rPr>
      <w:tcPr>
        <w:tcBorders>
          <w:top w:val="single" w:color="5FCAF3"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nil"/>
          <w:bottom w:val="nil"/>
          <w:right w:val="single" w:color="5FCAF3" w:themeColor="accent4" w:themeTint="9A" w:sz="4" w:space="0"/>
        </w:tcBorders>
        <w:shd w:val="clear" w:color="FFFFFF" w:fill="auto"/>
      </w:tcPr>
    </w:tblStylePr>
    <w:tblStylePr w:type="lastCol">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single" w:color="5FCAF3" w:themeColor="accent4" w:themeTint="9A" w:sz="4" w:space="0"/>
          <w:bottom w:val="nil"/>
          <w:right w:val="nil"/>
        </w:tcBorders>
        <w:shd w:val="clear" w:color="FFFFFF" w:fill="auto"/>
      </w:tcPr>
    </w:tblStylePr>
    <w:tblStylePr w:type="band1Vert">
      <w:tcPr>
        <w:shd w:val="clear" w:color="C9EDFB" w:themeColor="accent4" w:themeTint="34" w:fill="C9EDFB" w:themeFill="accent4" w:themeFillTint="34"/>
      </w:tcPr>
    </w:tblStylePr>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C9EDFB" w:themeColor="accent4" w:themeTint="34" w:fill="C9EDFB" w:themeFill="accent4" w:themeFillTint="34"/>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style>
  <w:style w:type="table" w:customStyle="1" w:styleId="150">
    <w:name w:val="Grid Table 7 Colorful - Accent 5"/>
    <w:basedOn w:val="57"/>
    <w:qFormat/>
    <w:uiPriority w:val="99"/>
    <w:tblPr>
      <w:tblBorders>
        <w:bottom w:val="single" w:color="DA76CF" w:themeColor="accent5" w:themeTint="90" w:sz="4" w:space="0"/>
        <w:right w:val="single" w:color="DA76CF" w:themeColor="accent5" w:themeTint="90" w:sz="4" w:space="0"/>
        <w:insideH w:val="single" w:color="DA76CF" w:themeColor="accent5" w:themeTint="90" w:sz="4" w:space="0"/>
        <w:insideV w:val="single" w:color="DA76CF" w:themeColor="accent5" w:themeTint="90" w:sz="4" w:space="0"/>
      </w:tblBorders>
    </w:tblPr>
    <w:tblStylePr w:type="firstRow">
      <w:rPr>
        <w:rFonts w:ascii="Arial" w:hAnsi="Arial"/>
        <w:b/>
        <w:color w:val="5D1955" w:themeColor="accent5" w:themeShade="94"/>
        <w:sz w:val="22"/>
      </w:rPr>
      <w:tcPr>
        <w:tcBorders>
          <w:top w:val="nil"/>
          <w:left w:val="nil"/>
          <w:bottom w:val="single" w:color="DA76CF" w:themeColor="accent5" w:themeTint="90" w:sz="4" w:space="0"/>
          <w:right w:val="nil"/>
        </w:tcBorders>
        <w:shd w:val="clear" w:color="FFFFFF" w:themeColor="light1" w:fill="FFFFFF" w:themeFill="light1"/>
      </w:tcPr>
    </w:tblStylePr>
    <w:tblStylePr w:type="lastRow">
      <w:rPr>
        <w:rFonts w:ascii="Arial" w:hAnsi="Arial"/>
        <w:b/>
        <w:color w:val="5D1955" w:themeColor="accent5" w:themeShade="94"/>
        <w:sz w:val="22"/>
      </w:rPr>
      <w:tcPr>
        <w:tcBorders>
          <w:top w:val="single" w:color="DA76CF"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5D1955" w:themeColor="accent5" w:themeShade="94"/>
        <w:sz w:val="22"/>
      </w:rPr>
      <w:tcPr>
        <w:tcBorders>
          <w:top w:val="nil"/>
          <w:left w:val="nil"/>
          <w:bottom w:val="nil"/>
          <w:right w:val="single" w:color="DA76CF" w:themeColor="accent5" w:themeTint="90" w:sz="4" w:space="0"/>
        </w:tcBorders>
        <w:shd w:val="clear" w:color="FFFFFF" w:fill="auto"/>
      </w:tcPr>
    </w:tblStylePr>
    <w:tblStylePr w:type="lastCol">
      <w:rPr>
        <w:rFonts w:ascii="Arial" w:hAnsi="Arial"/>
        <w:i/>
        <w:color w:val="5D1955" w:themeColor="accent5" w:themeShade="94"/>
        <w:sz w:val="22"/>
      </w:rPr>
      <w:tcPr>
        <w:tcBorders>
          <w:top w:val="nil"/>
          <w:left w:val="single" w:color="DA76CF" w:themeColor="accent5" w:themeTint="90" w:sz="4" w:space="0"/>
          <w:bottom w:val="nil"/>
          <w:right w:val="nil"/>
        </w:tcBorders>
        <w:shd w:val="clear" w:color="FFFFFF" w:fill="auto"/>
      </w:tcPr>
    </w:tblStylePr>
    <w:tblStylePr w:type="band1Vert">
      <w:tcPr>
        <w:shd w:val="clear" w:color="F1CDED" w:themeColor="accent5" w:themeTint="34" w:fill="F1CDED" w:themeFill="accent5" w:themeFillTint="34"/>
      </w:tcPr>
    </w:tblStylePr>
    <w:tblStylePr w:type="band1Horz">
      <w:rPr>
        <w:rFonts w:ascii="Arial" w:hAnsi="Arial"/>
        <w:color w:val="5D1955" w:themeColor="accent5" w:themeShade="94"/>
        <w:sz w:val="22"/>
      </w:rPr>
      <w:tcPr>
        <w:shd w:val="clear" w:color="F1CDED" w:themeColor="accent5" w:themeTint="34" w:fill="F1CDED" w:themeFill="accent5" w:themeFillTint="34"/>
      </w:tcPr>
    </w:tblStylePr>
    <w:tblStylePr w:type="band2Horz">
      <w:rPr>
        <w:rFonts w:ascii="Arial" w:hAnsi="Arial"/>
        <w:color w:val="5D1955" w:themeColor="accent5" w:themeShade="94"/>
        <w:sz w:val="22"/>
      </w:rPr>
    </w:tblStylePr>
  </w:style>
  <w:style w:type="table" w:customStyle="1" w:styleId="151">
    <w:name w:val="Grid Table 7 Colorful - Accent 6"/>
    <w:basedOn w:val="57"/>
    <w:qFormat/>
    <w:uiPriority w:val="99"/>
    <w:tblPr>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blStylePr w:type="firstRow">
      <w:rPr>
        <w:rFonts w:ascii="Arial" w:hAnsi="Arial"/>
        <w:b/>
        <w:color w:val="2D611B" w:themeColor="accent6" w:themeShade="94"/>
        <w:sz w:val="22"/>
      </w:rPr>
      <w:tcPr>
        <w:tcBorders>
          <w:top w:val="nil"/>
          <w:left w:val="nil"/>
          <w:bottom w:val="single" w:color="94DA7B" w:themeColor="accent6" w:themeTint="90" w:sz="4" w:space="0"/>
          <w:right w:val="nil"/>
        </w:tcBorders>
        <w:shd w:val="clear" w:color="FFFFFF" w:themeColor="light1" w:fill="FFFFFF" w:themeFill="light1"/>
      </w:tcPr>
    </w:tblStylePr>
    <w:tblStylePr w:type="lastRow">
      <w:rPr>
        <w:rFonts w:ascii="Arial" w:hAnsi="Arial"/>
        <w:b/>
        <w:color w:val="2D611B" w:themeColor="accent6" w:themeShade="94"/>
        <w:sz w:val="22"/>
      </w:rPr>
      <w:tcPr>
        <w:tcBorders>
          <w:top w:val="single" w:color="94DA7B"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2D611B" w:themeColor="accent6" w:themeShade="94"/>
        <w:sz w:val="22"/>
      </w:rPr>
      <w:tcPr>
        <w:tcBorders>
          <w:top w:val="nil"/>
          <w:left w:val="nil"/>
          <w:bottom w:val="nil"/>
          <w:right w:val="single" w:color="94DA7B" w:themeColor="accent6" w:themeTint="90" w:sz="4" w:space="0"/>
        </w:tcBorders>
        <w:shd w:val="clear" w:color="FFFFFF" w:fill="auto"/>
      </w:tcPr>
    </w:tblStylePr>
    <w:tblStylePr w:type="lastCol">
      <w:rPr>
        <w:rFonts w:ascii="Arial" w:hAnsi="Arial"/>
        <w:i/>
        <w:color w:val="2D611B" w:themeColor="accent6" w:themeShade="94"/>
        <w:sz w:val="22"/>
      </w:rPr>
      <w:tcPr>
        <w:tcBorders>
          <w:top w:val="nil"/>
          <w:left w:val="single" w:color="94DA7B" w:themeColor="accent6" w:themeTint="90" w:sz="4" w:space="0"/>
          <w:bottom w:val="nil"/>
          <w:right w:val="nil"/>
        </w:tcBorders>
        <w:shd w:val="clear" w:color="FFFFFF" w:fill="auto"/>
      </w:tcPr>
    </w:tblStylePr>
    <w:tblStylePr w:type="band1Vert">
      <w:tcPr>
        <w:shd w:val="clear" w:color="D8F1CF" w:themeColor="accent6" w:themeTint="34" w:fill="D8F1CF" w:themeFill="accent6" w:themeFillTint="34"/>
      </w:tcPr>
    </w:tblStylePr>
    <w:tblStylePr w:type="band1Horz">
      <w:rPr>
        <w:rFonts w:ascii="Arial" w:hAnsi="Arial"/>
        <w:color w:val="2D611B" w:themeColor="accent6" w:themeShade="94"/>
        <w:sz w:val="22"/>
      </w:rPr>
      <w:tcPr>
        <w:shd w:val="clear" w:color="D8F1CF" w:themeColor="accent6" w:themeTint="34" w:fill="D8F1CF" w:themeFill="accent6" w:themeFillTint="34"/>
      </w:tcPr>
    </w:tblStylePr>
    <w:tblStylePr w:type="band2Horz">
      <w:rPr>
        <w:rFonts w:ascii="Arial" w:hAnsi="Arial"/>
        <w:color w:val="2D611B" w:themeColor="accent6" w:themeShade="94"/>
        <w:sz w:val="22"/>
      </w:rPr>
    </w:tblStylePr>
  </w:style>
  <w:style w:type="table" w:customStyle="1" w:styleId="152">
    <w:name w:val="清单表 1 浅色1"/>
    <w:basedOn w:val="57"/>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53">
    <w:name w:val="List Table 1 Light - Accent 1"/>
    <w:basedOn w:val="57"/>
    <w:qFormat/>
    <w:uiPriority w:val="99"/>
    <w:tblStylePr w:type="firstRow">
      <w:rPr>
        <w:b/>
        <w:color w:val="404040"/>
      </w:rPr>
      <w:tcPr>
        <w:tcBorders>
          <w:top w:val="nil"/>
          <w:left w:val="nil"/>
          <w:bottom w:val="single" w:color="156082" w:themeColor="accent1" w:sz="4" w:space="0"/>
          <w:right w:val="nil"/>
        </w:tcBorders>
      </w:tcPr>
    </w:tblStylePr>
    <w:tblStylePr w:type="lastRow">
      <w:rPr>
        <w:b/>
        <w:color w:val="404040"/>
      </w:rPr>
      <w:tcPr>
        <w:tcBorders>
          <w:top w:val="single" w:color="156082"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1DEF2" w:themeColor="accent1" w:themeTint="40" w:fill="B1DEF2" w:themeFill="accent1" w:themeFillTint="40"/>
      </w:tcPr>
    </w:tblStylePr>
    <w:tblStylePr w:type="band1Horz">
      <w:tcPr>
        <w:shd w:val="clear" w:color="B1DEF2" w:themeColor="accent1" w:themeTint="40" w:fill="B1DEF2" w:themeFill="accent1" w:themeFillTint="40"/>
      </w:tcPr>
    </w:tblStylePr>
  </w:style>
  <w:style w:type="table" w:customStyle="1" w:styleId="154">
    <w:name w:val="List Table 1 Light - Accent 2"/>
    <w:basedOn w:val="57"/>
    <w:qFormat/>
    <w:uiPriority w:val="99"/>
    <w:tblStylePr w:type="firstRow">
      <w:rPr>
        <w:b/>
        <w:color w:val="404040"/>
      </w:rPr>
      <w:tcPr>
        <w:tcBorders>
          <w:top w:val="nil"/>
          <w:left w:val="nil"/>
          <w:bottom w:val="single" w:color="E97132" w:themeColor="accent2" w:sz="4" w:space="0"/>
          <w:right w:val="nil"/>
        </w:tcBorders>
      </w:tcPr>
    </w:tblStylePr>
    <w:tblStylePr w:type="lastRow">
      <w:rPr>
        <w:b/>
        <w:color w:val="404040"/>
      </w:rPr>
      <w:tcPr>
        <w:tcBorders>
          <w:top w:val="single" w:color="E97132"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9DBCB" w:themeColor="accent2" w:themeTint="40" w:fill="F9DBCB" w:themeFill="accent2" w:themeFillTint="40"/>
      </w:tcPr>
    </w:tblStylePr>
    <w:tblStylePr w:type="band1Horz">
      <w:tcPr>
        <w:shd w:val="clear" w:color="F9DBCB" w:themeColor="accent2" w:themeTint="40" w:fill="F9DBCB" w:themeFill="accent2" w:themeFillTint="40"/>
      </w:tcPr>
    </w:tblStylePr>
  </w:style>
  <w:style w:type="table" w:customStyle="1" w:styleId="155">
    <w:name w:val="List Table 1 Light - Accent 3"/>
    <w:basedOn w:val="57"/>
    <w:qFormat/>
    <w:uiPriority w:val="99"/>
    <w:tblStylePr w:type="firstRow">
      <w:rPr>
        <w:b/>
        <w:color w:val="404040"/>
      </w:rPr>
      <w:tcPr>
        <w:tcBorders>
          <w:top w:val="nil"/>
          <w:left w:val="nil"/>
          <w:bottom w:val="single" w:color="196B24" w:themeColor="accent3" w:sz="4" w:space="0"/>
          <w:right w:val="nil"/>
        </w:tcBorders>
      </w:tcPr>
    </w:tblStylePr>
    <w:tblStylePr w:type="lastRow">
      <w:rPr>
        <w:b/>
        <w:color w:val="404040"/>
      </w:rPr>
      <w:tcPr>
        <w:tcBorders>
          <w:top w:val="single" w:color="196B24"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2EDBA" w:themeColor="accent3" w:themeTint="40" w:fill="B2EDBA" w:themeFill="accent3" w:themeFillTint="40"/>
      </w:tcPr>
    </w:tblStylePr>
    <w:tblStylePr w:type="band1Horz">
      <w:tcPr>
        <w:shd w:val="clear" w:color="B2EDBA" w:themeColor="accent3" w:themeTint="40" w:fill="B2EDBA" w:themeFill="accent3" w:themeFillTint="40"/>
      </w:tcPr>
    </w:tblStylePr>
  </w:style>
  <w:style w:type="table" w:customStyle="1" w:styleId="156">
    <w:name w:val="List Table 1 Light - Accent 4"/>
    <w:basedOn w:val="57"/>
    <w:qFormat/>
    <w:uiPriority w:val="99"/>
    <w:tblStylePr w:type="firstRow">
      <w:rPr>
        <w:b/>
        <w:color w:val="404040"/>
      </w:rPr>
      <w:tcPr>
        <w:tcBorders>
          <w:top w:val="nil"/>
          <w:left w:val="nil"/>
          <w:bottom w:val="single" w:color="0F9ED5" w:themeColor="accent4" w:sz="4" w:space="0"/>
          <w:right w:val="nil"/>
        </w:tcBorders>
      </w:tcPr>
    </w:tblStylePr>
    <w:tblStylePr w:type="lastRow">
      <w:rPr>
        <w:b/>
        <w:color w:val="404040"/>
      </w:rPr>
      <w:tcPr>
        <w:tcBorders>
          <w:top w:val="single" w:color="0F9ED5"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CE9FA" w:themeColor="accent4" w:themeTint="40" w:fill="BCE9FA" w:themeFill="accent4" w:themeFillTint="40"/>
      </w:tcPr>
    </w:tblStylePr>
    <w:tblStylePr w:type="band1Horz">
      <w:tcPr>
        <w:shd w:val="clear" w:color="BCE9FA" w:themeColor="accent4" w:themeTint="40" w:fill="BCE9FA" w:themeFill="accent4" w:themeFillTint="40"/>
      </w:tcPr>
    </w:tblStylePr>
  </w:style>
  <w:style w:type="table" w:customStyle="1" w:styleId="157">
    <w:name w:val="List Table 1 Light - Accent 5"/>
    <w:basedOn w:val="57"/>
    <w:qFormat/>
    <w:uiPriority w:val="99"/>
    <w:tblStylePr w:type="firstRow">
      <w:rPr>
        <w:b/>
        <w:color w:val="404040"/>
      </w:rPr>
      <w:tcPr>
        <w:tcBorders>
          <w:top w:val="nil"/>
          <w:left w:val="nil"/>
          <w:bottom w:val="single" w:color="A02B93" w:themeColor="accent5" w:sz="4" w:space="0"/>
          <w:right w:val="nil"/>
        </w:tcBorders>
      </w:tcPr>
    </w:tblStylePr>
    <w:tblStylePr w:type="lastRow">
      <w:rPr>
        <w:b/>
        <w:color w:val="404040"/>
      </w:rPr>
      <w:tcPr>
        <w:tcBorders>
          <w:top w:val="single" w:color="A02B93"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EC2E9" w:themeColor="accent5" w:themeTint="40" w:fill="EEC2E9" w:themeFill="accent5" w:themeFillTint="40"/>
      </w:tcPr>
    </w:tblStylePr>
    <w:tblStylePr w:type="band1Horz">
      <w:tcPr>
        <w:shd w:val="clear" w:color="EEC2E9" w:themeColor="accent5" w:themeTint="40" w:fill="EEC2E9" w:themeFill="accent5" w:themeFillTint="40"/>
      </w:tcPr>
    </w:tblStylePr>
  </w:style>
  <w:style w:type="table" w:customStyle="1" w:styleId="158">
    <w:name w:val="List Table 1 Light - Accent 6"/>
    <w:basedOn w:val="57"/>
    <w:qFormat/>
    <w:uiPriority w:val="99"/>
    <w:tblStylePr w:type="firstRow">
      <w:rPr>
        <w:b/>
        <w:color w:val="404040"/>
      </w:rPr>
      <w:tcPr>
        <w:tcBorders>
          <w:top w:val="nil"/>
          <w:left w:val="nil"/>
          <w:bottom w:val="single" w:color="4EA72E" w:themeColor="accent6" w:sz="4" w:space="0"/>
          <w:right w:val="nil"/>
        </w:tcBorders>
      </w:tcPr>
    </w:tblStylePr>
    <w:tblStylePr w:type="lastRow">
      <w:rPr>
        <w:b/>
        <w:color w:val="404040"/>
      </w:rPr>
      <w:tcPr>
        <w:tcBorders>
          <w:top w:val="single" w:color="4EA72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FEEC4" w:themeColor="accent6" w:themeTint="40" w:fill="CFEEC4" w:themeFill="accent6" w:themeFillTint="40"/>
      </w:tcPr>
    </w:tblStylePr>
    <w:tblStylePr w:type="band1Horz">
      <w:tcPr>
        <w:shd w:val="clear" w:color="CFEEC4" w:themeColor="accent6" w:themeTint="40" w:fill="CFEEC4" w:themeFill="accent6" w:themeFillTint="40"/>
      </w:tcPr>
    </w:tblStylePr>
  </w:style>
  <w:style w:type="table" w:customStyle="1" w:styleId="159">
    <w:name w:val="清单表 21"/>
    <w:basedOn w:val="57"/>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0">
    <w:name w:val="List Table 2 - Accent 1"/>
    <w:basedOn w:val="57"/>
    <w:qFormat/>
    <w:uiPriority w:val="99"/>
    <w:tblPr>
      <w:tblBorders>
        <w:top w:val="single" w:color="50B5E2" w:themeColor="accent1" w:themeTint="90" w:sz="4" w:space="0"/>
        <w:bottom w:val="single" w:color="50B5E2" w:themeColor="accent1" w:themeTint="90" w:sz="4" w:space="0"/>
        <w:insideH w:val="single" w:color="50B5E2" w:themeColor="accent1" w:themeTint="90" w:sz="4" w:space="0"/>
      </w:tblBorders>
    </w:tblPr>
    <w:tblStylePr w:type="firstRow">
      <w:rPr>
        <w:rFonts w:ascii="Arial" w:hAnsi="Arial"/>
        <w:b/>
        <w:color w:val="404040"/>
        <w:sz w:val="22"/>
      </w:rPr>
      <w:tcPr>
        <w:tcBorders>
          <w:top w:val="single" w:color="50B5E2" w:themeColor="accent1" w:themeTint="90" w:sz="4" w:space="0"/>
          <w:left w:val="nil"/>
          <w:bottom w:val="single" w:color="50B5E2" w:themeColor="accent1" w:themeTint="90" w:sz="4" w:space="0"/>
          <w:right w:val="nil"/>
        </w:tcBorders>
      </w:tcPr>
    </w:tblStylePr>
    <w:tblStylePr w:type="lastRow">
      <w:rPr>
        <w:rFonts w:ascii="Arial" w:hAnsi="Arial"/>
        <w:b/>
        <w:color w:val="404040"/>
        <w:sz w:val="22"/>
      </w:rPr>
      <w:tcPr>
        <w:tcBorders>
          <w:top w:val="single" w:color="50B5E2" w:themeColor="accent1" w:themeTint="90" w:sz="4" w:space="0"/>
          <w:left w:val="nil"/>
          <w:bottom w:val="single" w:color="50B5E2"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1DEF2" w:themeColor="accent1" w:themeTint="40" w:fill="B1DEF2" w:themeFill="accent1" w:themeFillTint="40"/>
      </w:tcPr>
    </w:tblStylePr>
    <w:tblStylePr w:type="band1Horz">
      <w:rPr>
        <w:rFonts w:ascii="Arial" w:hAnsi="Arial"/>
        <w:color w:val="404040"/>
        <w:sz w:val="22"/>
      </w:rPr>
      <w:tcPr>
        <w:shd w:val="clear" w:color="B1DEF2" w:themeColor="accent1" w:themeTint="40" w:fill="B1DEF2" w:themeFill="accent1" w:themeFillTint="40"/>
      </w:tcPr>
    </w:tblStylePr>
  </w:style>
  <w:style w:type="table" w:customStyle="1" w:styleId="161">
    <w:name w:val="List Table 2 - Accent 2"/>
    <w:basedOn w:val="57"/>
    <w:qFormat/>
    <w:uiPriority w:val="99"/>
    <w:tblPr>
      <w:tblBorders>
        <w:top w:val="single" w:color="F2AE8B" w:themeColor="accent2" w:themeTint="90" w:sz="4" w:space="0"/>
        <w:bottom w:val="single" w:color="F2AE8B" w:themeColor="accent2" w:themeTint="90" w:sz="4" w:space="0"/>
        <w:insideH w:val="single" w:color="F2AE8B" w:themeColor="accent2" w:themeTint="90" w:sz="4" w:space="0"/>
      </w:tblBorders>
    </w:tblPr>
    <w:tblStylePr w:type="firstRow">
      <w:rPr>
        <w:rFonts w:ascii="Arial" w:hAnsi="Arial"/>
        <w:b/>
        <w:color w:val="404040"/>
        <w:sz w:val="22"/>
      </w:rPr>
      <w:tcPr>
        <w:tcBorders>
          <w:top w:val="single" w:color="F2AE8B" w:themeColor="accent2" w:themeTint="90" w:sz="4" w:space="0"/>
          <w:left w:val="nil"/>
          <w:bottom w:val="single" w:color="F2AE8B" w:themeColor="accent2" w:themeTint="90" w:sz="4" w:space="0"/>
          <w:right w:val="nil"/>
        </w:tcBorders>
      </w:tcPr>
    </w:tblStylePr>
    <w:tblStylePr w:type="lastRow">
      <w:rPr>
        <w:rFonts w:ascii="Arial" w:hAnsi="Arial"/>
        <w:b/>
        <w:color w:val="404040"/>
        <w:sz w:val="22"/>
      </w:rPr>
      <w:tcPr>
        <w:tcBorders>
          <w:top w:val="single" w:color="F2AE8B" w:themeColor="accent2" w:themeTint="90" w:sz="4" w:space="0"/>
          <w:left w:val="nil"/>
          <w:bottom w:val="single" w:color="F2AE8B"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9DBCB" w:themeColor="accent2" w:themeTint="40" w:fill="F9DBCB" w:themeFill="accent2" w:themeFillTint="40"/>
      </w:tcPr>
    </w:tblStylePr>
    <w:tblStylePr w:type="band1Horz">
      <w:rPr>
        <w:rFonts w:ascii="Arial" w:hAnsi="Arial"/>
        <w:color w:val="404040"/>
        <w:sz w:val="22"/>
      </w:rPr>
      <w:tcPr>
        <w:shd w:val="clear" w:color="F9DBCB" w:themeColor="accent2" w:themeTint="40" w:fill="F9DBCB" w:themeFill="accent2" w:themeFillTint="40"/>
      </w:tcPr>
    </w:tblStylePr>
  </w:style>
  <w:style w:type="table" w:customStyle="1" w:styleId="162">
    <w:name w:val="List Table 2 - Accent 3"/>
    <w:basedOn w:val="57"/>
    <w:qFormat/>
    <w:uiPriority w:val="99"/>
    <w:tblPr>
      <w:tblBorders>
        <w:top w:val="single" w:color="51D663" w:themeColor="accent3" w:themeTint="90" w:sz="4" w:space="0"/>
        <w:bottom w:val="single" w:color="51D663" w:themeColor="accent3" w:themeTint="90" w:sz="4" w:space="0"/>
        <w:insideH w:val="single" w:color="51D663" w:themeColor="accent3" w:themeTint="90" w:sz="4" w:space="0"/>
      </w:tblBorders>
    </w:tblPr>
    <w:tblStylePr w:type="firstRow">
      <w:rPr>
        <w:rFonts w:ascii="Arial" w:hAnsi="Arial"/>
        <w:b/>
        <w:color w:val="404040"/>
        <w:sz w:val="22"/>
      </w:rPr>
      <w:tcPr>
        <w:tcBorders>
          <w:top w:val="single" w:color="51D663" w:themeColor="accent3" w:themeTint="90" w:sz="4" w:space="0"/>
          <w:left w:val="nil"/>
          <w:bottom w:val="single" w:color="51D663" w:themeColor="accent3" w:themeTint="90" w:sz="4" w:space="0"/>
          <w:right w:val="nil"/>
        </w:tcBorders>
      </w:tcPr>
    </w:tblStylePr>
    <w:tblStylePr w:type="lastRow">
      <w:rPr>
        <w:rFonts w:ascii="Arial" w:hAnsi="Arial"/>
        <w:b/>
        <w:color w:val="404040"/>
        <w:sz w:val="22"/>
      </w:rPr>
      <w:tcPr>
        <w:tcBorders>
          <w:top w:val="single" w:color="51D663" w:themeColor="accent3" w:themeTint="90" w:sz="4" w:space="0"/>
          <w:left w:val="nil"/>
          <w:bottom w:val="single" w:color="51D663"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2EDBA" w:themeColor="accent3" w:themeTint="40" w:fill="B2EDBA" w:themeFill="accent3" w:themeFillTint="40"/>
      </w:tcPr>
    </w:tblStylePr>
    <w:tblStylePr w:type="band1Horz">
      <w:rPr>
        <w:rFonts w:ascii="Arial" w:hAnsi="Arial"/>
        <w:color w:val="404040"/>
        <w:sz w:val="22"/>
      </w:rPr>
      <w:tcPr>
        <w:shd w:val="clear" w:color="B2EDBA" w:themeColor="accent3" w:themeTint="40" w:fill="B2EDBA" w:themeFill="accent3" w:themeFillTint="40"/>
      </w:tcPr>
    </w:tblStylePr>
  </w:style>
  <w:style w:type="table" w:customStyle="1" w:styleId="163">
    <w:name w:val="List Table 2 - Accent 4"/>
    <w:basedOn w:val="57"/>
    <w:qFormat/>
    <w:uiPriority w:val="99"/>
    <w:tblPr>
      <w:tblBorders>
        <w:top w:val="single" w:color="6ACEF4" w:themeColor="accent4" w:themeTint="90" w:sz="4" w:space="0"/>
        <w:bottom w:val="single" w:color="6ACEF4" w:themeColor="accent4" w:themeTint="90" w:sz="4" w:space="0"/>
        <w:insideH w:val="single" w:color="6ACEF4" w:themeColor="accent4" w:themeTint="90" w:sz="4" w:space="0"/>
      </w:tblBorders>
    </w:tblPr>
    <w:tblStylePr w:type="firstRow">
      <w:rPr>
        <w:rFonts w:ascii="Arial" w:hAnsi="Arial"/>
        <w:b/>
        <w:color w:val="404040"/>
        <w:sz w:val="22"/>
      </w:rPr>
      <w:tcPr>
        <w:tcBorders>
          <w:top w:val="single" w:color="6ACEF4" w:themeColor="accent4" w:themeTint="90" w:sz="4" w:space="0"/>
          <w:left w:val="nil"/>
          <w:bottom w:val="single" w:color="6ACEF4" w:themeColor="accent4" w:themeTint="90" w:sz="4" w:space="0"/>
          <w:right w:val="nil"/>
        </w:tcBorders>
      </w:tcPr>
    </w:tblStylePr>
    <w:tblStylePr w:type="lastRow">
      <w:rPr>
        <w:rFonts w:ascii="Arial" w:hAnsi="Arial"/>
        <w:b/>
        <w:color w:val="404040"/>
        <w:sz w:val="22"/>
      </w:rPr>
      <w:tcPr>
        <w:tcBorders>
          <w:top w:val="single" w:color="6ACEF4" w:themeColor="accent4" w:themeTint="90" w:sz="4" w:space="0"/>
          <w:left w:val="nil"/>
          <w:bottom w:val="single" w:color="6ACEF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CE9FA" w:themeColor="accent4" w:themeTint="40" w:fill="BCE9FA" w:themeFill="accent4" w:themeFillTint="40"/>
      </w:tcPr>
    </w:tblStylePr>
    <w:tblStylePr w:type="band1Horz">
      <w:rPr>
        <w:rFonts w:ascii="Arial" w:hAnsi="Arial"/>
        <w:color w:val="404040"/>
        <w:sz w:val="22"/>
      </w:rPr>
      <w:tcPr>
        <w:shd w:val="clear" w:color="BCE9FA" w:themeColor="accent4" w:themeTint="40" w:fill="BCE9FA" w:themeFill="accent4" w:themeFillTint="40"/>
      </w:tcPr>
    </w:tblStylePr>
  </w:style>
  <w:style w:type="table" w:customStyle="1" w:styleId="164">
    <w:name w:val="List Table 2 - Accent 5"/>
    <w:basedOn w:val="57"/>
    <w:qFormat/>
    <w:uiPriority w:val="99"/>
    <w:tblPr>
      <w:tblBorders>
        <w:top w:val="single" w:color="DA76CF" w:themeColor="accent5" w:themeTint="90" w:sz="4" w:space="0"/>
        <w:bottom w:val="single" w:color="DA76CF" w:themeColor="accent5" w:themeTint="90" w:sz="4" w:space="0"/>
        <w:insideH w:val="single" w:color="DA76CF" w:themeColor="accent5" w:themeTint="90" w:sz="4" w:space="0"/>
      </w:tblBorders>
    </w:tblPr>
    <w:tblStylePr w:type="firstRow">
      <w:rPr>
        <w:rFonts w:ascii="Arial" w:hAnsi="Arial"/>
        <w:b/>
        <w:color w:val="404040"/>
        <w:sz w:val="22"/>
      </w:rPr>
      <w:tcPr>
        <w:tcBorders>
          <w:top w:val="single" w:color="DA76CF" w:themeColor="accent5" w:themeTint="90" w:sz="4" w:space="0"/>
          <w:left w:val="nil"/>
          <w:bottom w:val="single" w:color="DA76CF" w:themeColor="accent5" w:themeTint="90" w:sz="4" w:space="0"/>
          <w:right w:val="nil"/>
        </w:tcBorders>
      </w:tcPr>
    </w:tblStylePr>
    <w:tblStylePr w:type="lastRow">
      <w:rPr>
        <w:rFonts w:ascii="Arial" w:hAnsi="Arial"/>
        <w:b/>
        <w:color w:val="404040"/>
        <w:sz w:val="22"/>
      </w:rPr>
      <w:tcPr>
        <w:tcBorders>
          <w:top w:val="single" w:color="DA76CF" w:themeColor="accent5" w:themeTint="90" w:sz="4" w:space="0"/>
          <w:left w:val="nil"/>
          <w:bottom w:val="single" w:color="DA76CF"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EC2E9" w:themeColor="accent5" w:themeTint="40" w:fill="EEC2E9" w:themeFill="accent5" w:themeFillTint="40"/>
      </w:tcPr>
    </w:tblStylePr>
    <w:tblStylePr w:type="band1Horz">
      <w:rPr>
        <w:rFonts w:ascii="Arial" w:hAnsi="Arial"/>
        <w:color w:val="404040"/>
        <w:sz w:val="22"/>
      </w:rPr>
      <w:tcPr>
        <w:shd w:val="clear" w:color="EEC2E9" w:themeColor="accent5" w:themeTint="40" w:fill="EEC2E9" w:themeFill="accent5" w:themeFillTint="40"/>
      </w:tcPr>
    </w:tblStylePr>
  </w:style>
  <w:style w:type="table" w:customStyle="1" w:styleId="165">
    <w:name w:val="List Table 2 - Accent 6"/>
    <w:basedOn w:val="57"/>
    <w:qFormat/>
    <w:uiPriority w:val="99"/>
    <w:tblPr>
      <w:tblBorders>
        <w:top w:val="single" w:color="94DA7B" w:themeColor="accent6" w:themeTint="90" w:sz="4" w:space="0"/>
        <w:bottom w:val="single" w:color="94DA7B" w:themeColor="accent6" w:themeTint="90" w:sz="4" w:space="0"/>
        <w:insideH w:val="single" w:color="94DA7B" w:themeColor="accent6" w:themeTint="90" w:sz="4" w:space="0"/>
      </w:tblBorders>
    </w:tblPr>
    <w:tblStylePr w:type="firstRow">
      <w:rPr>
        <w:rFonts w:ascii="Arial" w:hAnsi="Arial"/>
        <w:b/>
        <w:color w:val="404040"/>
        <w:sz w:val="22"/>
      </w:rPr>
      <w:tcPr>
        <w:tcBorders>
          <w:top w:val="single" w:color="94DA7B" w:themeColor="accent6" w:themeTint="90" w:sz="4" w:space="0"/>
          <w:left w:val="nil"/>
          <w:bottom w:val="single" w:color="94DA7B" w:themeColor="accent6" w:themeTint="90" w:sz="4" w:space="0"/>
          <w:right w:val="nil"/>
        </w:tcBorders>
      </w:tcPr>
    </w:tblStylePr>
    <w:tblStylePr w:type="lastRow">
      <w:rPr>
        <w:rFonts w:ascii="Arial" w:hAnsi="Arial"/>
        <w:b/>
        <w:color w:val="404040"/>
        <w:sz w:val="22"/>
      </w:rPr>
      <w:tcPr>
        <w:tcBorders>
          <w:top w:val="single" w:color="94DA7B" w:themeColor="accent6" w:themeTint="90" w:sz="4" w:space="0"/>
          <w:left w:val="nil"/>
          <w:bottom w:val="single" w:color="94DA7B"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FEEC4" w:themeColor="accent6" w:themeTint="40" w:fill="CFEEC4" w:themeFill="accent6" w:themeFillTint="40"/>
      </w:tcPr>
    </w:tblStylePr>
    <w:tblStylePr w:type="band1Horz">
      <w:rPr>
        <w:rFonts w:ascii="Arial" w:hAnsi="Arial"/>
        <w:color w:val="404040"/>
        <w:sz w:val="22"/>
      </w:rPr>
      <w:tcPr>
        <w:shd w:val="clear" w:color="CFEEC4" w:themeColor="accent6" w:themeTint="40" w:fill="CFEEC4" w:themeFill="accent6" w:themeFillTint="40"/>
      </w:tcPr>
    </w:tblStylePr>
  </w:style>
  <w:style w:type="table" w:customStyle="1" w:styleId="166">
    <w:name w:val="清单表 31"/>
    <w:basedOn w:val="5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67">
    <w:name w:val="List Table 3 - Accent 1"/>
    <w:basedOn w:val="57"/>
    <w:qFormat/>
    <w:uiPriority w:val="99"/>
    <w:tblPr>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rFonts w:ascii="Arial" w:hAnsi="Arial"/>
        <w:b/>
        <w:color w:val="FFFFFF"/>
        <w:sz w:val="22"/>
      </w:r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156082" w:themeColor="accent1" w:sz="4" w:space="0"/>
          <w:right w:val="single" w:color="156082" w:themeColor="accent1" w:sz="4" w:space="0"/>
        </w:tcBorders>
      </w:tcPr>
    </w:tblStylePr>
    <w:tblStylePr w:type="band1Horz">
      <w:rPr>
        <w:rFonts w:ascii="Arial" w:hAnsi="Arial"/>
        <w:color w:val="404040"/>
        <w:sz w:val="22"/>
      </w:rPr>
      <w:tcPr>
        <w:tcBorders>
          <w:top w:val="single" w:color="156082" w:themeColor="accent1" w:sz="4" w:space="0"/>
          <w:bottom w:val="single" w:color="156082" w:themeColor="accent1" w:sz="4" w:space="0"/>
        </w:tcBorders>
      </w:tcPr>
    </w:tblStylePr>
  </w:style>
  <w:style w:type="table" w:customStyle="1" w:styleId="168">
    <w:name w:val="List Table 3 - Accent 2"/>
    <w:basedOn w:val="57"/>
    <w:qFormat/>
    <w:uiPriority w:val="99"/>
    <w:tblPr>
      <w:tblBorders>
        <w:top w:val="single" w:color="F1AA85" w:themeColor="accent2" w:themeTint="97" w:sz="4" w:space="0"/>
        <w:left w:val="single" w:color="F1AA85" w:themeColor="accent2" w:themeTint="97" w:sz="4" w:space="0"/>
        <w:bottom w:val="single" w:color="F1AA85" w:themeColor="accent2" w:themeTint="97" w:sz="4" w:space="0"/>
        <w:right w:val="single" w:color="F1AA85" w:themeColor="accent2" w:themeTint="97" w:sz="4" w:space="0"/>
      </w:tblBorders>
    </w:tblPr>
    <w:tblStylePr w:type="firstRow">
      <w:rPr>
        <w:rFonts w:ascii="Arial" w:hAnsi="Arial"/>
        <w:b/>
        <w:color w:val="FFFFFF"/>
        <w:sz w:val="22"/>
      </w:rPr>
      <w:tcPr>
        <w:shd w:val="clear" w:color="F1AA85" w:themeColor="accent2" w:themeTint="97" w:fill="F1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1AA85" w:themeColor="accent2" w:themeTint="97" w:sz="4" w:space="0"/>
          <w:right w:val="single" w:color="F1AA85" w:themeColor="accent2" w:themeTint="97" w:sz="4" w:space="0"/>
        </w:tcBorders>
      </w:tcPr>
    </w:tblStylePr>
    <w:tblStylePr w:type="band1Horz">
      <w:rPr>
        <w:rFonts w:ascii="Arial" w:hAnsi="Arial"/>
        <w:color w:val="404040"/>
        <w:sz w:val="22"/>
      </w:rPr>
      <w:tcPr>
        <w:tcBorders>
          <w:top w:val="single" w:color="F1AA85" w:themeColor="accent2" w:themeTint="97" w:sz="4" w:space="0"/>
          <w:bottom w:val="single" w:color="F1AA85" w:themeColor="accent2" w:themeTint="97" w:sz="4" w:space="0"/>
        </w:tcBorders>
      </w:tcPr>
    </w:tblStylePr>
  </w:style>
  <w:style w:type="table" w:customStyle="1" w:styleId="169">
    <w:name w:val="List Table 3 - Accent 3"/>
    <w:basedOn w:val="57"/>
    <w:qFormat/>
    <w:uiPriority w:val="99"/>
    <w:tblPr>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Pr>
    <w:tblStylePr w:type="firstRow">
      <w:rPr>
        <w:rFonts w:ascii="Arial" w:hAnsi="Arial"/>
        <w:b/>
        <w:color w:val="FFFFFF"/>
        <w:sz w:val="22"/>
      </w:r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D45B" w:themeColor="accent3" w:themeTint="98" w:sz="4" w:space="0"/>
          <w:right w:val="single" w:color="48D45B" w:themeColor="accent3" w:themeTint="98" w:sz="4" w:space="0"/>
        </w:tcBorders>
      </w:tcPr>
    </w:tblStylePr>
    <w:tblStylePr w:type="band1Horz">
      <w:rPr>
        <w:rFonts w:ascii="Arial" w:hAnsi="Arial"/>
        <w:color w:val="404040"/>
        <w:sz w:val="22"/>
      </w:rPr>
      <w:tcPr>
        <w:tcBorders>
          <w:top w:val="single" w:color="48D45B" w:themeColor="accent3" w:themeTint="98" w:sz="4" w:space="0"/>
          <w:bottom w:val="single" w:color="48D45B" w:themeColor="accent3" w:themeTint="98" w:sz="4" w:space="0"/>
        </w:tcBorders>
      </w:tcPr>
    </w:tblStylePr>
  </w:style>
  <w:style w:type="table" w:customStyle="1" w:styleId="170">
    <w:name w:val="List Table 3 - Accent 4"/>
    <w:basedOn w:val="57"/>
    <w:qFormat/>
    <w:uiPriority w:val="99"/>
    <w:tblPr>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Pr>
    <w:tblStylePr w:type="firstRow">
      <w:rPr>
        <w:rFonts w:ascii="Arial" w:hAnsi="Arial"/>
        <w:b/>
        <w:color w:val="FFFFFF"/>
        <w:sz w:val="22"/>
      </w:r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FCAF3" w:themeColor="accent4" w:themeTint="9A" w:sz="4" w:space="0"/>
          <w:right w:val="single" w:color="5FCAF3" w:themeColor="accent4" w:themeTint="9A" w:sz="4" w:space="0"/>
        </w:tcBorders>
      </w:tcPr>
    </w:tblStylePr>
    <w:tblStylePr w:type="band1Horz">
      <w:rPr>
        <w:rFonts w:ascii="Arial" w:hAnsi="Arial"/>
        <w:color w:val="404040"/>
        <w:sz w:val="22"/>
      </w:rPr>
      <w:tcPr>
        <w:tcBorders>
          <w:top w:val="single" w:color="5FCAF3" w:themeColor="accent4" w:themeTint="9A" w:sz="4" w:space="0"/>
          <w:bottom w:val="single" w:color="5FCAF3" w:themeColor="accent4" w:themeTint="9A" w:sz="4" w:space="0"/>
        </w:tcBorders>
      </w:tcPr>
    </w:tblStylePr>
  </w:style>
  <w:style w:type="table" w:customStyle="1" w:styleId="171">
    <w:name w:val="List Table 3 - Accent 5"/>
    <w:basedOn w:val="57"/>
    <w:qFormat/>
    <w:uiPriority w:val="99"/>
    <w:tblPr>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Pr>
    <w:tblStylePr w:type="firstRow">
      <w:rPr>
        <w:rFonts w:ascii="Arial" w:hAnsi="Arial"/>
        <w:b/>
        <w:color w:val="FFFFFF"/>
        <w:sz w:val="22"/>
      </w:r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76CCB" w:themeColor="accent5" w:themeTint="9A" w:sz="4" w:space="0"/>
          <w:right w:val="single" w:color="D76CCB" w:themeColor="accent5" w:themeTint="9A" w:sz="4" w:space="0"/>
        </w:tcBorders>
      </w:tcPr>
    </w:tblStylePr>
    <w:tblStylePr w:type="band1Horz">
      <w:rPr>
        <w:rFonts w:ascii="Arial" w:hAnsi="Arial"/>
        <w:color w:val="404040"/>
        <w:sz w:val="22"/>
      </w:rPr>
      <w:tcPr>
        <w:tcBorders>
          <w:top w:val="single" w:color="D76CCB" w:themeColor="accent5" w:themeTint="9A" w:sz="4" w:space="0"/>
          <w:bottom w:val="single" w:color="D76CCB" w:themeColor="accent5" w:themeTint="9A" w:sz="4" w:space="0"/>
        </w:tcBorders>
      </w:tcPr>
    </w:tblStylePr>
  </w:style>
  <w:style w:type="table" w:customStyle="1" w:styleId="172">
    <w:name w:val="List Table 3 - Accent 6"/>
    <w:basedOn w:val="57"/>
    <w:qFormat/>
    <w:uiPriority w:val="99"/>
    <w:tblPr>
      <w:tblBorders>
        <w:top w:val="single" w:color="8ED874" w:themeColor="accent6" w:themeTint="98" w:sz="4" w:space="0"/>
        <w:left w:val="single" w:color="8ED874" w:themeColor="accent6" w:themeTint="98" w:sz="4" w:space="0"/>
        <w:bottom w:val="single" w:color="8ED874" w:themeColor="accent6" w:themeTint="98" w:sz="4" w:space="0"/>
        <w:right w:val="single" w:color="8ED874" w:themeColor="accent6" w:themeTint="98" w:sz="4" w:space="0"/>
      </w:tblBorders>
    </w:tblPr>
    <w:tblStylePr w:type="firstRow">
      <w:rPr>
        <w:rFonts w:ascii="Arial" w:hAnsi="Arial"/>
        <w:b/>
        <w:color w:val="FFFFFF"/>
        <w:sz w:val="22"/>
      </w:rPr>
      <w:tcPr>
        <w:shd w:val="clear" w:color="8ED874" w:themeColor="accent6" w:themeTint="98" w:fill="8ED874"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D874" w:themeColor="accent6" w:themeTint="98" w:sz="4" w:space="0"/>
          <w:right w:val="single" w:color="8ED874" w:themeColor="accent6" w:themeTint="98" w:sz="4" w:space="0"/>
        </w:tcBorders>
      </w:tcPr>
    </w:tblStylePr>
    <w:tblStylePr w:type="band1Horz">
      <w:rPr>
        <w:rFonts w:ascii="Arial" w:hAnsi="Arial"/>
        <w:color w:val="404040"/>
        <w:sz w:val="22"/>
      </w:rPr>
      <w:tcPr>
        <w:tcBorders>
          <w:top w:val="single" w:color="8ED874" w:themeColor="accent6" w:themeTint="98" w:sz="4" w:space="0"/>
          <w:bottom w:val="single" w:color="8ED874" w:themeColor="accent6" w:themeTint="98" w:sz="4" w:space="0"/>
        </w:tcBorders>
      </w:tcPr>
    </w:tblStylePr>
  </w:style>
  <w:style w:type="table" w:customStyle="1" w:styleId="173">
    <w:name w:val="清单表 41"/>
    <w:basedOn w:val="5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74">
    <w:name w:val="List Table 4 - Accent 1"/>
    <w:basedOn w:val="57"/>
    <w:qFormat/>
    <w:uiPriority w:val="99"/>
    <w:tblPr>
      <w:tblBorders>
        <w:top w:val="single" w:color="50B5E2" w:themeColor="accent1" w:themeTint="90" w:sz="4" w:space="0"/>
        <w:left w:val="single" w:color="50B5E2" w:themeColor="accent1" w:themeTint="90" w:sz="4" w:space="0"/>
        <w:bottom w:val="single" w:color="50B5E2" w:themeColor="accent1" w:themeTint="90" w:sz="4" w:space="0"/>
        <w:right w:val="single" w:color="50B5E2" w:themeColor="accent1" w:themeTint="90" w:sz="4" w:space="0"/>
        <w:insideH w:val="single" w:color="50B5E2" w:themeColor="accent1" w:themeTint="90" w:sz="4" w:space="0"/>
      </w:tblBorders>
    </w:tblPr>
    <w:tblStylePr w:type="firstRow">
      <w:rPr>
        <w:rFonts w:ascii="Arial" w:hAnsi="Arial"/>
        <w:b/>
        <w:color w:val="FFFFFF"/>
        <w:sz w:val="22"/>
      </w:r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1DEF2" w:themeColor="accent1" w:themeTint="40" w:fill="B1DEF2" w:themeFill="accent1" w:themeFillTint="40"/>
      </w:tcPr>
    </w:tblStylePr>
    <w:tblStylePr w:type="band1Horz">
      <w:rPr>
        <w:rFonts w:ascii="Arial" w:hAnsi="Arial"/>
        <w:color w:val="404040"/>
        <w:sz w:val="22"/>
      </w:rPr>
      <w:tcPr>
        <w:shd w:val="clear" w:color="B1DEF2" w:themeColor="accent1" w:themeTint="40" w:fill="B1DEF2" w:themeFill="accent1" w:themeFillTint="40"/>
      </w:tcPr>
    </w:tblStylePr>
  </w:style>
  <w:style w:type="table" w:customStyle="1" w:styleId="175">
    <w:name w:val="List Table 4 - Accent 2"/>
    <w:basedOn w:val="57"/>
    <w:qFormat/>
    <w:uiPriority w:val="99"/>
    <w:tblPr>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Pr>
    <w:tblStylePr w:type="firstRow">
      <w:rPr>
        <w:rFonts w:ascii="Arial" w:hAnsi="Arial"/>
        <w:b/>
        <w:color w:val="FFFFFF"/>
        <w:sz w:val="22"/>
      </w:r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BCB" w:themeColor="accent2" w:themeTint="40" w:fill="F9DBCB" w:themeFill="accent2" w:themeFillTint="40"/>
      </w:tcPr>
    </w:tblStylePr>
    <w:tblStylePr w:type="band1Horz">
      <w:rPr>
        <w:rFonts w:ascii="Arial" w:hAnsi="Arial"/>
        <w:color w:val="404040"/>
        <w:sz w:val="22"/>
      </w:rPr>
      <w:tcPr>
        <w:shd w:val="clear" w:color="F9DBCB" w:themeColor="accent2" w:themeTint="40" w:fill="F9DBCB" w:themeFill="accent2" w:themeFillTint="40"/>
      </w:tcPr>
    </w:tblStylePr>
  </w:style>
  <w:style w:type="table" w:customStyle="1" w:styleId="176">
    <w:name w:val="List Table 4 - Accent 3"/>
    <w:basedOn w:val="57"/>
    <w:qFormat/>
    <w:uiPriority w:val="99"/>
    <w:tblPr>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Pr>
    <w:tblStylePr w:type="firstRow">
      <w:rPr>
        <w:rFonts w:ascii="Arial" w:hAnsi="Arial"/>
        <w:b/>
        <w:color w:val="FFFFFF"/>
        <w:sz w:val="22"/>
      </w:r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2EDBA" w:themeColor="accent3" w:themeTint="40" w:fill="B2EDBA" w:themeFill="accent3" w:themeFillTint="40"/>
      </w:tcPr>
    </w:tblStylePr>
    <w:tblStylePr w:type="band1Horz">
      <w:rPr>
        <w:rFonts w:ascii="Arial" w:hAnsi="Arial"/>
        <w:color w:val="404040"/>
        <w:sz w:val="22"/>
      </w:rPr>
      <w:tcPr>
        <w:shd w:val="clear" w:color="B2EDBA" w:themeColor="accent3" w:themeTint="40" w:fill="B2EDBA" w:themeFill="accent3" w:themeFillTint="40"/>
      </w:tcPr>
    </w:tblStylePr>
  </w:style>
  <w:style w:type="table" w:customStyle="1" w:styleId="177">
    <w:name w:val="List Table 4 - Accent 4"/>
    <w:basedOn w:val="57"/>
    <w:qFormat/>
    <w:uiPriority w:val="99"/>
    <w:tblPr>
      <w:tblBorders>
        <w:top w:val="single" w:color="6ACEF4" w:themeColor="accent4" w:themeTint="90" w:sz="4" w:space="0"/>
        <w:left w:val="single" w:color="6ACEF4" w:themeColor="accent4" w:themeTint="90" w:sz="4" w:space="0"/>
        <w:bottom w:val="single" w:color="6ACEF4" w:themeColor="accent4" w:themeTint="90" w:sz="4" w:space="0"/>
        <w:right w:val="single" w:color="6ACEF4" w:themeColor="accent4" w:themeTint="90" w:sz="4" w:space="0"/>
        <w:insideH w:val="single" w:color="6ACEF4" w:themeColor="accent4" w:themeTint="90" w:sz="4" w:space="0"/>
      </w:tblBorders>
    </w:tblPr>
    <w:tblStylePr w:type="firstRow">
      <w:rPr>
        <w:rFonts w:ascii="Arial" w:hAnsi="Arial"/>
        <w:b/>
        <w:color w:val="FFFFFF"/>
        <w:sz w:val="22"/>
      </w:r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CE9FA" w:themeColor="accent4" w:themeTint="40" w:fill="BCE9FA" w:themeFill="accent4" w:themeFillTint="40"/>
      </w:tcPr>
    </w:tblStylePr>
    <w:tblStylePr w:type="band1Horz">
      <w:rPr>
        <w:rFonts w:ascii="Arial" w:hAnsi="Arial"/>
        <w:color w:val="404040"/>
        <w:sz w:val="22"/>
      </w:rPr>
      <w:tcPr>
        <w:shd w:val="clear" w:color="BCE9FA" w:themeColor="accent4" w:themeTint="40" w:fill="BCE9FA" w:themeFill="accent4" w:themeFillTint="40"/>
      </w:tcPr>
    </w:tblStylePr>
  </w:style>
  <w:style w:type="table" w:customStyle="1" w:styleId="178">
    <w:name w:val="List Table 4 - Accent 5"/>
    <w:basedOn w:val="57"/>
    <w:qFormat/>
    <w:uiPriority w:val="99"/>
    <w:tblPr>
      <w:tblBorders>
        <w:top w:val="single" w:color="DA76CF" w:themeColor="accent5" w:themeTint="90" w:sz="4" w:space="0"/>
        <w:left w:val="single" w:color="DA76CF" w:themeColor="accent5" w:themeTint="90" w:sz="4" w:space="0"/>
        <w:bottom w:val="single" w:color="DA76CF" w:themeColor="accent5" w:themeTint="90" w:sz="4" w:space="0"/>
        <w:right w:val="single" w:color="DA76CF" w:themeColor="accent5" w:themeTint="90" w:sz="4" w:space="0"/>
        <w:insideH w:val="single" w:color="DA76CF" w:themeColor="accent5" w:themeTint="90" w:sz="4" w:space="0"/>
      </w:tblBorders>
    </w:tblPr>
    <w:tblStylePr w:type="firstRow">
      <w:rPr>
        <w:rFonts w:ascii="Arial" w:hAnsi="Arial"/>
        <w:b/>
        <w:color w:val="FFFFFF"/>
        <w:sz w:val="22"/>
      </w:r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EC2E9" w:themeColor="accent5" w:themeTint="40" w:fill="EEC2E9" w:themeFill="accent5" w:themeFillTint="40"/>
      </w:tcPr>
    </w:tblStylePr>
    <w:tblStylePr w:type="band1Horz">
      <w:rPr>
        <w:rFonts w:ascii="Arial" w:hAnsi="Arial"/>
        <w:color w:val="404040"/>
        <w:sz w:val="22"/>
      </w:rPr>
      <w:tcPr>
        <w:shd w:val="clear" w:color="EEC2E9" w:themeColor="accent5" w:themeTint="40" w:fill="EEC2E9" w:themeFill="accent5" w:themeFillTint="40"/>
      </w:tcPr>
    </w:tblStylePr>
  </w:style>
  <w:style w:type="table" w:customStyle="1" w:styleId="179">
    <w:name w:val="List Table 4 - Accent 6"/>
    <w:basedOn w:val="57"/>
    <w:qFormat/>
    <w:uiPriority w:val="99"/>
    <w:tblPr>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Pr>
    <w:tblStylePr w:type="firstRow">
      <w:rPr>
        <w:rFonts w:ascii="Arial" w:hAnsi="Arial"/>
        <w:b/>
        <w:color w:val="FFFFFF"/>
        <w:sz w:val="22"/>
      </w:r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FEEC4" w:themeColor="accent6" w:themeTint="40" w:fill="CFEEC4" w:themeFill="accent6" w:themeFillTint="40"/>
      </w:tcPr>
    </w:tblStylePr>
    <w:tblStylePr w:type="band1Horz">
      <w:rPr>
        <w:rFonts w:ascii="Arial" w:hAnsi="Arial"/>
        <w:color w:val="404040"/>
        <w:sz w:val="22"/>
      </w:rPr>
      <w:tcPr>
        <w:shd w:val="clear" w:color="CFEEC4" w:themeColor="accent6" w:themeTint="40" w:fill="CFEEC4" w:themeFill="accent6" w:themeFillTint="40"/>
      </w:tcPr>
    </w:tblStylePr>
  </w:style>
  <w:style w:type="table" w:customStyle="1" w:styleId="180">
    <w:name w:val="清单表 5 深色1"/>
    <w:basedOn w:val="57"/>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81">
    <w:name w:val="List Table 5 Dark - Accent 1"/>
    <w:basedOn w:val="57"/>
    <w:qFormat/>
    <w:uiPriority w:val="99"/>
    <w:tblPr>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156082" w:themeColor="accent1" w:sz="32" w:space="0"/>
          <w:bottom w:val="single" w:color="FFFFFF" w:themeColor="light1" w:sz="12" w:space="0"/>
        </w:tcBorders>
        <w:shd w:val="clear" w:color="156082" w:themeColor="accent1" w:fill="156082"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156082" w:themeColor="accent1" w:sz="32" w:space="0"/>
          <w:right w:val="single" w:color="FFFFFF" w:themeColor="light1" w:sz="4" w:space="0"/>
        </w:tcBorders>
      </w:tcPr>
    </w:tblStylePr>
    <w:tblStylePr w:type="lastCol">
      <w:tcPr>
        <w:tcBorders>
          <w:left w:val="single" w:color="FFFFFF" w:themeColor="light1" w:sz="4" w:space="0"/>
          <w:right w:val="single" w:color="156082" w:themeColor="accent1" w:sz="32" w:space="0"/>
        </w:tcBorders>
      </w:tcPr>
    </w:tblStylePr>
    <w:tblStylePr w:type="band1Vert">
      <w:tcPr>
        <w:tcBorders>
          <w:left w:val="single" w:color="FFFFFF" w:themeColor="light1" w:sz="4" w:space="0"/>
          <w:right w:val="single" w:color="FFFFFF" w:themeColor="light1" w:sz="4" w:space="0"/>
        </w:tcBorders>
        <w:shd w:val="clear" w:color="156082" w:themeColor="accent1" w:fill="156082"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156082" w:themeColor="accent1" w:fill="156082" w:themeFill="accent1"/>
      </w:tcPr>
    </w:tblStylePr>
    <w:tblStylePr w:type="band2Horz">
      <w:tcPr>
        <w:tcBorders>
          <w:top w:val="single" w:color="FFFFFF" w:themeColor="light1" w:sz="4" w:space="0"/>
          <w:bottom w:val="single" w:color="FFFFFF" w:themeColor="light1" w:sz="4" w:space="0"/>
        </w:tcBorders>
        <w:shd w:val="clear" w:color="156082" w:themeColor="accent1" w:fill="156082" w:themeFill="accent1"/>
      </w:tcPr>
    </w:tblStylePr>
  </w:style>
  <w:style w:type="table" w:customStyle="1" w:styleId="182">
    <w:name w:val="List Table 5 Dark - Accent 2"/>
    <w:basedOn w:val="57"/>
    <w:qFormat/>
    <w:uiPriority w:val="99"/>
    <w:tblPr>
      <w:tblBorders>
        <w:top w:val="single" w:color="F1AA85" w:themeColor="accent2" w:themeTint="97" w:sz="32" w:space="0"/>
        <w:left w:val="single" w:color="F1AA85" w:themeColor="accent2" w:themeTint="97" w:sz="32" w:space="0"/>
        <w:bottom w:val="single" w:color="F1AA85" w:themeColor="accent2" w:themeTint="97" w:sz="32" w:space="0"/>
        <w:right w:val="single" w:color="F1AA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1AA85" w:themeColor="accent2" w:themeTint="97" w:sz="32" w:space="0"/>
          <w:bottom w:val="single" w:color="FFFFFF" w:themeColor="light1" w:sz="12" w:space="0"/>
        </w:tcBorders>
        <w:shd w:val="clear" w:color="F1AA85" w:themeColor="accent2" w:themeTint="97" w:fill="F1AA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1AA85" w:themeColor="accent2" w:themeTint="97" w:sz="32" w:space="0"/>
          <w:right w:val="single" w:color="FFFFFF" w:themeColor="light1" w:sz="4" w:space="0"/>
        </w:tcBorders>
      </w:tcPr>
    </w:tblStylePr>
    <w:tblStylePr w:type="lastCol">
      <w:tcPr>
        <w:tcBorders>
          <w:left w:val="single" w:color="FFFFFF" w:themeColor="light1" w:sz="4" w:space="0"/>
          <w:right w:val="single" w:color="F1AA85" w:themeColor="accent2" w:themeTint="97" w:sz="32" w:space="0"/>
        </w:tcBorders>
      </w:tcPr>
    </w:tblStylePr>
    <w:tblStylePr w:type="band1Vert">
      <w:tcPr>
        <w:tcBorders>
          <w:left w:val="single" w:color="FFFFFF" w:themeColor="light1" w:sz="4" w:space="0"/>
          <w:right w:val="single" w:color="FFFFFF" w:themeColor="light1" w:sz="4" w:space="0"/>
        </w:tcBorders>
        <w:shd w:val="clear" w:color="F1AA85" w:themeColor="accent2" w:themeTint="97" w:fill="F1AA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1AA85" w:themeColor="accent2" w:themeTint="97" w:fill="F1AA85" w:themeFill="accent2" w:themeFillTint="97"/>
      </w:tcPr>
    </w:tblStylePr>
    <w:tblStylePr w:type="band2Horz">
      <w:tcPr>
        <w:tcBorders>
          <w:top w:val="single" w:color="FFFFFF" w:themeColor="light1" w:sz="4" w:space="0"/>
          <w:bottom w:val="single" w:color="FFFFFF" w:themeColor="light1" w:sz="4" w:space="0"/>
        </w:tcBorders>
        <w:shd w:val="clear" w:color="F1AA85" w:themeColor="accent2" w:themeTint="97" w:fill="F1AA85" w:themeFill="accent2" w:themeFillTint="97"/>
      </w:tcPr>
    </w:tblStylePr>
  </w:style>
  <w:style w:type="table" w:customStyle="1" w:styleId="183">
    <w:name w:val="List Table 5 Dark - Accent 3"/>
    <w:basedOn w:val="57"/>
    <w:qFormat/>
    <w:uiPriority w:val="99"/>
    <w:tblPr>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48D45B" w:themeColor="accent3" w:themeTint="98" w:sz="32" w:space="0"/>
          <w:bottom w:val="single" w:color="FFFFFF" w:themeColor="light1" w:sz="12" w:space="0"/>
        </w:tcBorders>
        <w:shd w:val="clear" w:color="48D45B" w:themeColor="accent3" w:themeTint="98" w:fill="48D45B"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D45B" w:themeColor="accent3" w:themeTint="98" w:sz="32" w:space="0"/>
          <w:right w:val="single" w:color="FFFFFF" w:themeColor="light1" w:sz="4" w:space="0"/>
        </w:tcBorders>
      </w:tcPr>
    </w:tblStylePr>
    <w:tblStylePr w:type="lastCol">
      <w:tcPr>
        <w:tcBorders>
          <w:left w:val="single" w:color="FFFFFF" w:themeColor="light1" w:sz="4" w:space="0"/>
          <w:right w:val="single" w:color="48D45B" w:themeColor="accent3" w:themeTint="98" w:sz="32" w:space="0"/>
        </w:tcBorders>
      </w:tcPr>
    </w:tblStylePr>
    <w:tblStylePr w:type="band1Vert">
      <w:tcPr>
        <w:tcBorders>
          <w:left w:val="single" w:color="FFFFFF" w:themeColor="light1" w:sz="4" w:space="0"/>
          <w:right w:val="single" w:color="FFFFFF" w:themeColor="light1" w:sz="4" w:space="0"/>
        </w:tcBorders>
        <w:shd w:val="clear" w:color="48D45B" w:themeColor="accent3" w:themeTint="98" w:fill="48D45B"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D45B" w:themeColor="accent3" w:themeTint="98" w:fill="48D45B" w:themeFill="accent3" w:themeFillTint="98"/>
      </w:tcPr>
    </w:tblStylePr>
    <w:tblStylePr w:type="band2Horz">
      <w:tcPr>
        <w:tcBorders>
          <w:top w:val="single" w:color="FFFFFF" w:themeColor="light1" w:sz="4" w:space="0"/>
          <w:bottom w:val="single" w:color="FFFFFF" w:themeColor="light1" w:sz="4" w:space="0"/>
        </w:tcBorders>
        <w:shd w:val="clear" w:color="48D45B" w:themeColor="accent3" w:themeTint="98" w:fill="48D45B" w:themeFill="accent3" w:themeFillTint="98"/>
      </w:tcPr>
    </w:tblStylePr>
  </w:style>
  <w:style w:type="table" w:customStyle="1" w:styleId="184">
    <w:name w:val="List Table 5 Dark - Accent 4"/>
    <w:basedOn w:val="57"/>
    <w:qFormat/>
    <w:uiPriority w:val="99"/>
    <w:tblPr>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5FCAF3" w:themeColor="accent4" w:themeTint="9A" w:sz="32" w:space="0"/>
          <w:bottom w:val="single" w:color="FFFFFF" w:themeColor="light1" w:sz="12" w:space="0"/>
        </w:tcBorders>
        <w:shd w:val="clear" w:color="5FCAF3" w:themeColor="accent4" w:themeTint="9A" w:fill="5FCAF3"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FCAF3" w:themeColor="accent4" w:themeTint="9A" w:sz="32" w:space="0"/>
          <w:right w:val="single" w:color="FFFFFF" w:themeColor="light1" w:sz="4" w:space="0"/>
        </w:tcBorders>
      </w:tcPr>
    </w:tblStylePr>
    <w:tblStylePr w:type="lastCol">
      <w:tcPr>
        <w:tcBorders>
          <w:left w:val="single" w:color="FFFFFF" w:themeColor="light1" w:sz="4" w:space="0"/>
          <w:right w:val="single" w:color="5FCAF3" w:themeColor="accent4" w:themeTint="9A" w:sz="32" w:space="0"/>
        </w:tcBorders>
      </w:tcPr>
    </w:tblStylePr>
    <w:tblStylePr w:type="band1Vert">
      <w:tcPr>
        <w:tcBorders>
          <w:left w:val="single" w:color="FFFFFF" w:themeColor="light1" w:sz="4" w:space="0"/>
          <w:right w:val="single" w:color="FFFFFF" w:themeColor="light1" w:sz="4" w:space="0"/>
        </w:tcBorders>
        <w:shd w:val="clear" w:color="5FCAF3" w:themeColor="accent4" w:themeTint="9A" w:fill="5FCAF3"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FCAF3" w:themeColor="accent4" w:themeTint="9A" w:fill="5FCAF3" w:themeFill="accent4" w:themeFillTint="9A"/>
      </w:tcPr>
    </w:tblStylePr>
    <w:tblStylePr w:type="band2Horz">
      <w:tcPr>
        <w:tcBorders>
          <w:top w:val="single" w:color="FFFFFF" w:themeColor="light1" w:sz="4" w:space="0"/>
          <w:bottom w:val="single" w:color="FFFFFF" w:themeColor="light1" w:sz="4" w:space="0"/>
        </w:tcBorders>
        <w:shd w:val="clear" w:color="5FCAF3" w:themeColor="accent4" w:themeTint="9A" w:fill="5FCAF3" w:themeFill="accent4" w:themeFillTint="9A"/>
      </w:tcPr>
    </w:tblStylePr>
  </w:style>
  <w:style w:type="table" w:customStyle="1" w:styleId="185">
    <w:name w:val="List Table 5 Dark - Accent 5"/>
    <w:basedOn w:val="57"/>
    <w:qFormat/>
    <w:uiPriority w:val="99"/>
    <w:tblPr>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D76CCB" w:themeColor="accent5" w:themeTint="9A" w:sz="32" w:space="0"/>
          <w:bottom w:val="single" w:color="FFFFFF" w:themeColor="light1" w:sz="12" w:space="0"/>
        </w:tcBorders>
        <w:shd w:val="clear" w:color="D76CCB" w:themeColor="accent5" w:themeTint="9A" w:fill="D76CC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76CCB" w:themeColor="accent5" w:themeTint="9A" w:sz="32" w:space="0"/>
          <w:right w:val="single" w:color="FFFFFF" w:themeColor="light1" w:sz="4" w:space="0"/>
        </w:tcBorders>
      </w:tcPr>
    </w:tblStylePr>
    <w:tblStylePr w:type="lastCol">
      <w:tcPr>
        <w:tcBorders>
          <w:left w:val="single" w:color="FFFFFF" w:themeColor="light1" w:sz="4" w:space="0"/>
          <w:right w:val="single" w:color="D76CCB" w:themeColor="accent5" w:themeTint="9A" w:sz="32" w:space="0"/>
        </w:tcBorders>
      </w:tcPr>
    </w:tblStylePr>
    <w:tblStylePr w:type="band1Vert">
      <w:tcPr>
        <w:tcBorders>
          <w:left w:val="single" w:color="FFFFFF" w:themeColor="light1" w:sz="4" w:space="0"/>
          <w:right w:val="single" w:color="FFFFFF" w:themeColor="light1" w:sz="4" w:space="0"/>
        </w:tcBorders>
        <w:shd w:val="clear" w:color="D76CCB" w:themeColor="accent5" w:themeTint="9A" w:fill="D76CC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76CCB" w:themeColor="accent5" w:themeTint="9A" w:fill="D76CCB" w:themeFill="accent5" w:themeFillTint="9A"/>
      </w:tcPr>
    </w:tblStylePr>
    <w:tblStylePr w:type="band2Horz">
      <w:tcPr>
        <w:tcBorders>
          <w:top w:val="single" w:color="FFFFFF" w:themeColor="light1" w:sz="4" w:space="0"/>
          <w:bottom w:val="single" w:color="FFFFFF" w:themeColor="light1" w:sz="4" w:space="0"/>
        </w:tcBorders>
        <w:shd w:val="clear" w:color="D76CCB" w:themeColor="accent5" w:themeTint="9A" w:fill="D76CCB" w:themeFill="accent5" w:themeFillTint="9A"/>
      </w:tcPr>
    </w:tblStylePr>
  </w:style>
  <w:style w:type="table" w:customStyle="1" w:styleId="186">
    <w:name w:val="List Table 5 Dark - Accent 6"/>
    <w:basedOn w:val="57"/>
    <w:qFormat/>
    <w:uiPriority w:val="99"/>
    <w:tblPr>
      <w:tblBorders>
        <w:top w:val="single" w:color="8ED874" w:themeColor="accent6" w:themeTint="98" w:sz="32" w:space="0"/>
        <w:left w:val="single" w:color="8ED874" w:themeColor="accent6" w:themeTint="98" w:sz="32" w:space="0"/>
        <w:bottom w:val="single" w:color="8ED874" w:themeColor="accent6" w:themeTint="98" w:sz="32" w:space="0"/>
        <w:right w:val="single" w:color="8ED874"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8ED874" w:themeColor="accent6" w:themeTint="98" w:sz="32" w:space="0"/>
          <w:bottom w:val="single" w:color="FFFFFF" w:themeColor="light1" w:sz="12" w:space="0"/>
        </w:tcBorders>
        <w:shd w:val="clear" w:color="8ED874" w:themeColor="accent6" w:themeTint="98" w:fill="8ED874"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D874" w:themeColor="accent6" w:themeTint="98" w:sz="32" w:space="0"/>
          <w:right w:val="single" w:color="FFFFFF" w:themeColor="light1" w:sz="4" w:space="0"/>
        </w:tcBorders>
      </w:tcPr>
    </w:tblStylePr>
    <w:tblStylePr w:type="lastCol">
      <w:tcPr>
        <w:tcBorders>
          <w:left w:val="single" w:color="FFFFFF" w:themeColor="light1" w:sz="4" w:space="0"/>
          <w:right w:val="single" w:color="8ED874" w:themeColor="accent6" w:themeTint="98" w:sz="32" w:space="0"/>
        </w:tcBorders>
      </w:tcPr>
    </w:tblStylePr>
    <w:tblStylePr w:type="band1Vert">
      <w:tcPr>
        <w:tcBorders>
          <w:left w:val="single" w:color="FFFFFF" w:themeColor="light1" w:sz="4" w:space="0"/>
          <w:right w:val="single" w:color="FFFFFF" w:themeColor="light1" w:sz="4" w:space="0"/>
        </w:tcBorders>
        <w:shd w:val="clear" w:color="8ED874" w:themeColor="accent6" w:themeTint="98" w:fill="8ED874"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D874" w:themeColor="accent6" w:themeTint="98" w:fill="8ED874" w:themeFill="accent6" w:themeFillTint="98"/>
      </w:tcPr>
    </w:tblStylePr>
    <w:tblStylePr w:type="band2Horz">
      <w:tcPr>
        <w:tcBorders>
          <w:top w:val="single" w:color="FFFFFF" w:themeColor="light1" w:sz="4" w:space="0"/>
          <w:bottom w:val="single" w:color="FFFFFF" w:themeColor="light1" w:sz="4" w:space="0"/>
        </w:tcBorders>
        <w:shd w:val="clear" w:color="8ED874" w:themeColor="accent6" w:themeTint="98" w:fill="8ED874" w:themeFill="accent6" w:themeFillTint="98"/>
      </w:tcPr>
    </w:tblStylePr>
  </w:style>
  <w:style w:type="table" w:customStyle="1" w:styleId="187">
    <w:name w:val="清单表 6 彩色1"/>
    <w:basedOn w:val="57"/>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88">
    <w:name w:val="List Table 6 Colorful - Accent 1"/>
    <w:basedOn w:val="57"/>
    <w:qFormat/>
    <w:uiPriority w:val="99"/>
    <w:tblPr>
      <w:tblBorders>
        <w:top w:val="single" w:color="156082" w:themeColor="accent1" w:sz="4" w:space="0"/>
        <w:bottom w:val="single" w:color="156082" w:themeColor="accent1" w:sz="4" w:space="0"/>
      </w:tblBorders>
    </w:tblPr>
    <w:tblStylePr w:type="firstRow">
      <w:rPr>
        <w:b/>
        <w:color w:val="0C384B" w:themeColor="accent1" w:themeShade="94"/>
      </w:rPr>
      <w:tcPr>
        <w:tcBorders>
          <w:bottom w:val="single" w:color="156082" w:themeColor="accent1" w:sz="4" w:space="0"/>
        </w:tcBorders>
      </w:tcPr>
    </w:tblStylePr>
    <w:tblStylePr w:type="lastRow">
      <w:rPr>
        <w:b/>
        <w:color w:val="0C384B" w:themeColor="accent1" w:themeShade="94"/>
      </w:rPr>
      <w:tcPr>
        <w:tcBorders>
          <w:top w:val="single" w:color="156082" w:themeColor="accent1" w:sz="4" w:space="0"/>
        </w:tcBorders>
      </w:tcPr>
    </w:tblStylePr>
    <w:tblStylePr w:type="firstCol">
      <w:rPr>
        <w:b/>
        <w:color w:val="0C384B" w:themeColor="accent1" w:themeShade="94"/>
      </w:rPr>
    </w:tblStylePr>
    <w:tblStylePr w:type="lastCol">
      <w:rPr>
        <w:b/>
        <w:color w:val="0C384B" w:themeColor="accent1" w:themeShade="94"/>
      </w:rPr>
    </w:tblStylePr>
    <w:tblStylePr w:type="band1Vert">
      <w:tcPr>
        <w:shd w:val="clear" w:color="B1DEF2" w:themeColor="accent1" w:themeTint="40" w:fill="B1DEF2" w:themeFill="accent1" w:themeFillTint="40"/>
      </w:tcPr>
    </w:tblStylePr>
    <w:tblStylePr w:type="band1Horz">
      <w:rPr>
        <w:rFonts w:ascii="Arial" w:hAnsi="Arial"/>
        <w:color w:val="0C384B" w:themeColor="accent1" w:themeShade="94"/>
        <w:sz w:val="22"/>
      </w:rPr>
      <w:tcPr>
        <w:shd w:val="clear" w:color="B1DEF2" w:themeColor="accent1" w:themeTint="40" w:fill="B1DEF2" w:themeFill="accent1" w:themeFillTint="40"/>
      </w:tcPr>
    </w:tblStylePr>
    <w:tblStylePr w:type="band2Horz">
      <w:rPr>
        <w:rFonts w:ascii="Arial" w:hAnsi="Arial"/>
        <w:color w:val="0C384B" w:themeColor="accent1" w:themeShade="94"/>
        <w:sz w:val="22"/>
      </w:rPr>
    </w:tblStylePr>
  </w:style>
  <w:style w:type="table" w:customStyle="1" w:styleId="189">
    <w:name w:val="List Table 6 Colorful - Accent 2"/>
    <w:basedOn w:val="57"/>
    <w:qFormat/>
    <w:uiPriority w:val="99"/>
    <w:tblPr>
      <w:tblBorders>
        <w:top w:val="single" w:color="F1AA85" w:themeColor="accent2" w:themeTint="97" w:sz="4" w:space="0"/>
        <w:bottom w:val="single" w:color="F1AA85" w:themeColor="accent2" w:themeTint="97" w:sz="4" w:space="0"/>
      </w:tblBorders>
    </w:tblPr>
    <w:tblStylePr w:type="firstRow">
      <w:rPr>
        <w:b/>
        <w:color w:val="F2AB86" w:themeColor="accent2" w:themeTint="96"/>
        <w14:textFill>
          <w14:solidFill>
            <w14:schemeClr w14:val="accent2">
              <w14:lumMod w14:val="59000"/>
              <w14:lumOff w14:val="41000"/>
            </w14:schemeClr>
          </w14:solidFill>
        </w14:textFill>
      </w:rPr>
      <w:tcPr>
        <w:tcBorders>
          <w:bottom w:val="single" w:color="F1AA85" w:themeColor="accent2" w:themeTint="97" w:sz="4" w:space="0"/>
        </w:tcBorders>
      </w:tcPr>
    </w:tblStylePr>
    <w:tblStylePr w:type="lastRow">
      <w:rPr>
        <w:b/>
        <w:color w:val="F2AB86" w:themeColor="accent2" w:themeTint="96"/>
        <w14:textFill>
          <w14:solidFill>
            <w14:schemeClr w14:val="accent2">
              <w14:lumMod w14:val="59000"/>
              <w14:lumOff w14:val="41000"/>
            </w14:schemeClr>
          </w14:solidFill>
        </w14:textFill>
      </w:rPr>
      <w:tcPr>
        <w:tcBorders>
          <w:top w:val="single" w:color="F1AA85" w:themeColor="accent2" w:themeTint="97" w:sz="4" w:space="0"/>
        </w:tcBorders>
      </w:tcPr>
    </w:tblStylePr>
    <w:tblStylePr w:type="firstCol">
      <w:rPr>
        <w:b/>
        <w:color w:val="F2AB86" w:themeColor="accent2" w:themeTint="96"/>
        <w14:textFill>
          <w14:solidFill>
            <w14:schemeClr w14:val="accent2">
              <w14:lumMod w14:val="59000"/>
              <w14:lumOff w14:val="41000"/>
            </w14:schemeClr>
          </w14:solidFill>
        </w14:textFill>
      </w:rPr>
    </w:tblStylePr>
    <w:tblStylePr w:type="lastCol">
      <w:rPr>
        <w:b/>
        <w:color w:val="F2AB86" w:themeColor="accent2" w:themeTint="96"/>
        <w14:textFill>
          <w14:solidFill>
            <w14:schemeClr w14:val="accent2">
              <w14:lumMod w14:val="59000"/>
              <w14:lumOff w14:val="41000"/>
            </w14:schemeClr>
          </w14:solidFill>
        </w14:textFill>
      </w:rPr>
    </w:tblStylePr>
    <w:tblStylePr w:type="band1Vert">
      <w:tcPr>
        <w:shd w:val="clear" w:color="F9DBCB" w:themeColor="accent2" w:themeTint="40" w:fill="F9DBCB" w:themeFill="accent2" w:themeFillTint="40"/>
      </w:tcPr>
    </w:tblStylePr>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F9DBCB" w:themeColor="accent2" w:themeTint="40" w:fill="F9DBCB" w:themeFill="accent2" w:themeFillTint="40"/>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style>
  <w:style w:type="table" w:customStyle="1" w:styleId="190">
    <w:name w:val="List Table 6 Colorful - Accent 3"/>
    <w:basedOn w:val="57"/>
    <w:qFormat/>
    <w:uiPriority w:val="99"/>
    <w:tblPr>
      <w:tblBorders>
        <w:top w:val="single" w:color="48D45B" w:themeColor="accent3" w:themeTint="98" w:sz="4" w:space="0"/>
        <w:bottom w:val="single" w:color="48D45B" w:themeColor="accent3" w:themeTint="98" w:sz="4" w:space="0"/>
      </w:tblBorders>
    </w:tblPr>
    <w:tblStylePr w:type="firstRow">
      <w:rPr>
        <w:b/>
        <w:color w:val="47D45A" w:themeColor="accent3" w:themeTint="99"/>
        <w14:textFill>
          <w14:solidFill>
            <w14:schemeClr w14:val="accent3">
              <w14:lumMod w14:val="60000"/>
              <w14:lumOff w14:val="40000"/>
            </w14:schemeClr>
          </w14:solidFill>
        </w14:textFill>
      </w:rPr>
      <w:tcPr>
        <w:tcBorders>
          <w:bottom w:val="single" w:color="48D45B" w:themeColor="accent3" w:themeTint="98" w:sz="4" w:space="0"/>
        </w:tcBorders>
      </w:tcPr>
    </w:tblStylePr>
    <w:tblStylePr w:type="lastRow">
      <w:rPr>
        <w:b/>
        <w:color w:val="47D45A" w:themeColor="accent3" w:themeTint="99"/>
        <w14:textFill>
          <w14:solidFill>
            <w14:schemeClr w14:val="accent3">
              <w14:lumMod w14:val="60000"/>
              <w14:lumOff w14:val="40000"/>
            </w14:schemeClr>
          </w14:solidFill>
        </w14:textFill>
      </w:rPr>
      <w:tcPr>
        <w:tcBorders>
          <w:top w:val="single" w:color="48D45B" w:themeColor="accent3" w:themeTint="98" w:sz="4" w:space="0"/>
        </w:tcBorders>
      </w:tcPr>
    </w:tblStylePr>
    <w:tblStylePr w:type="firstCol">
      <w:rPr>
        <w:b/>
        <w:color w:val="47D45A" w:themeColor="accent3" w:themeTint="99"/>
        <w14:textFill>
          <w14:solidFill>
            <w14:schemeClr w14:val="accent3">
              <w14:lumMod w14:val="60000"/>
              <w14:lumOff w14:val="40000"/>
            </w14:schemeClr>
          </w14:solidFill>
        </w14:textFill>
      </w:rPr>
    </w:tblStylePr>
    <w:tblStylePr w:type="lastCol">
      <w:rPr>
        <w:b/>
        <w:color w:val="47D45A" w:themeColor="accent3" w:themeTint="99"/>
        <w14:textFill>
          <w14:solidFill>
            <w14:schemeClr w14:val="accent3">
              <w14:lumMod w14:val="60000"/>
              <w14:lumOff w14:val="40000"/>
            </w14:schemeClr>
          </w14:solidFill>
        </w14:textFill>
      </w:rPr>
    </w:tblStylePr>
    <w:tblStylePr w:type="band1Vert">
      <w:tcPr>
        <w:shd w:val="clear" w:color="B2EDBA" w:themeColor="accent3" w:themeTint="40" w:fill="B2EDBA" w:themeFill="accent3" w:themeFillTint="40"/>
      </w:tcPr>
    </w:tblStylePr>
    <w:tblStylePr w:type="band1Horz">
      <w:rPr>
        <w:rFonts w:ascii="Arial" w:hAnsi="Arial"/>
        <w:color w:val="47D45A" w:themeColor="accent3" w:themeTint="99"/>
        <w:sz w:val="22"/>
        <w14:textFill>
          <w14:solidFill>
            <w14:schemeClr w14:val="accent3">
              <w14:lumMod w14:val="60000"/>
              <w14:lumOff w14:val="40000"/>
            </w14:schemeClr>
          </w14:solidFill>
        </w14:textFill>
      </w:rPr>
      <w:tcPr>
        <w:shd w:val="clear" w:color="B2EDBA" w:themeColor="accent3" w:themeTint="40" w:fill="B2EDBA" w:themeFill="accent3" w:themeFillTint="40"/>
      </w:tcPr>
    </w:tblStylePr>
    <w:tblStylePr w:type="band2Horz">
      <w:rPr>
        <w:rFonts w:ascii="Arial" w:hAnsi="Arial"/>
        <w:color w:val="47D45A" w:themeColor="accent3" w:themeTint="99"/>
        <w:sz w:val="22"/>
        <w14:textFill>
          <w14:solidFill>
            <w14:schemeClr w14:val="accent3">
              <w14:lumMod w14:val="60000"/>
              <w14:lumOff w14:val="40000"/>
            </w14:schemeClr>
          </w14:solidFill>
        </w14:textFill>
      </w:rPr>
    </w:tblStylePr>
  </w:style>
  <w:style w:type="table" w:customStyle="1" w:styleId="191">
    <w:name w:val="List Table 6 Colorful - Accent 4"/>
    <w:basedOn w:val="57"/>
    <w:qFormat/>
    <w:uiPriority w:val="99"/>
    <w:tblPr>
      <w:tblBorders>
        <w:top w:val="single" w:color="5FCAF3" w:themeColor="accent4" w:themeTint="9A" w:sz="4" w:space="0"/>
        <w:bottom w:val="single" w:color="5FCAF3" w:themeColor="accent4" w:themeTint="9A" w:sz="4" w:space="0"/>
      </w:tblBorders>
    </w:tblPr>
    <w:tblStylePr w:type="firstRow">
      <w:rPr>
        <w:b/>
        <w:color w:val="61CBF4" w:themeColor="accent4" w:themeTint="99"/>
        <w14:textFill>
          <w14:solidFill>
            <w14:schemeClr w14:val="accent4">
              <w14:lumMod w14:val="60000"/>
              <w14:lumOff w14:val="40000"/>
            </w14:schemeClr>
          </w14:solidFill>
        </w14:textFill>
      </w:rPr>
      <w:tcPr>
        <w:tcBorders>
          <w:bottom w:val="single" w:color="5FCAF3" w:themeColor="accent4" w:themeTint="9A" w:sz="4" w:space="0"/>
        </w:tcBorders>
      </w:tcPr>
    </w:tblStylePr>
    <w:tblStylePr w:type="lastRow">
      <w:rPr>
        <w:b/>
        <w:color w:val="61CBF4" w:themeColor="accent4" w:themeTint="99"/>
        <w14:textFill>
          <w14:solidFill>
            <w14:schemeClr w14:val="accent4">
              <w14:lumMod w14:val="60000"/>
              <w14:lumOff w14:val="40000"/>
            </w14:schemeClr>
          </w14:solidFill>
        </w14:textFill>
      </w:rPr>
      <w:tcPr>
        <w:tcBorders>
          <w:top w:val="single" w:color="5FCAF3" w:themeColor="accent4" w:themeTint="9A" w:sz="4" w:space="0"/>
        </w:tcBorders>
      </w:tcPr>
    </w:tblStylePr>
    <w:tblStylePr w:type="firstCol">
      <w:rPr>
        <w:b/>
        <w:color w:val="61CBF4" w:themeColor="accent4" w:themeTint="99"/>
        <w14:textFill>
          <w14:solidFill>
            <w14:schemeClr w14:val="accent4">
              <w14:lumMod w14:val="60000"/>
              <w14:lumOff w14:val="40000"/>
            </w14:schemeClr>
          </w14:solidFill>
        </w14:textFill>
      </w:rPr>
    </w:tblStylePr>
    <w:tblStylePr w:type="lastCol">
      <w:rPr>
        <w:b/>
        <w:color w:val="61CBF4" w:themeColor="accent4" w:themeTint="99"/>
        <w14:textFill>
          <w14:solidFill>
            <w14:schemeClr w14:val="accent4">
              <w14:lumMod w14:val="60000"/>
              <w14:lumOff w14:val="40000"/>
            </w14:schemeClr>
          </w14:solidFill>
        </w14:textFill>
      </w:rPr>
    </w:tblStylePr>
    <w:tblStylePr w:type="band1Vert">
      <w:tcPr>
        <w:shd w:val="clear" w:color="BCE9FA" w:themeColor="accent4" w:themeTint="40" w:fill="BCE9FA" w:themeFill="accent4" w:themeFillTint="40"/>
      </w:tcPr>
    </w:tblStylePr>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BCE9FA" w:themeColor="accent4" w:themeTint="40" w:fill="BCE9FA" w:themeFill="accent4" w:themeFillTint="40"/>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style>
  <w:style w:type="table" w:customStyle="1" w:styleId="192">
    <w:name w:val="List Table 6 Colorful - Accent 5"/>
    <w:basedOn w:val="57"/>
    <w:qFormat/>
    <w:uiPriority w:val="99"/>
    <w:tblPr>
      <w:tblBorders>
        <w:top w:val="single" w:color="D76CCB" w:themeColor="accent5" w:themeTint="9A" w:sz="4" w:space="0"/>
        <w:bottom w:val="single" w:color="D76CCB" w:themeColor="accent5" w:themeTint="9A" w:sz="4" w:space="0"/>
      </w:tblBorders>
    </w:tblPr>
    <w:tblStylePr w:type="firstRow">
      <w:rPr>
        <w:b/>
        <w:color w:val="D86ECC" w:themeColor="accent5" w:themeTint="99"/>
        <w14:textFill>
          <w14:solidFill>
            <w14:schemeClr w14:val="accent5">
              <w14:lumMod w14:val="60000"/>
              <w14:lumOff w14:val="40000"/>
            </w14:schemeClr>
          </w14:solidFill>
        </w14:textFill>
      </w:rPr>
      <w:tcPr>
        <w:tcBorders>
          <w:bottom w:val="single" w:color="D76CCB" w:themeColor="accent5" w:themeTint="9A" w:sz="4" w:space="0"/>
        </w:tcBorders>
      </w:tcPr>
    </w:tblStylePr>
    <w:tblStylePr w:type="lastRow">
      <w:rPr>
        <w:b/>
        <w:color w:val="D86ECC" w:themeColor="accent5" w:themeTint="99"/>
        <w14:textFill>
          <w14:solidFill>
            <w14:schemeClr w14:val="accent5">
              <w14:lumMod w14:val="60000"/>
              <w14:lumOff w14:val="40000"/>
            </w14:schemeClr>
          </w14:solidFill>
        </w14:textFill>
      </w:rPr>
      <w:tcPr>
        <w:tcBorders>
          <w:top w:val="single" w:color="D76CCB" w:themeColor="accent5" w:themeTint="9A" w:sz="4" w:space="0"/>
        </w:tcBorders>
      </w:tcPr>
    </w:tblStylePr>
    <w:tblStylePr w:type="firstCol">
      <w:rPr>
        <w:b/>
        <w:color w:val="D86ECC" w:themeColor="accent5" w:themeTint="99"/>
        <w14:textFill>
          <w14:solidFill>
            <w14:schemeClr w14:val="accent5">
              <w14:lumMod w14:val="60000"/>
              <w14:lumOff w14:val="40000"/>
            </w14:schemeClr>
          </w14:solidFill>
        </w14:textFill>
      </w:rPr>
    </w:tblStylePr>
    <w:tblStylePr w:type="lastCol">
      <w:rPr>
        <w:b/>
        <w:color w:val="D86ECC" w:themeColor="accent5" w:themeTint="99"/>
        <w14:textFill>
          <w14:solidFill>
            <w14:schemeClr w14:val="accent5">
              <w14:lumMod w14:val="60000"/>
              <w14:lumOff w14:val="40000"/>
            </w14:schemeClr>
          </w14:solidFill>
        </w14:textFill>
      </w:rPr>
    </w:tblStylePr>
    <w:tblStylePr w:type="band1Vert">
      <w:tcPr>
        <w:shd w:val="clear" w:color="EEC2E9" w:themeColor="accent5" w:themeTint="40" w:fill="EEC2E9" w:themeFill="accent5" w:themeFillTint="40"/>
      </w:tcPr>
    </w:tblStylePr>
    <w:tblStylePr w:type="band1Horz">
      <w:rPr>
        <w:rFonts w:ascii="Arial" w:hAnsi="Arial"/>
        <w:color w:val="D86ECC" w:themeColor="accent5" w:themeTint="99"/>
        <w:sz w:val="22"/>
        <w14:textFill>
          <w14:solidFill>
            <w14:schemeClr w14:val="accent5">
              <w14:lumMod w14:val="60000"/>
              <w14:lumOff w14:val="40000"/>
            </w14:schemeClr>
          </w14:solidFill>
        </w14:textFill>
      </w:rPr>
      <w:tcPr>
        <w:shd w:val="clear" w:color="EEC2E9" w:themeColor="accent5" w:themeTint="40" w:fill="EEC2E9" w:themeFill="accent5" w:themeFillTint="40"/>
      </w:tcPr>
    </w:tblStylePr>
    <w:tblStylePr w:type="band2Horz">
      <w:rPr>
        <w:rFonts w:ascii="Arial" w:hAnsi="Arial"/>
        <w:color w:val="D86ECC" w:themeColor="accent5" w:themeTint="99"/>
        <w:sz w:val="22"/>
        <w14:textFill>
          <w14:solidFill>
            <w14:schemeClr w14:val="accent5">
              <w14:lumMod w14:val="60000"/>
              <w14:lumOff w14:val="40000"/>
            </w14:schemeClr>
          </w14:solidFill>
        </w14:textFill>
      </w:rPr>
    </w:tblStylePr>
  </w:style>
  <w:style w:type="table" w:customStyle="1" w:styleId="193">
    <w:name w:val="List Table 6 Colorful - Accent 6"/>
    <w:basedOn w:val="57"/>
    <w:qFormat/>
    <w:uiPriority w:val="99"/>
    <w:tblPr>
      <w:tblBorders>
        <w:top w:val="single" w:color="8ED874" w:themeColor="accent6" w:themeTint="98" w:sz="4" w:space="0"/>
        <w:bottom w:val="single" w:color="8ED874" w:themeColor="accent6" w:themeTint="98" w:sz="4" w:space="0"/>
      </w:tblBorders>
    </w:tblPr>
    <w:tblStylePr w:type="firstRow">
      <w:rPr>
        <w:b/>
        <w:color w:val="8ED973" w:themeColor="accent6" w:themeTint="99"/>
        <w14:textFill>
          <w14:solidFill>
            <w14:schemeClr w14:val="accent6">
              <w14:lumMod w14:val="60000"/>
              <w14:lumOff w14:val="40000"/>
            </w14:schemeClr>
          </w14:solidFill>
        </w14:textFill>
      </w:rPr>
      <w:tcPr>
        <w:tcBorders>
          <w:bottom w:val="single" w:color="8ED874" w:themeColor="accent6" w:themeTint="98" w:sz="4" w:space="0"/>
        </w:tcBorders>
      </w:tcPr>
    </w:tblStylePr>
    <w:tblStylePr w:type="lastRow">
      <w:rPr>
        <w:b/>
        <w:color w:val="8ED973" w:themeColor="accent6" w:themeTint="99"/>
        <w14:textFill>
          <w14:solidFill>
            <w14:schemeClr w14:val="accent6">
              <w14:lumMod w14:val="60000"/>
              <w14:lumOff w14:val="40000"/>
            </w14:schemeClr>
          </w14:solidFill>
        </w14:textFill>
      </w:rPr>
      <w:tcPr>
        <w:tcBorders>
          <w:top w:val="single" w:color="8ED874" w:themeColor="accent6" w:themeTint="98" w:sz="4" w:space="0"/>
        </w:tcBorders>
      </w:tcPr>
    </w:tblStylePr>
    <w:tblStylePr w:type="firstCol">
      <w:rPr>
        <w:b/>
        <w:color w:val="8ED973" w:themeColor="accent6" w:themeTint="99"/>
        <w14:textFill>
          <w14:solidFill>
            <w14:schemeClr w14:val="accent6">
              <w14:lumMod w14:val="60000"/>
              <w14:lumOff w14:val="40000"/>
            </w14:schemeClr>
          </w14:solidFill>
        </w14:textFill>
      </w:rPr>
    </w:tblStylePr>
    <w:tblStylePr w:type="lastCol">
      <w:rPr>
        <w:b/>
        <w:color w:val="8ED973" w:themeColor="accent6" w:themeTint="99"/>
        <w14:textFill>
          <w14:solidFill>
            <w14:schemeClr w14:val="accent6">
              <w14:lumMod w14:val="60000"/>
              <w14:lumOff w14:val="40000"/>
            </w14:schemeClr>
          </w14:solidFill>
        </w14:textFill>
      </w:rPr>
    </w:tblStylePr>
    <w:tblStylePr w:type="band1Vert">
      <w:tcPr>
        <w:shd w:val="clear" w:color="CFEEC4" w:themeColor="accent6" w:themeTint="40" w:fill="CFEEC4" w:themeFill="accent6" w:themeFillTint="40"/>
      </w:tcPr>
    </w:tblStylePr>
    <w:tblStylePr w:type="band1Horz">
      <w:rPr>
        <w:rFonts w:ascii="Arial" w:hAnsi="Arial"/>
        <w:color w:val="8ED973" w:themeColor="accent6" w:themeTint="99"/>
        <w:sz w:val="22"/>
        <w14:textFill>
          <w14:solidFill>
            <w14:schemeClr w14:val="accent6">
              <w14:lumMod w14:val="60000"/>
              <w14:lumOff w14:val="40000"/>
            </w14:schemeClr>
          </w14:solidFill>
        </w14:textFill>
      </w:rPr>
      <w:tcPr>
        <w:shd w:val="clear" w:color="CFEEC4" w:themeColor="accent6" w:themeTint="40" w:fill="CFEEC4" w:themeFill="accent6" w:themeFillTint="40"/>
      </w:tcPr>
    </w:tblStylePr>
    <w:tblStylePr w:type="band2Horz">
      <w:rPr>
        <w:rFonts w:ascii="Arial" w:hAnsi="Arial"/>
        <w:color w:val="8ED973" w:themeColor="accent6" w:themeTint="99"/>
        <w:sz w:val="22"/>
        <w14:textFill>
          <w14:solidFill>
            <w14:schemeClr w14:val="accent6">
              <w14:lumMod w14:val="60000"/>
              <w14:lumOff w14:val="40000"/>
            </w14:schemeClr>
          </w14:solidFill>
        </w14:textFill>
      </w:rPr>
    </w:tblStylePr>
  </w:style>
  <w:style w:type="table" w:customStyle="1" w:styleId="194">
    <w:name w:val="清单表 7 彩色1"/>
    <w:basedOn w:val="57"/>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95">
    <w:name w:val="List Table 7 Colorful - Accent 1"/>
    <w:basedOn w:val="57"/>
    <w:qFormat/>
    <w:uiPriority w:val="99"/>
    <w:tblPr>
      <w:tblBorders>
        <w:right w:val="single" w:color="156082" w:themeColor="accent1" w:sz="4" w:space="0"/>
      </w:tblBorders>
    </w:tblPr>
    <w:tblStylePr w:type="firstRow">
      <w:rPr>
        <w:rFonts w:ascii="Arial" w:hAnsi="Arial"/>
        <w:i/>
        <w:color w:val="0C384B" w:themeColor="accent1" w:themeShade="94"/>
        <w:sz w:val="22"/>
      </w:rPr>
      <w:tcPr>
        <w:tcBorders>
          <w:top w:val="nil"/>
          <w:left w:val="nil"/>
          <w:bottom w:val="single" w:color="156082" w:themeColor="accent1" w:sz="4" w:space="0"/>
          <w:right w:val="nil"/>
        </w:tcBorders>
        <w:shd w:val="clear" w:color="FFFFFF" w:themeColor="light1" w:fill="FFFFFF" w:themeFill="light1"/>
      </w:tcPr>
    </w:tblStylePr>
    <w:tblStylePr w:type="lastRow">
      <w:rPr>
        <w:rFonts w:ascii="Arial" w:hAnsi="Arial"/>
        <w:i/>
        <w:color w:val="0C384B" w:themeColor="accent1" w:themeShade="94"/>
        <w:sz w:val="22"/>
      </w:rPr>
      <w:tcPr>
        <w:tcBorders>
          <w:top w:val="single" w:color="156082"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0C384B" w:themeColor="accent1" w:themeShade="94"/>
        <w:sz w:val="22"/>
      </w:rPr>
      <w:tcPr>
        <w:tcBorders>
          <w:top w:val="nil"/>
          <w:left w:val="nil"/>
          <w:bottom w:val="nil"/>
          <w:right w:val="single" w:color="156082" w:themeColor="accent1" w:sz="4" w:space="0"/>
        </w:tcBorders>
        <w:shd w:val="clear" w:color="FFFFFF" w:fill="auto"/>
      </w:tcPr>
    </w:tblStylePr>
    <w:tblStylePr w:type="lastCol">
      <w:rPr>
        <w:rFonts w:ascii="Arial" w:hAnsi="Arial"/>
        <w:i/>
        <w:color w:val="0C384B" w:themeColor="accent1" w:themeShade="94"/>
        <w:sz w:val="22"/>
      </w:rPr>
      <w:tcPr>
        <w:tcBorders>
          <w:top w:val="nil"/>
          <w:left w:val="single" w:color="156082" w:themeColor="accent1" w:sz="4" w:space="0"/>
          <w:bottom w:val="nil"/>
          <w:right w:val="nil"/>
        </w:tcBorders>
        <w:shd w:val="clear" w:color="FFFFFF" w:fill="auto"/>
      </w:tcPr>
    </w:tblStylePr>
    <w:tblStylePr w:type="band1Vert">
      <w:tcPr>
        <w:shd w:val="clear" w:color="B1DEF2" w:themeColor="accent1" w:themeTint="40" w:fill="B1DEF2" w:themeFill="accent1" w:themeFillTint="40"/>
      </w:tcPr>
    </w:tblStylePr>
    <w:tblStylePr w:type="band1Horz">
      <w:rPr>
        <w:rFonts w:ascii="Arial" w:hAnsi="Arial"/>
        <w:color w:val="0C384B" w:themeColor="accent1" w:themeShade="94"/>
        <w:sz w:val="22"/>
      </w:rPr>
      <w:tcPr>
        <w:shd w:val="clear" w:color="B1DEF2" w:themeColor="accent1" w:themeTint="40" w:fill="B1DEF2" w:themeFill="accent1" w:themeFillTint="40"/>
      </w:tcPr>
    </w:tblStylePr>
    <w:tblStylePr w:type="band2Horz">
      <w:rPr>
        <w:rFonts w:ascii="Arial" w:hAnsi="Arial"/>
        <w:color w:val="0C384B" w:themeColor="accent1" w:themeShade="94"/>
        <w:sz w:val="22"/>
      </w:rPr>
    </w:tblStylePr>
  </w:style>
  <w:style w:type="table" w:customStyle="1" w:styleId="196">
    <w:name w:val="List Table 7 Colorful - Accent 2"/>
    <w:basedOn w:val="57"/>
    <w:qFormat/>
    <w:uiPriority w:val="99"/>
    <w:tblPr>
      <w:tblBorders>
        <w:right w:val="single" w:color="F1AA85" w:themeColor="accent2" w:themeTint="97" w:sz="4" w:space="0"/>
      </w:tblBorders>
    </w:tblPr>
    <w:tblStylePr w:type="firstRow">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nil"/>
          <w:bottom w:val="single" w:color="F1AA85" w:themeColor="accent2" w:themeTint="97" w:sz="4" w:space="0"/>
          <w:right w:val="nil"/>
        </w:tcBorders>
        <w:shd w:val="clear" w:color="FFFFFF" w:themeColor="light1" w:fill="FFFFFF" w:themeFill="light1"/>
      </w:tcPr>
    </w:tblStylePr>
    <w:tblStylePr w:type="lastRow">
      <w:rPr>
        <w:rFonts w:ascii="Arial" w:hAnsi="Arial"/>
        <w:i/>
        <w:color w:val="F2AB86" w:themeColor="accent2" w:themeTint="96"/>
        <w:sz w:val="22"/>
        <w14:textFill>
          <w14:solidFill>
            <w14:schemeClr w14:val="accent2">
              <w14:lumMod w14:val="59000"/>
              <w14:lumOff w14:val="41000"/>
            </w14:schemeClr>
          </w14:solidFill>
        </w14:textFill>
      </w:rPr>
      <w:tcPr>
        <w:tcBorders>
          <w:top w:val="single" w:color="F1AA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nil"/>
          <w:bottom w:val="nil"/>
          <w:right w:val="single" w:color="F1AA85" w:themeColor="accent2" w:themeTint="97" w:sz="4" w:space="0"/>
        </w:tcBorders>
        <w:shd w:val="clear" w:color="FFFFFF" w:fill="auto"/>
      </w:tcPr>
    </w:tblStylePr>
    <w:tblStylePr w:type="lastCol">
      <w:rPr>
        <w:rFonts w:ascii="Arial" w:hAnsi="Arial"/>
        <w:i/>
        <w:color w:val="F2AB86" w:themeColor="accent2" w:themeTint="96"/>
        <w:sz w:val="22"/>
        <w14:textFill>
          <w14:solidFill>
            <w14:schemeClr w14:val="accent2">
              <w14:lumMod w14:val="59000"/>
              <w14:lumOff w14:val="41000"/>
            </w14:schemeClr>
          </w14:solidFill>
        </w14:textFill>
      </w:rPr>
      <w:tcPr>
        <w:tcBorders>
          <w:top w:val="nil"/>
          <w:left w:val="single" w:color="F1AA85" w:themeColor="accent2" w:themeTint="97" w:sz="4" w:space="0"/>
          <w:bottom w:val="nil"/>
          <w:right w:val="nil"/>
        </w:tcBorders>
        <w:shd w:val="clear" w:color="FFFFFF" w:fill="auto"/>
      </w:tcPr>
    </w:tblStylePr>
    <w:tblStylePr w:type="band1Vert">
      <w:tcPr>
        <w:shd w:val="clear" w:color="F9DBCB" w:themeColor="accent2" w:themeTint="40" w:fill="F9DBCB" w:themeFill="accent2" w:themeFillTint="40"/>
      </w:tcPr>
    </w:tblStylePr>
    <w:tblStylePr w:type="band1Horz">
      <w:rPr>
        <w:rFonts w:ascii="Arial" w:hAnsi="Arial"/>
        <w:color w:val="F2AB86" w:themeColor="accent2" w:themeTint="96"/>
        <w:sz w:val="22"/>
        <w14:textFill>
          <w14:solidFill>
            <w14:schemeClr w14:val="accent2">
              <w14:lumMod w14:val="59000"/>
              <w14:lumOff w14:val="41000"/>
            </w14:schemeClr>
          </w14:solidFill>
        </w14:textFill>
      </w:rPr>
      <w:tcPr>
        <w:shd w:val="clear" w:color="F9DBCB" w:themeColor="accent2" w:themeTint="40" w:fill="F9DBCB" w:themeFill="accent2" w:themeFillTint="40"/>
      </w:tcPr>
    </w:tblStylePr>
    <w:tblStylePr w:type="band2Horz">
      <w:rPr>
        <w:rFonts w:ascii="Arial" w:hAnsi="Arial"/>
        <w:color w:val="F2AB86" w:themeColor="accent2" w:themeTint="96"/>
        <w:sz w:val="22"/>
        <w14:textFill>
          <w14:solidFill>
            <w14:schemeClr w14:val="accent2">
              <w14:lumMod w14:val="59000"/>
              <w14:lumOff w14:val="41000"/>
            </w14:schemeClr>
          </w14:solidFill>
        </w14:textFill>
      </w:rPr>
    </w:tblStylePr>
  </w:style>
  <w:style w:type="table" w:customStyle="1" w:styleId="197">
    <w:name w:val="List Table 7 Colorful - Accent 3"/>
    <w:basedOn w:val="57"/>
    <w:qFormat/>
    <w:uiPriority w:val="99"/>
    <w:tblPr>
      <w:tblBorders>
        <w:right w:val="single" w:color="48D45B" w:themeColor="accent3" w:themeTint="98" w:sz="4" w:space="0"/>
      </w:tblBorders>
    </w:tblPr>
    <w:tblStylePr w:type="firstRow">
      <w:rPr>
        <w:rFonts w:ascii="Arial" w:hAnsi="Arial"/>
        <w:i/>
        <w:color w:val="47D45A" w:themeColor="accent3" w:themeTint="99"/>
        <w:sz w:val="22"/>
        <w14:textFill>
          <w14:solidFill>
            <w14:schemeClr w14:val="accent3">
              <w14:lumMod w14:val="60000"/>
              <w14:lumOff w14:val="40000"/>
            </w14:schemeClr>
          </w14:solidFill>
        </w14:textFill>
      </w:rPr>
      <w:tcPr>
        <w:tcBorders>
          <w:top w:val="nil"/>
          <w:left w:val="nil"/>
          <w:bottom w:val="single" w:color="48D45B" w:themeColor="accent3" w:themeTint="98" w:sz="4" w:space="0"/>
          <w:right w:val="nil"/>
        </w:tcBorders>
        <w:shd w:val="clear" w:color="FFFFFF" w:themeColor="light1" w:fill="FFFFFF" w:themeFill="light1"/>
      </w:tcPr>
    </w:tblStylePr>
    <w:tblStylePr w:type="lastRow">
      <w:rPr>
        <w:rFonts w:ascii="Arial" w:hAnsi="Arial"/>
        <w:i/>
        <w:color w:val="47D45A" w:themeColor="accent3" w:themeTint="99"/>
        <w:sz w:val="22"/>
        <w14:textFill>
          <w14:solidFill>
            <w14:schemeClr w14:val="accent3">
              <w14:lumMod w14:val="60000"/>
              <w14:lumOff w14:val="40000"/>
            </w14:schemeClr>
          </w14:solidFill>
        </w14:textFill>
      </w:rPr>
      <w:tcPr>
        <w:tcBorders>
          <w:top w:val="single" w:color="48D45B"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47D45A" w:themeColor="accent3" w:themeTint="99"/>
        <w:sz w:val="22"/>
        <w14:textFill>
          <w14:solidFill>
            <w14:schemeClr w14:val="accent3">
              <w14:lumMod w14:val="60000"/>
              <w14:lumOff w14:val="40000"/>
            </w14:schemeClr>
          </w14:solidFill>
        </w14:textFill>
      </w:rPr>
      <w:tcPr>
        <w:tcBorders>
          <w:top w:val="nil"/>
          <w:left w:val="nil"/>
          <w:bottom w:val="nil"/>
          <w:right w:val="single" w:color="48D45B" w:themeColor="accent3" w:themeTint="98" w:sz="4" w:space="0"/>
        </w:tcBorders>
        <w:shd w:val="clear" w:color="FFFFFF" w:fill="auto"/>
      </w:tcPr>
    </w:tblStylePr>
    <w:tblStylePr w:type="lastCol">
      <w:rPr>
        <w:rFonts w:ascii="Arial" w:hAnsi="Arial"/>
        <w:i/>
        <w:color w:val="47D45A" w:themeColor="accent3" w:themeTint="99"/>
        <w:sz w:val="22"/>
        <w14:textFill>
          <w14:solidFill>
            <w14:schemeClr w14:val="accent3">
              <w14:lumMod w14:val="60000"/>
              <w14:lumOff w14:val="40000"/>
            </w14:schemeClr>
          </w14:solidFill>
        </w14:textFill>
      </w:rPr>
      <w:tcPr>
        <w:tcBorders>
          <w:top w:val="nil"/>
          <w:left w:val="single" w:color="48D45B" w:themeColor="accent3" w:themeTint="98" w:sz="4" w:space="0"/>
          <w:bottom w:val="nil"/>
          <w:right w:val="nil"/>
        </w:tcBorders>
        <w:shd w:val="clear" w:color="FFFFFF" w:fill="auto"/>
      </w:tcPr>
    </w:tblStylePr>
    <w:tblStylePr w:type="band1Vert">
      <w:tcPr>
        <w:shd w:val="clear" w:color="B2EDBA" w:themeColor="accent3" w:themeTint="40" w:fill="B2EDBA" w:themeFill="accent3" w:themeFillTint="40"/>
      </w:tcPr>
    </w:tblStylePr>
    <w:tblStylePr w:type="band1Horz">
      <w:rPr>
        <w:rFonts w:ascii="Arial" w:hAnsi="Arial"/>
        <w:color w:val="47D45A" w:themeColor="accent3" w:themeTint="99"/>
        <w:sz w:val="22"/>
        <w14:textFill>
          <w14:solidFill>
            <w14:schemeClr w14:val="accent3">
              <w14:lumMod w14:val="60000"/>
              <w14:lumOff w14:val="40000"/>
            </w14:schemeClr>
          </w14:solidFill>
        </w14:textFill>
      </w:rPr>
      <w:tcPr>
        <w:shd w:val="clear" w:color="B2EDBA" w:themeColor="accent3" w:themeTint="40" w:fill="B2EDBA" w:themeFill="accent3" w:themeFillTint="40"/>
      </w:tcPr>
    </w:tblStylePr>
    <w:tblStylePr w:type="band2Horz">
      <w:rPr>
        <w:rFonts w:ascii="Arial" w:hAnsi="Arial"/>
        <w:color w:val="47D45A" w:themeColor="accent3" w:themeTint="99"/>
        <w:sz w:val="22"/>
        <w14:textFill>
          <w14:solidFill>
            <w14:schemeClr w14:val="accent3">
              <w14:lumMod w14:val="60000"/>
              <w14:lumOff w14:val="40000"/>
            </w14:schemeClr>
          </w14:solidFill>
        </w14:textFill>
      </w:rPr>
    </w:tblStylePr>
  </w:style>
  <w:style w:type="table" w:customStyle="1" w:styleId="198">
    <w:name w:val="List Table 7 Colorful - Accent 4"/>
    <w:basedOn w:val="57"/>
    <w:qFormat/>
    <w:uiPriority w:val="99"/>
    <w:tblPr>
      <w:tblBorders>
        <w:right w:val="single" w:color="5FCAF3" w:themeColor="accent4" w:themeTint="9A" w:sz="4" w:space="0"/>
      </w:tblBorders>
    </w:tblPr>
    <w:tblStylePr w:type="firstRow">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nil"/>
          <w:bottom w:val="single" w:color="5FCAF3" w:themeColor="accent4" w:themeTint="9A" w:sz="4" w:space="0"/>
          <w:right w:val="nil"/>
        </w:tcBorders>
        <w:shd w:val="clear" w:color="FFFFFF" w:themeColor="light1" w:fill="FFFFFF" w:themeFill="light1"/>
      </w:tcPr>
    </w:tblStylePr>
    <w:tblStylePr w:type="lastRow">
      <w:rPr>
        <w:rFonts w:ascii="Arial" w:hAnsi="Arial"/>
        <w:i/>
        <w:color w:val="61CBF4" w:themeColor="accent4" w:themeTint="99"/>
        <w:sz w:val="22"/>
        <w14:textFill>
          <w14:solidFill>
            <w14:schemeClr w14:val="accent4">
              <w14:lumMod w14:val="60000"/>
              <w14:lumOff w14:val="40000"/>
            </w14:schemeClr>
          </w14:solidFill>
        </w14:textFill>
      </w:rPr>
      <w:tcPr>
        <w:tcBorders>
          <w:top w:val="single" w:color="5FCAF3"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nil"/>
          <w:bottom w:val="nil"/>
          <w:right w:val="single" w:color="5FCAF3" w:themeColor="accent4" w:themeTint="9A" w:sz="4" w:space="0"/>
        </w:tcBorders>
        <w:shd w:val="clear" w:color="FFFFFF" w:fill="auto"/>
      </w:tcPr>
    </w:tblStylePr>
    <w:tblStylePr w:type="lastCol">
      <w:rPr>
        <w:rFonts w:ascii="Arial" w:hAnsi="Arial"/>
        <w:i/>
        <w:color w:val="61CBF4" w:themeColor="accent4" w:themeTint="99"/>
        <w:sz w:val="22"/>
        <w14:textFill>
          <w14:solidFill>
            <w14:schemeClr w14:val="accent4">
              <w14:lumMod w14:val="60000"/>
              <w14:lumOff w14:val="40000"/>
            </w14:schemeClr>
          </w14:solidFill>
        </w14:textFill>
      </w:rPr>
      <w:tcPr>
        <w:tcBorders>
          <w:top w:val="nil"/>
          <w:left w:val="single" w:color="5FCAF3" w:themeColor="accent4" w:themeTint="9A" w:sz="4" w:space="0"/>
          <w:bottom w:val="nil"/>
          <w:right w:val="nil"/>
        </w:tcBorders>
        <w:shd w:val="clear" w:color="FFFFFF" w:fill="auto"/>
      </w:tcPr>
    </w:tblStylePr>
    <w:tblStylePr w:type="band1Vert">
      <w:tcPr>
        <w:shd w:val="clear" w:color="BCE9FA" w:themeColor="accent4" w:themeTint="40" w:fill="BCE9FA" w:themeFill="accent4" w:themeFillTint="40"/>
      </w:tcPr>
    </w:tblStylePr>
    <w:tblStylePr w:type="band1Horz">
      <w:rPr>
        <w:rFonts w:ascii="Arial" w:hAnsi="Arial"/>
        <w:color w:val="61CBF4" w:themeColor="accent4" w:themeTint="99"/>
        <w:sz w:val="22"/>
        <w14:textFill>
          <w14:solidFill>
            <w14:schemeClr w14:val="accent4">
              <w14:lumMod w14:val="60000"/>
              <w14:lumOff w14:val="40000"/>
            </w14:schemeClr>
          </w14:solidFill>
        </w14:textFill>
      </w:rPr>
      <w:tcPr>
        <w:shd w:val="clear" w:color="BCE9FA" w:themeColor="accent4" w:themeTint="40" w:fill="BCE9FA" w:themeFill="accent4" w:themeFillTint="40"/>
      </w:tcPr>
    </w:tblStylePr>
    <w:tblStylePr w:type="band2Horz">
      <w:rPr>
        <w:rFonts w:ascii="Arial" w:hAnsi="Arial"/>
        <w:color w:val="61CBF4" w:themeColor="accent4" w:themeTint="99"/>
        <w:sz w:val="22"/>
        <w14:textFill>
          <w14:solidFill>
            <w14:schemeClr w14:val="accent4">
              <w14:lumMod w14:val="60000"/>
              <w14:lumOff w14:val="40000"/>
            </w14:schemeClr>
          </w14:solidFill>
        </w14:textFill>
      </w:rPr>
    </w:tblStylePr>
  </w:style>
  <w:style w:type="table" w:customStyle="1" w:styleId="199">
    <w:name w:val="List Table 7 Colorful - Accent 5"/>
    <w:basedOn w:val="57"/>
    <w:qFormat/>
    <w:uiPriority w:val="99"/>
    <w:tblPr>
      <w:tblBorders>
        <w:right w:val="single" w:color="D76CCB" w:themeColor="accent5" w:themeTint="9A" w:sz="4" w:space="0"/>
      </w:tblBorders>
    </w:tblPr>
    <w:tblStylePr w:type="firstRow">
      <w:rPr>
        <w:rFonts w:ascii="Arial" w:hAnsi="Arial"/>
        <w:i/>
        <w:color w:val="D86ECC" w:themeColor="accent5" w:themeTint="99"/>
        <w:sz w:val="22"/>
        <w14:textFill>
          <w14:solidFill>
            <w14:schemeClr w14:val="accent5">
              <w14:lumMod w14:val="60000"/>
              <w14:lumOff w14:val="40000"/>
            </w14:schemeClr>
          </w14:solidFill>
        </w14:textFill>
      </w:rPr>
      <w:tcPr>
        <w:tcBorders>
          <w:top w:val="nil"/>
          <w:left w:val="nil"/>
          <w:bottom w:val="single" w:color="D76CCB" w:themeColor="accent5" w:themeTint="9A" w:sz="4" w:space="0"/>
          <w:right w:val="nil"/>
        </w:tcBorders>
        <w:shd w:val="clear" w:color="FFFFFF" w:themeColor="light1" w:fill="FFFFFF" w:themeFill="light1"/>
      </w:tcPr>
    </w:tblStylePr>
    <w:tblStylePr w:type="lastRow">
      <w:rPr>
        <w:rFonts w:ascii="Arial" w:hAnsi="Arial"/>
        <w:i/>
        <w:color w:val="D86ECC" w:themeColor="accent5" w:themeTint="99"/>
        <w:sz w:val="22"/>
        <w14:textFill>
          <w14:solidFill>
            <w14:schemeClr w14:val="accent5">
              <w14:lumMod w14:val="60000"/>
              <w14:lumOff w14:val="40000"/>
            </w14:schemeClr>
          </w14:solidFill>
        </w14:textFill>
      </w:rPr>
      <w:tcPr>
        <w:tcBorders>
          <w:top w:val="single" w:color="D76CC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D86ECC" w:themeColor="accent5" w:themeTint="99"/>
        <w:sz w:val="22"/>
        <w14:textFill>
          <w14:solidFill>
            <w14:schemeClr w14:val="accent5">
              <w14:lumMod w14:val="60000"/>
              <w14:lumOff w14:val="40000"/>
            </w14:schemeClr>
          </w14:solidFill>
        </w14:textFill>
      </w:rPr>
      <w:tcPr>
        <w:tcBorders>
          <w:top w:val="nil"/>
          <w:left w:val="nil"/>
          <w:bottom w:val="nil"/>
          <w:right w:val="single" w:color="D76CCB" w:themeColor="accent5" w:themeTint="9A" w:sz="4" w:space="0"/>
        </w:tcBorders>
        <w:shd w:val="clear" w:color="FFFFFF" w:fill="auto"/>
      </w:tcPr>
    </w:tblStylePr>
    <w:tblStylePr w:type="lastCol">
      <w:rPr>
        <w:rFonts w:ascii="Arial" w:hAnsi="Arial"/>
        <w:i/>
        <w:color w:val="D86ECC" w:themeColor="accent5" w:themeTint="99"/>
        <w:sz w:val="22"/>
        <w14:textFill>
          <w14:solidFill>
            <w14:schemeClr w14:val="accent5">
              <w14:lumMod w14:val="60000"/>
              <w14:lumOff w14:val="40000"/>
            </w14:schemeClr>
          </w14:solidFill>
        </w14:textFill>
      </w:rPr>
      <w:tcPr>
        <w:tcBorders>
          <w:top w:val="nil"/>
          <w:left w:val="single" w:color="D76CCB" w:themeColor="accent5" w:themeTint="9A" w:sz="4" w:space="0"/>
          <w:bottom w:val="nil"/>
          <w:right w:val="nil"/>
        </w:tcBorders>
        <w:shd w:val="clear" w:color="FFFFFF" w:fill="auto"/>
      </w:tcPr>
    </w:tblStylePr>
    <w:tblStylePr w:type="band1Vert">
      <w:tcPr>
        <w:shd w:val="clear" w:color="EEC2E9" w:themeColor="accent5" w:themeTint="40" w:fill="EEC2E9" w:themeFill="accent5" w:themeFillTint="40"/>
      </w:tcPr>
    </w:tblStylePr>
    <w:tblStylePr w:type="band1Horz">
      <w:rPr>
        <w:rFonts w:ascii="Arial" w:hAnsi="Arial"/>
        <w:color w:val="D86ECC" w:themeColor="accent5" w:themeTint="99"/>
        <w:sz w:val="22"/>
        <w14:textFill>
          <w14:solidFill>
            <w14:schemeClr w14:val="accent5">
              <w14:lumMod w14:val="60000"/>
              <w14:lumOff w14:val="40000"/>
            </w14:schemeClr>
          </w14:solidFill>
        </w14:textFill>
      </w:rPr>
      <w:tcPr>
        <w:shd w:val="clear" w:color="EEC2E9" w:themeColor="accent5" w:themeTint="40" w:fill="EEC2E9" w:themeFill="accent5" w:themeFillTint="40"/>
      </w:tcPr>
    </w:tblStylePr>
    <w:tblStylePr w:type="band2Horz">
      <w:rPr>
        <w:rFonts w:ascii="Arial" w:hAnsi="Arial"/>
        <w:color w:val="D86ECC" w:themeColor="accent5" w:themeTint="99"/>
        <w:sz w:val="22"/>
        <w14:textFill>
          <w14:solidFill>
            <w14:schemeClr w14:val="accent5">
              <w14:lumMod w14:val="60000"/>
              <w14:lumOff w14:val="40000"/>
            </w14:schemeClr>
          </w14:solidFill>
        </w14:textFill>
      </w:rPr>
    </w:tblStylePr>
  </w:style>
  <w:style w:type="table" w:customStyle="1" w:styleId="200">
    <w:name w:val="List Table 7 Colorful - Accent 6"/>
    <w:basedOn w:val="57"/>
    <w:qFormat/>
    <w:uiPriority w:val="99"/>
    <w:tblPr>
      <w:tblBorders>
        <w:right w:val="single" w:color="8ED874" w:themeColor="accent6" w:themeTint="98" w:sz="4" w:space="0"/>
      </w:tblBorders>
    </w:tblPr>
    <w:tblStylePr w:type="firstRow">
      <w:rPr>
        <w:rFonts w:ascii="Arial" w:hAnsi="Arial"/>
        <w:i/>
        <w:color w:val="8ED973" w:themeColor="accent6" w:themeTint="99"/>
        <w:sz w:val="22"/>
        <w14:textFill>
          <w14:solidFill>
            <w14:schemeClr w14:val="accent6">
              <w14:lumMod w14:val="60000"/>
              <w14:lumOff w14:val="40000"/>
            </w14:schemeClr>
          </w14:solidFill>
        </w14:textFill>
      </w:rPr>
      <w:tcPr>
        <w:tcBorders>
          <w:top w:val="nil"/>
          <w:left w:val="nil"/>
          <w:bottom w:val="single" w:color="8ED874" w:themeColor="accent6" w:themeTint="98" w:sz="4" w:space="0"/>
          <w:right w:val="nil"/>
        </w:tcBorders>
        <w:shd w:val="clear" w:color="FFFFFF" w:themeColor="light1" w:fill="FFFFFF" w:themeFill="light1"/>
      </w:tcPr>
    </w:tblStylePr>
    <w:tblStylePr w:type="lastRow">
      <w:rPr>
        <w:rFonts w:ascii="Arial" w:hAnsi="Arial"/>
        <w:i/>
        <w:color w:val="8ED973" w:themeColor="accent6" w:themeTint="99"/>
        <w:sz w:val="22"/>
        <w14:textFill>
          <w14:solidFill>
            <w14:schemeClr w14:val="accent6">
              <w14:lumMod w14:val="60000"/>
              <w14:lumOff w14:val="40000"/>
            </w14:schemeClr>
          </w14:solidFill>
        </w14:textFill>
      </w:rPr>
      <w:tcPr>
        <w:tcBorders>
          <w:top w:val="single" w:color="8ED874"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8ED973" w:themeColor="accent6" w:themeTint="99"/>
        <w:sz w:val="22"/>
        <w14:textFill>
          <w14:solidFill>
            <w14:schemeClr w14:val="accent6">
              <w14:lumMod w14:val="60000"/>
              <w14:lumOff w14:val="40000"/>
            </w14:schemeClr>
          </w14:solidFill>
        </w14:textFill>
      </w:rPr>
      <w:tcPr>
        <w:tcBorders>
          <w:top w:val="nil"/>
          <w:left w:val="nil"/>
          <w:bottom w:val="nil"/>
          <w:right w:val="single" w:color="8ED874" w:themeColor="accent6" w:themeTint="98" w:sz="4" w:space="0"/>
        </w:tcBorders>
        <w:shd w:val="clear" w:color="FFFFFF" w:fill="auto"/>
      </w:tcPr>
    </w:tblStylePr>
    <w:tblStylePr w:type="lastCol">
      <w:rPr>
        <w:rFonts w:ascii="Arial" w:hAnsi="Arial"/>
        <w:i/>
        <w:color w:val="8ED973" w:themeColor="accent6" w:themeTint="99"/>
        <w:sz w:val="22"/>
        <w14:textFill>
          <w14:solidFill>
            <w14:schemeClr w14:val="accent6">
              <w14:lumMod w14:val="60000"/>
              <w14:lumOff w14:val="40000"/>
            </w14:schemeClr>
          </w14:solidFill>
        </w14:textFill>
      </w:rPr>
      <w:tcPr>
        <w:tcBorders>
          <w:top w:val="nil"/>
          <w:left w:val="single" w:color="8ED874" w:themeColor="accent6" w:themeTint="98" w:sz="4" w:space="0"/>
          <w:bottom w:val="nil"/>
          <w:right w:val="nil"/>
        </w:tcBorders>
        <w:shd w:val="clear" w:color="FFFFFF" w:fill="auto"/>
      </w:tcPr>
    </w:tblStylePr>
    <w:tblStylePr w:type="band1Vert">
      <w:tcPr>
        <w:shd w:val="clear" w:color="CFEEC4" w:themeColor="accent6" w:themeTint="40" w:fill="CFEEC4" w:themeFill="accent6" w:themeFillTint="40"/>
      </w:tcPr>
    </w:tblStylePr>
    <w:tblStylePr w:type="band1Horz">
      <w:rPr>
        <w:rFonts w:ascii="Arial" w:hAnsi="Arial"/>
        <w:color w:val="8ED973" w:themeColor="accent6" w:themeTint="99"/>
        <w:sz w:val="22"/>
        <w14:textFill>
          <w14:solidFill>
            <w14:schemeClr w14:val="accent6">
              <w14:lumMod w14:val="60000"/>
              <w14:lumOff w14:val="40000"/>
            </w14:schemeClr>
          </w14:solidFill>
        </w14:textFill>
      </w:rPr>
      <w:tcPr>
        <w:shd w:val="clear" w:color="CFEEC4" w:themeColor="accent6" w:themeTint="40" w:fill="CFEEC4" w:themeFill="accent6" w:themeFillTint="40"/>
      </w:tcPr>
    </w:tblStylePr>
    <w:tblStylePr w:type="band2Horz">
      <w:rPr>
        <w:rFonts w:ascii="Arial" w:hAnsi="Arial"/>
        <w:color w:val="8ED973" w:themeColor="accent6" w:themeTint="99"/>
        <w:sz w:val="22"/>
        <w14:textFill>
          <w14:solidFill>
            <w14:schemeClr w14:val="accent6">
              <w14:lumMod w14:val="60000"/>
              <w14:lumOff w14:val="40000"/>
            </w14:schemeClr>
          </w14:solidFill>
        </w14:textFill>
      </w:rPr>
    </w:tblStylePr>
  </w:style>
  <w:style w:type="table" w:customStyle="1" w:styleId="201">
    <w:name w:val="Lined - Accent"/>
    <w:basedOn w:val="57"/>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2">
    <w:name w:val="Lined - Accent 1"/>
    <w:basedOn w:val="57"/>
    <w:qFormat/>
    <w:uiPriority w:val="99"/>
    <w:rPr>
      <w:color w:val="404040"/>
    </w:rPr>
    <w:tblStylePr w:type="firstRow">
      <w:rPr>
        <w:rFonts w:ascii="Arial" w:hAnsi="Arial"/>
        <w:color w:val="F2F2F2"/>
        <w:sz w:val="22"/>
      </w:rPr>
      <w:tcPr>
        <w:shd w:val="clear" w:color="19729B" w:themeColor="accent1" w:themeTint="EA" w:fill="19729B" w:themeFill="accent1" w:themeFillTint="EA"/>
      </w:tcPr>
    </w:tblStylePr>
    <w:tblStylePr w:type="lastRow">
      <w:rPr>
        <w:rFonts w:ascii="Arial" w:hAnsi="Arial"/>
        <w:color w:val="F2F2F2"/>
        <w:sz w:val="22"/>
      </w:rPr>
      <w:tcPr>
        <w:shd w:val="clear" w:color="19729B" w:themeColor="accent1" w:themeTint="EA" w:fill="19729B" w:themeFill="accent1" w:themeFillTint="EA"/>
      </w:tcPr>
    </w:tblStylePr>
    <w:tblStylePr w:type="firstCol">
      <w:rPr>
        <w:rFonts w:ascii="Arial" w:hAnsi="Arial"/>
        <w:color w:val="F2F2F2"/>
        <w:sz w:val="22"/>
      </w:rPr>
      <w:tcPr>
        <w:shd w:val="clear" w:color="19729B" w:themeColor="accent1" w:themeTint="EA" w:fill="19729B" w:themeFill="accent1" w:themeFillTint="EA"/>
      </w:tcPr>
    </w:tblStylePr>
    <w:tblStylePr w:type="lastCol">
      <w:rPr>
        <w:rFonts w:ascii="Arial" w:hAnsi="Arial"/>
        <w:color w:val="F2F2F2"/>
        <w:sz w:val="22"/>
      </w:r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9ED5EF" w:themeColor="accent1" w:themeTint="50" w:fill="9ED5EF" w:themeFill="accent1" w:themeFillTint="50"/>
      </w:tcPr>
    </w:tblStylePr>
  </w:style>
  <w:style w:type="table" w:customStyle="1" w:styleId="203">
    <w:name w:val="Lined - Accent 2"/>
    <w:basedOn w:val="57"/>
    <w:qFormat/>
    <w:uiPriority w:val="99"/>
    <w:rPr>
      <w:color w:val="404040"/>
    </w:rPr>
    <w:tblStylePr w:type="firstRow">
      <w:rPr>
        <w:rFonts w:ascii="Arial" w:hAnsi="Arial"/>
        <w:color w:val="F2F2F2"/>
        <w:sz w:val="22"/>
      </w:rPr>
      <w:tcPr>
        <w:shd w:val="clear" w:color="F1AA85" w:themeColor="accent2" w:themeTint="97" w:fill="F1AA85" w:themeFill="accent2" w:themeFillTint="97"/>
      </w:tcPr>
    </w:tblStylePr>
    <w:tblStylePr w:type="lastRow">
      <w:rPr>
        <w:rFonts w:ascii="Arial" w:hAnsi="Arial"/>
        <w:color w:val="F2F2F2"/>
        <w:sz w:val="22"/>
      </w:rPr>
      <w:tcPr>
        <w:shd w:val="clear" w:color="F1AA85" w:themeColor="accent2" w:themeTint="97" w:fill="F1AA85" w:themeFill="accent2" w:themeFillTint="97"/>
      </w:tcPr>
    </w:tblStylePr>
    <w:tblStylePr w:type="firstCol">
      <w:rPr>
        <w:rFonts w:ascii="Arial" w:hAnsi="Arial"/>
        <w:color w:val="F2F2F2"/>
        <w:sz w:val="22"/>
      </w:rPr>
      <w:tcPr>
        <w:shd w:val="clear" w:color="F1AA85" w:themeColor="accent2" w:themeTint="97" w:fill="F1AA85" w:themeFill="accent2" w:themeFillTint="97"/>
      </w:tcPr>
    </w:tblStylePr>
    <w:tblStylePr w:type="lastCol">
      <w:rPr>
        <w:rFonts w:ascii="Arial" w:hAnsi="Arial"/>
        <w:color w:val="F2F2F2"/>
        <w:sz w:val="22"/>
      </w:rPr>
      <w:tcPr>
        <w:shd w:val="clear" w:color="F1AA85" w:themeColor="accent2" w:themeTint="97" w:fill="F1AA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AE3D6" w:themeColor="accent2" w:themeTint="32" w:fill="FAE3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AE3D6" w:themeColor="accent2" w:themeTint="32" w:fill="FAE3D6" w:themeFill="accent2" w:themeFillTint="32"/>
      </w:tcPr>
    </w:tblStylePr>
  </w:style>
  <w:style w:type="table" w:customStyle="1" w:styleId="204">
    <w:name w:val="Lined - Accent 3"/>
    <w:basedOn w:val="57"/>
    <w:qFormat/>
    <w:uiPriority w:val="99"/>
    <w:rPr>
      <w:color w:val="404040"/>
    </w:rPr>
    <w:tblStylePr w:type="firstRow">
      <w:rPr>
        <w:rFonts w:ascii="Arial" w:hAnsi="Arial"/>
        <w:color w:val="F2F2F2"/>
        <w:sz w:val="22"/>
      </w:rPr>
      <w:tcPr>
        <w:shd w:val="clear" w:color="196C24" w:themeColor="accent3" w:themeTint="FE" w:fill="196C24" w:themeFill="accent3" w:themeFillTint="FE"/>
      </w:tcPr>
    </w:tblStylePr>
    <w:tblStylePr w:type="lastRow">
      <w:rPr>
        <w:rFonts w:ascii="Arial" w:hAnsi="Arial"/>
        <w:color w:val="F2F2F2"/>
        <w:sz w:val="22"/>
      </w:rPr>
      <w:tcPr>
        <w:shd w:val="clear" w:color="196C24" w:themeColor="accent3" w:themeTint="FE" w:fill="196C24" w:themeFill="accent3" w:themeFillTint="FE"/>
      </w:tcPr>
    </w:tblStylePr>
    <w:tblStylePr w:type="firstCol">
      <w:rPr>
        <w:rFonts w:ascii="Arial" w:hAnsi="Arial"/>
        <w:color w:val="F2F2F2"/>
        <w:sz w:val="22"/>
      </w:rPr>
      <w:tcPr>
        <w:shd w:val="clear" w:color="196C24" w:themeColor="accent3" w:themeTint="FE" w:fill="196C24" w:themeFill="accent3" w:themeFillTint="FE"/>
      </w:tcPr>
    </w:tblStylePr>
    <w:tblStylePr w:type="lastCol">
      <w:rPr>
        <w:rFonts w:ascii="Arial" w:hAnsi="Arial"/>
        <w:color w:val="F2F2F2"/>
        <w:sz w:val="22"/>
      </w:r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C0F0C6" w:themeColor="accent3" w:themeTint="34" w:fill="C0F0C6" w:themeFill="accent3" w:themeFillTint="34"/>
      </w:tcPr>
    </w:tblStylePr>
  </w:style>
  <w:style w:type="table" w:customStyle="1" w:styleId="205">
    <w:name w:val="Lined - Accent 4"/>
    <w:basedOn w:val="57"/>
    <w:qFormat/>
    <w:uiPriority w:val="99"/>
    <w:rPr>
      <w:color w:val="404040"/>
    </w:rPr>
    <w:tblStylePr w:type="firstRow">
      <w:rPr>
        <w:rFonts w:ascii="Arial" w:hAnsi="Arial"/>
        <w:color w:val="F2F2F2"/>
        <w:sz w:val="22"/>
      </w:rPr>
      <w:tcPr>
        <w:shd w:val="clear" w:color="5FCAF3" w:themeColor="accent4" w:themeTint="9A" w:fill="5FCAF3" w:themeFill="accent4" w:themeFillTint="9A"/>
      </w:tcPr>
    </w:tblStylePr>
    <w:tblStylePr w:type="lastRow">
      <w:rPr>
        <w:rFonts w:ascii="Arial" w:hAnsi="Arial"/>
        <w:color w:val="F2F2F2"/>
        <w:sz w:val="22"/>
      </w:rPr>
      <w:tcPr>
        <w:shd w:val="clear" w:color="5FCAF3" w:themeColor="accent4" w:themeTint="9A" w:fill="5FCAF3" w:themeFill="accent4" w:themeFillTint="9A"/>
      </w:tcPr>
    </w:tblStylePr>
    <w:tblStylePr w:type="firstCol">
      <w:rPr>
        <w:rFonts w:ascii="Arial" w:hAnsi="Arial"/>
        <w:color w:val="F2F2F2"/>
        <w:sz w:val="22"/>
      </w:rPr>
      <w:tcPr>
        <w:shd w:val="clear" w:color="5FCAF3" w:themeColor="accent4" w:themeTint="9A" w:fill="5FCAF3" w:themeFill="accent4" w:themeFillTint="9A"/>
      </w:tcPr>
    </w:tblStylePr>
    <w:tblStylePr w:type="lastCol">
      <w:rPr>
        <w:rFonts w:ascii="Arial" w:hAnsi="Arial"/>
        <w:color w:val="F2F2F2"/>
        <w:sz w:val="22"/>
      </w:r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C9EDFB" w:themeColor="accent4" w:themeTint="34" w:fill="C9EDFB" w:themeFill="accent4" w:themeFillTint="34"/>
      </w:tcPr>
    </w:tblStylePr>
  </w:style>
  <w:style w:type="table" w:customStyle="1" w:styleId="206">
    <w:name w:val="Lined - Accent 5"/>
    <w:basedOn w:val="57"/>
    <w:qFormat/>
    <w:uiPriority w:val="99"/>
    <w:rPr>
      <w:color w:val="404040"/>
    </w:rPr>
    <w:tblStylePr w:type="firstRow">
      <w:rPr>
        <w:rFonts w:ascii="Arial" w:hAnsi="Arial"/>
        <w:color w:val="F2F2F2"/>
        <w:sz w:val="22"/>
      </w:rPr>
      <w:tcPr>
        <w:shd w:val="clear" w:color="A02B93" w:themeColor="accent5" w:fill="A02B93" w:themeFill="accent5"/>
      </w:tcPr>
    </w:tblStylePr>
    <w:tblStylePr w:type="lastRow">
      <w:rPr>
        <w:rFonts w:ascii="Arial" w:hAnsi="Arial"/>
        <w:color w:val="F2F2F2"/>
        <w:sz w:val="22"/>
      </w:rPr>
      <w:tcPr>
        <w:shd w:val="clear" w:color="A02B93" w:themeColor="accent5" w:fill="A02B93" w:themeFill="accent5"/>
      </w:tcPr>
    </w:tblStylePr>
    <w:tblStylePr w:type="firstCol">
      <w:rPr>
        <w:rFonts w:ascii="Arial" w:hAnsi="Arial"/>
        <w:color w:val="F2F2F2"/>
        <w:sz w:val="22"/>
      </w:rPr>
      <w:tcPr>
        <w:shd w:val="clear" w:color="A02B93" w:themeColor="accent5" w:fill="A02B93" w:themeFill="accent5"/>
      </w:tcPr>
    </w:tblStylePr>
    <w:tblStylePr w:type="lastCol">
      <w:rPr>
        <w:rFonts w:ascii="Arial" w:hAnsi="Arial"/>
        <w:color w:val="F2F2F2"/>
        <w:sz w:val="22"/>
      </w:r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1CDED" w:themeColor="accent5" w:themeTint="34" w:fill="F1CDED" w:themeFill="accent5" w:themeFillTint="34"/>
      </w:tcPr>
    </w:tblStylePr>
  </w:style>
  <w:style w:type="table" w:customStyle="1" w:styleId="207">
    <w:name w:val="Lined - Accent 6"/>
    <w:basedOn w:val="57"/>
    <w:qFormat/>
    <w:uiPriority w:val="99"/>
    <w:rPr>
      <w:color w:val="404040"/>
    </w:rPr>
    <w:tblStylePr w:type="firstRow">
      <w:rPr>
        <w:rFonts w:ascii="Arial" w:hAnsi="Arial"/>
        <w:color w:val="F2F2F2"/>
        <w:sz w:val="22"/>
      </w:rPr>
      <w:tcPr>
        <w:shd w:val="clear" w:color="4EA72E" w:themeColor="accent6" w:fill="4EA72E" w:themeFill="accent6"/>
      </w:tcPr>
    </w:tblStylePr>
    <w:tblStylePr w:type="lastRow">
      <w:rPr>
        <w:rFonts w:ascii="Arial" w:hAnsi="Arial"/>
        <w:color w:val="F2F2F2"/>
        <w:sz w:val="22"/>
      </w:rPr>
      <w:tcPr>
        <w:shd w:val="clear" w:color="4EA72E" w:themeColor="accent6" w:fill="4EA72E" w:themeFill="accent6"/>
      </w:tcPr>
    </w:tblStylePr>
    <w:tblStylePr w:type="firstCol">
      <w:rPr>
        <w:rFonts w:ascii="Arial" w:hAnsi="Arial"/>
        <w:color w:val="F2F2F2"/>
        <w:sz w:val="22"/>
      </w:rPr>
      <w:tcPr>
        <w:shd w:val="clear" w:color="4EA72E" w:themeColor="accent6" w:fill="4EA72E" w:themeFill="accent6"/>
      </w:tcPr>
    </w:tblStylePr>
    <w:tblStylePr w:type="lastCol">
      <w:rPr>
        <w:rFonts w:ascii="Arial" w:hAnsi="Arial"/>
        <w:color w:val="F2F2F2"/>
        <w:sz w:val="22"/>
      </w:r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cPr>
        <w:shd w:val="clear" w:color="D8F1CF" w:themeColor="accent6" w:themeTint="34" w:fill="D8F1CF"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D8F1CF" w:themeColor="accent6" w:themeTint="34" w:fill="D8F1CF" w:themeFill="accent6" w:themeFillTint="34"/>
      </w:tcPr>
    </w:tblStylePr>
  </w:style>
  <w:style w:type="table" w:customStyle="1" w:styleId="208">
    <w:name w:val="Bordered &amp; Lined - Accent"/>
    <w:basedOn w:val="57"/>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9">
    <w:name w:val="Bordered &amp; Lined - Accent 1"/>
    <w:basedOn w:val="57"/>
    <w:qFormat/>
    <w:uiPriority w:val="99"/>
    <w:rPr>
      <w:color w:val="404040"/>
    </w:rPr>
    <w:tblPr>
      <w:tblBorders>
        <w:top w:val="single" w:color="0C384B" w:themeColor="accent1" w:themeShade="95" w:sz="4" w:space="0"/>
        <w:left w:val="single" w:color="0C384B" w:themeColor="accent1" w:themeShade="95" w:sz="4" w:space="0"/>
        <w:bottom w:val="single" w:color="0C384B" w:themeColor="accent1" w:themeShade="95" w:sz="4" w:space="0"/>
        <w:right w:val="single" w:color="0C384B" w:themeColor="accent1" w:themeShade="95" w:sz="4" w:space="0"/>
        <w:insideH w:val="single" w:color="0C384B" w:themeColor="accent1" w:themeShade="95" w:sz="4" w:space="0"/>
        <w:insideV w:val="single" w:color="0C384B" w:themeColor="accent1" w:themeShade="95" w:sz="4" w:space="0"/>
      </w:tblBorders>
    </w:tblPr>
    <w:tblStylePr w:type="firstRow">
      <w:rPr>
        <w:rFonts w:ascii="Arial" w:hAnsi="Arial"/>
        <w:color w:val="F2F2F2"/>
        <w:sz w:val="22"/>
      </w:rPr>
      <w:tcPr>
        <w:shd w:val="clear" w:color="19729B" w:themeColor="accent1" w:themeTint="EA" w:fill="19729B" w:themeFill="accent1" w:themeFillTint="EA"/>
      </w:tcPr>
    </w:tblStylePr>
    <w:tblStylePr w:type="lastRow">
      <w:rPr>
        <w:rFonts w:ascii="Arial" w:hAnsi="Arial"/>
        <w:color w:val="F2F2F2"/>
        <w:sz w:val="22"/>
      </w:rPr>
      <w:tcPr>
        <w:shd w:val="clear" w:color="19729B" w:themeColor="accent1" w:themeTint="EA" w:fill="19729B" w:themeFill="accent1" w:themeFillTint="EA"/>
      </w:tcPr>
    </w:tblStylePr>
    <w:tblStylePr w:type="firstCol">
      <w:rPr>
        <w:rFonts w:ascii="Arial" w:hAnsi="Arial"/>
        <w:color w:val="F2F2F2"/>
        <w:sz w:val="22"/>
      </w:rPr>
      <w:tcPr>
        <w:shd w:val="clear" w:color="19729B" w:themeColor="accent1" w:themeTint="EA" w:fill="19729B" w:themeFill="accent1" w:themeFillTint="EA"/>
      </w:tcPr>
    </w:tblStylePr>
    <w:tblStylePr w:type="lastCol">
      <w:rPr>
        <w:rFonts w:ascii="Arial" w:hAnsi="Arial"/>
        <w:color w:val="F2F2F2"/>
        <w:sz w:val="22"/>
      </w:r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9ED5EF" w:themeColor="accent1" w:themeTint="50" w:fill="9ED5EF" w:themeFill="accent1" w:themeFillTint="50"/>
      </w:tcPr>
    </w:tblStylePr>
  </w:style>
  <w:style w:type="table" w:customStyle="1" w:styleId="210">
    <w:name w:val="Bordered &amp; Lined - Accent 2"/>
    <w:basedOn w:val="57"/>
    <w:qFormat/>
    <w:uiPriority w:val="99"/>
    <w:rPr>
      <w:color w:val="404040"/>
    </w:rPr>
    <w:tblPr>
      <w:tblBorders>
        <w:top w:val="single" w:color="953D10" w:themeColor="accent2" w:themeShade="95" w:sz="4" w:space="0"/>
        <w:left w:val="single" w:color="953D10" w:themeColor="accent2" w:themeShade="95" w:sz="4" w:space="0"/>
        <w:bottom w:val="single" w:color="953D10" w:themeColor="accent2" w:themeShade="95" w:sz="4" w:space="0"/>
        <w:right w:val="single" w:color="953D10" w:themeColor="accent2" w:themeShade="95" w:sz="4" w:space="0"/>
        <w:insideH w:val="single" w:color="953D10" w:themeColor="accent2" w:themeShade="95" w:sz="4" w:space="0"/>
        <w:insideV w:val="single" w:color="953D10" w:themeColor="accent2" w:themeShade="95" w:sz="4" w:space="0"/>
      </w:tblBorders>
    </w:tblPr>
    <w:tblStylePr w:type="firstRow">
      <w:rPr>
        <w:rFonts w:ascii="Arial" w:hAnsi="Arial"/>
        <w:color w:val="F2F2F2"/>
        <w:sz w:val="22"/>
      </w:rPr>
      <w:tcPr>
        <w:shd w:val="clear" w:color="F1AA85" w:themeColor="accent2" w:themeTint="97" w:fill="F1AA85" w:themeFill="accent2" w:themeFillTint="97"/>
      </w:tcPr>
    </w:tblStylePr>
    <w:tblStylePr w:type="lastRow">
      <w:rPr>
        <w:rFonts w:ascii="Arial" w:hAnsi="Arial"/>
        <w:color w:val="F2F2F2"/>
        <w:sz w:val="22"/>
      </w:rPr>
      <w:tcPr>
        <w:shd w:val="clear" w:color="F1AA85" w:themeColor="accent2" w:themeTint="97" w:fill="F1AA85" w:themeFill="accent2" w:themeFillTint="97"/>
      </w:tcPr>
    </w:tblStylePr>
    <w:tblStylePr w:type="firstCol">
      <w:rPr>
        <w:rFonts w:ascii="Arial" w:hAnsi="Arial"/>
        <w:color w:val="F2F2F2"/>
        <w:sz w:val="22"/>
      </w:rPr>
      <w:tcPr>
        <w:shd w:val="clear" w:color="F1AA85" w:themeColor="accent2" w:themeTint="97" w:fill="F1AA85" w:themeFill="accent2" w:themeFillTint="97"/>
      </w:tcPr>
    </w:tblStylePr>
    <w:tblStylePr w:type="lastCol">
      <w:rPr>
        <w:rFonts w:ascii="Arial" w:hAnsi="Arial"/>
        <w:color w:val="F2F2F2"/>
        <w:sz w:val="22"/>
      </w:rPr>
      <w:tcPr>
        <w:shd w:val="clear" w:color="F1AA85" w:themeColor="accent2" w:themeTint="97" w:fill="F1AA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AE3D6" w:themeColor="accent2" w:themeTint="32" w:fill="FAE3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AE3D6" w:themeColor="accent2" w:themeTint="32" w:fill="FAE3D6" w:themeFill="accent2" w:themeFillTint="32"/>
      </w:tcPr>
    </w:tblStylePr>
  </w:style>
  <w:style w:type="table" w:customStyle="1" w:styleId="211">
    <w:name w:val="Bordered &amp; Lined - Accent 3"/>
    <w:basedOn w:val="57"/>
    <w:qFormat/>
    <w:uiPriority w:val="99"/>
    <w:rPr>
      <w:color w:val="404040"/>
    </w:rPr>
    <w:tblPr>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Pr>
    <w:tblStylePr w:type="firstRow">
      <w:rPr>
        <w:rFonts w:ascii="Arial" w:hAnsi="Arial"/>
        <w:color w:val="F2F2F2"/>
        <w:sz w:val="22"/>
      </w:rPr>
      <w:tcPr>
        <w:shd w:val="clear" w:color="196C24" w:themeColor="accent3" w:themeTint="FE" w:fill="196C24" w:themeFill="accent3" w:themeFillTint="FE"/>
      </w:tcPr>
    </w:tblStylePr>
    <w:tblStylePr w:type="lastRow">
      <w:rPr>
        <w:rFonts w:ascii="Arial" w:hAnsi="Arial"/>
        <w:color w:val="F2F2F2"/>
        <w:sz w:val="22"/>
      </w:rPr>
      <w:tcPr>
        <w:shd w:val="clear" w:color="196C24" w:themeColor="accent3" w:themeTint="FE" w:fill="196C24" w:themeFill="accent3" w:themeFillTint="FE"/>
      </w:tcPr>
    </w:tblStylePr>
    <w:tblStylePr w:type="firstCol">
      <w:rPr>
        <w:rFonts w:ascii="Arial" w:hAnsi="Arial"/>
        <w:color w:val="F2F2F2"/>
        <w:sz w:val="22"/>
      </w:rPr>
      <w:tcPr>
        <w:shd w:val="clear" w:color="196C24" w:themeColor="accent3" w:themeTint="FE" w:fill="196C24" w:themeFill="accent3" w:themeFillTint="FE"/>
      </w:tcPr>
    </w:tblStylePr>
    <w:tblStylePr w:type="lastCol">
      <w:rPr>
        <w:rFonts w:ascii="Arial" w:hAnsi="Arial"/>
        <w:color w:val="F2F2F2"/>
        <w:sz w:val="22"/>
      </w:r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C0F0C6" w:themeColor="accent3" w:themeTint="34" w:fill="C0F0C6" w:themeFill="accent3" w:themeFillTint="34"/>
      </w:tcPr>
    </w:tblStylePr>
  </w:style>
  <w:style w:type="table" w:customStyle="1" w:styleId="212">
    <w:name w:val="Bordered &amp; Lined - Accent 4"/>
    <w:basedOn w:val="57"/>
    <w:qFormat/>
    <w:uiPriority w:val="99"/>
    <w:rPr>
      <w:color w:val="404040"/>
    </w:rPr>
    <w:tblPr>
      <w:tblBorders>
        <w:top w:val="single" w:color="085C7C" w:themeColor="accent4" w:themeShade="95" w:sz="4" w:space="0"/>
        <w:left w:val="single" w:color="085C7C" w:themeColor="accent4" w:themeShade="95" w:sz="4" w:space="0"/>
        <w:bottom w:val="single" w:color="085C7C" w:themeColor="accent4" w:themeShade="95" w:sz="4" w:space="0"/>
        <w:right w:val="single" w:color="085C7C" w:themeColor="accent4" w:themeShade="95" w:sz="4" w:space="0"/>
        <w:insideH w:val="single" w:color="085C7C" w:themeColor="accent4" w:themeShade="95" w:sz="4" w:space="0"/>
        <w:insideV w:val="single" w:color="085C7C" w:themeColor="accent4" w:themeShade="95" w:sz="4" w:space="0"/>
      </w:tblBorders>
    </w:tblPr>
    <w:tblStylePr w:type="firstRow">
      <w:rPr>
        <w:rFonts w:ascii="Arial" w:hAnsi="Arial"/>
        <w:color w:val="F2F2F2"/>
        <w:sz w:val="22"/>
      </w:rPr>
      <w:tcPr>
        <w:shd w:val="clear" w:color="5FCAF3" w:themeColor="accent4" w:themeTint="9A" w:fill="5FCAF3" w:themeFill="accent4" w:themeFillTint="9A"/>
      </w:tcPr>
    </w:tblStylePr>
    <w:tblStylePr w:type="lastRow">
      <w:rPr>
        <w:rFonts w:ascii="Arial" w:hAnsi="Arial"/>
        <w:color w:val="F2F2F2"/>
        <w:sz w:val="22"/>
      </w:rPr>
      <w:tcPr>
        <w:shd w:val="clear" w:color="5FCAF3" w:themeColor="accent4" w:themeTint="9A" w:fill="5FCAF3" w:themeFill="accent4" w:themeFillTint="9A"/>
      </w:tcPr>
    </w:tblStylePr>
    <w:tblStylePr w:type="firstCol">
      <w:rPr>
        <w:rFonts w:ascii="Arial" w:hAnsi="Arial"/>
        <w:color w:val="F2F2F2"/>
        <w:sz w:val="22"/>
      </w:rPr>
      <w:tcPr>
        <w:shd w:val="clear" w:color="5FCAF3" w:themeColor="accent4" w:themeTint="9A" w:fill="5FCAF3" w:themeFill="accent4" w:themeFillTint="9A"/>
      </w:tcPr>
    </w:tblStylePr>
    <w:tblStylePr w:type="lastCol">
      <w:rPr>
        <w:rFonts w:ascii="Arial" w:hAnsi="Arial"/>
        <w:color w:val="F2F2F2"/>
        <w:sz w:val="22"/>
      </w:r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C9EDFB" w:themeColor="accent4" w:themeTint="34" w:fill="C9EDFB" w:themeFill="accent4" w:themeFillTint="34"/>
      </w:tcPr>
    </w:tblStylePr>
  </w:style>
  <w:style w:type="table" w:customStyle="1" w:styleId="213">
    <w:name w:val="Bordered &amp; Lined - Accent 5"/>
    <w:basedOn w:val="57"/>
    <w:qFormat/>
    <w:uiPriority w:val="99"/>
    <w:rPr>
      <w:color w:val="404040"/>
    </w:rPr>
    <w:tblPr>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Pr>
    <w:tblStylePr w:type="firstRow">
      <w:rPr>
        <w:rFonts w:ascii="Arial" w:hAnsi="Arial"/>
        <w:color w:val="F2F2F2"/>
        <w:sz w:val="22"/>
      </w:rPr>
      <w:tcPr>
        <w:shd w:val="clear" w:color="A02B93" w:themeColor="accent5" w:fill="A02B93" w:themeFill="accent5"/>
      </w:tcPr>
    </w:tblStylePr>
    <w:tblStylePr w:type="lastRow">
      <w:rPr>
        <w:rFonts w:ascii="Arial" w:hAnsi="Arial"/>
        <w:color w:val="F2F2F2"/>
        <w:sz w:val="22"/>
      </w:rPr>
      <w:tcPr>
        <w:shd w:val="clear" w:color="A02B93" w:themeColor="accent5" w:fill="A02B93" w:themeFill="accent5"/>
      </w:tcPr>
    </w:tblStylePr>
    <w:tblStylePr w:type="firstCol">
      <w:rPr>
        <w:rFonts w:ascii="Arial" w:hAnsi="Arial"/>
        <w:color w:val="F2F2F2"/>
        <w:sz w:val="22"/>
      </w:rPr>
      <w:tcPr>
        <w:shd w:val="clear" w:color="A02B93" w:themeColor="accent5" w:fill="A02B93" w:themeFill="accent5"/>
      </w:tcPr>
    </w:tblStylePr>
    <w:tblStylePr w:type="lastCol">
      <w:rPr>
        <w:rFonts w:ascii="Arial" w:hAnsi="Arial"/>
        <w:color w:val="F2F2F2"/>
        <w:sz w:val="22"/>
      </w:r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1CDED" w:themeColor="accent5" w:themeTint="34" w:fill="F1CDED" w:themeFill="accent5" w:themeFillTint="34"/>
      </w:tcPr>
    </w:tblStylePr>
  </w:style>
  <w:style w:type="table" w:customStyle="1" w:styleId="214">
    <w:name w:val="Bordered &amp; Lined - Accent 6"/>
    <w:basedOn w:val="57"/>
    <w:qFormat/>
    <w:uiPriority w:val="99"/>
    <w:rPr>
      <w:color w:val="404040"/>
    </w:rPr>
    <w:tblPr>
      <w:tblBorders>
        <w:top w:val="single" w:color="2D611A" w:themeColor="accent6" w:themeShade="95" w:sz="4" w:space="0"/>
        <w:left w:val="single" w:color="2D611A" w:themeColor="accent6" w:themeShade="95" w:sz="4" w:space="0"/>
        <w:bottom w:val="single" w:color="2D611A" w:themeColor="accent6" w:themeShade="95" w:sz="4" w:space="0"/>
        <w:right w:val="single" w:color="2D611A" w:themeColor="accent6" w:themeShade="95" w:sz="4" w:space="0"/>
        <w:insideH w:val="single" w:color="2D611A" w:themeColor="accent6" w:themeShade="95" w:sz="4" w:space="0"/>
        <w:insideV w:val="single" w:color="2D611A" w:themeColor="accent6" w:themeShade="95" w:sz="4" w:space="0"/>
      </w:tblBorders>
    </w:tblPr>
    <w:tblStylePr w:type="firstRow">
      <w:rPr>
        <w:rFonts w:ascii="Arial" w:hAnsi="Arial"/>
        <w:color w:val="F2F2F2"/>
        <w:sz w:val="22"/>
      </w:rPr>
      <w:tcPr>
        <w:shd w:val="clear" w:color="4EA72E" w:themeColor="accent6" w:fill="4EA72E" w:themeFill="accent6"/>
      </w:tcPr>
    </w:tblStylePr>
    <w:tblStylePr w:type="lastRow">
      <w:rPr>
        <w:rFonts w:ascii="Arial" w:hAnsi="Arial"/>
        <w:color w:val="F2F2F2"/>
        <w:sz w:val="22"/>
      </w:rPr>
      <w:tcPr>
        <w:shd w:val="clear" w:color="4EA72E" w:themeColor="accent6" w:fill="4EA72E" w:themeFill="accent6"/>
      </w:tcPr>
    </w:tblStylePr>
    <w:tblStylePr w:type="firstCol">
      <w:rPr>
        <w:rFonts w:ascii="Arial" w:hAnsi="Arial"/>
        <w:color w:val="F2F2F2"/>
        <w:sz w:val="22"/>
      </w:rPr>
      <w:tcPr>
        <w:shd w:val="clear" w:color="4EA72E" w:themeColor="accent6" w:fill="4EA72E" w:themeFill="accent6"/>
      </w:tcPr>
    </w:tblStylePr>
    <w:tblStylePr w:type="lastCol">
      <w:rPr>
        <w:rFonts w:ascii="Arial" w:hAnsi="Arial"/>
        <w:color w:val="F2F2F2"/>
        <w:sz w:val="22"/>
      </w:r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cPr>
        <w:shd w:val="clear" w:color="D8F1CF" w:themeColor="accent6" w:themeTint="34" w:fill="D8F1CF"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D8F1CF" w:themeColor="accent6" w:themeTint="34" w:fill="D8F1CF" w:themeFill="accent6" w:themeFillTint="34"/>
      </w:tcPr>
    </w:tblStylePr>
  </w:style>
  <w:style w:type="table" w:customStyle="1" w:styleId="215">
    <w:name w:val="Bordered"/>
    <w:basedOn w:val="57"/>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16">
    <w:name w:val="Bordered - Accent 1"/>
    <w:basedOn w:val="57"/>
    <w:qFormat/>
    <w:uiPriority w:val="99"/>
    <w:tblPr>
      <w:tbl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insideH w:val="single" w:color="82CAEA" w:themeColor="accent1" w:themeTint="67" w:sz="4" w:space="0"/>
        <w:insideV w:val="single" w:color="82CAEA" w:themeColor="accent1" w:themeTint="67" w:sz="4" w:space="0"/>
      </w:tblBorders>
    </w:tblPr>
    <w:tblStylePr w:type="firstRow">
      <w:rPr>
        <w:rFonts w:ascii="Arial" w:hAnsi="Arial"/>
        <w:color w:val="404040"/>
        <w:sz w:val="22"/>
      </w:rPr>
      <w:tcPr>
        <w:tcBorders>
          <w:bottom w:val="single" w:color="156082" w:themeColor="accent1" w:sz="12" w:space="0"/>
        </w:tcBorders>
      </w:tcPr>
    </w:tblStylePr>
    <w:tblStylePr w:type="lastRow">
      <w:rPr>
        <w:rFonts w:ascii="Arial" w:hAnsi="Arial"/>
        <w:color w:val="404040"/>
        <w:sz w:val="22"/>
      </w:rPr>
      <w:tcPr>
        <w:tcBorders>
          <w:top w:val="single" w:color="156082"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156082" w:themeColor="accent1" w:sz="12" w:space="0"/>
        </w:tcBorders>
      </w:tcPr>
    </w:tblStylePr>
    <w:tblStylePr w:type="band1Horz">
      <w:rPr>
        <w:rFonts w:ascii="Arial" w:hAnsi="Arial"/>
        <w:color w:val="404040"/>
        <w:sz w:val="22"/>
      </w:rPr>
      <w:tcPr>
        <w:tcBorders>
          <w:top w:val="single" w:color="82CAEA" w:themeColor="accent1" w:themeTint="67" w:sz="4" w:space="0"/>
          <w:left w:val="single" w:color="82CAEA" w:themeColor="accent1" w:themeTint="67" w:sz="4" w:space="0"/>
          <w:bottom w:val="single" w:color="82CAEA" w:themeColor="accent1" w:themeTint="67" w:sz="4" w:space="0"/>
          <w:right w:val="single" w:color="82CAEA" w:themeColor="accent1" w:themeTint="67" w:sz="4" w:space="0"/>
        </w:tcBorders>
      </w:tcPr>
    </w:tblStylePr>
  </w:style>
  <w:style w:type="table" w:customStyle="1" w:styleId="217">
    <w:name w:val="Bordered - Accent 2"/>
    <w:basedOn w:val="57"/>
    <w:qFormat/>
    <w:uiPriority w:val="99"/>
    <w:tblPr>
      <w:tbl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insideH w:val="single" w:color="F6C5AC" w:themeColor="accent2" w:themeTint="67" w:sz="4" w:space="0"/>
        <w:insideV w:val="single" w:color="F6C5AC" w:themeColor="accent2" w:themeTint="67" w:sz="4" w:space="0"/>
      </w:tblBorders>
    </w:tblPr>
    <w:tblStylePr w:type="firstRow">
      <w:rPr>
        <w:rFonts w:ascii="Arial" w:hAnsi="Arial"/>
        <w:color w:val="404040"/>
        <w:sz w:val="22"/>
      </w:rPr>
      <w:tcPr>
        <w:tcBorders>
          <w:bottom w:val="single" w:color="F1AA85" w:themeColor="accent2" w:themeTint="97" w:sz="12" w:space="0"/>
        </w:tcBorders>
      </w:tcPr>
    </w:tblStylePr>
    <w:tblStylePr w:type="lastRow">
      <w:rPr>
        <w:rFonts w:ascii="Arial" w:hAnsi="Arial"/>
        <w:color w:val="404040"/>
        <w:sz w:val="22"/>
      </w:rPr>
      <w:tcPr>
        <w:tcBorders>
          <w:top w:val="single" w:color="F1AA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1AA85" w:themeColor="accent2" w:themeTint="97" w:sz="12" w:space="0"/>
        </w:tcBorders>
      </w:tcPr>
    </w:tblStylePr>
    <w:tblStylePr w:type="band1Horz">
      <w:rPr>
        <w:rFonts w:ascii="Arial" w:hAnsi="Arial"/>
        <w:color w:val="404040"/>
        <w:sz w:val="22"/>
      </w:rPr>
      <w:tcPr>
        <w:tcBorders>
          <w:top w:val="single" w:color="F6C5AC" w:themeColor="accent2" w:themeTint="67" w:sz="4" w:space="0"/>
          <w:left w:val="single" w:color="F6C5AC" w:themeColor="accent2" w:themeTint="67" w:sz="4" w:space="0"/>
          <w:bottom w:val="single" w:color="F6C5AC" w:themeColor="accent2" w:themeTint="67" w:sz="4" w:space="0"/>
          <w:right w:val="single" w:color="F6C5AC" w:themeColor="accent2" w:themeTint="67" w:sz="4" w:space="0"/>
        </w:tcBorders>
      </w:tcPr>
    </w:tblStylePr>
  </w:style>
  <w:style w:type="table" w:customStyle="1" w:styleId="218">
    <w:name w:val="Bordered - Accent 3"/>
    <w:basedOn w:val="57"/>
    <w:qFormat/>
    <w:uiPriority w:val="99"/>
    <w:tblPr>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blStylePr w:type="firstRow">
      <w:rPr>
        <w:rFonts w:ascii="Arial" w:hAnsi="Arial"/>
        <w:color w:val="404040"/>
        <w:sz w:val="22"/>
      </w:rPr>
      <w:tcPr>
        <w:tcBorders>
          <w:bottom w:val="single" w:color="48D45B" w:themeColor="accent3" w:themeTint="98" w:sz="12" w:space="0"/>
        </w:tcBorders>
      </w:tcPr>
    </w:tblStylePr>
    <w:tblStylePr w:type="lastRow">
      <w:rPr>
        <w:rFonts w:ascii="Arial" w:hAnsi="Arial"/>
        <w:color w:val="404040"/>
        <w:sz w:val="22"/>
      </w:rPr>
      <w:tcPr>
        <w:tcBorders>
          <w:top w:val="single" w:color="48D45B"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D45B" w:themeColor="accent3" w:themeTint="98" w:sz="12" w:space="0"/>
        </w:tcBorders>
      </w:tcPr>
    </w:tblStylePr>
    <w:tblStylePr w:type="band1Horz">
      <w:rPr>
        <w:rFonts w:ascii="Arial" w:hAnsi="Arial"/>
        <w:color w:val="404040"/>
        <w:sz w:val="22"/>
      </w:r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style>
  <w:style w:type="table" w:customStyle="1" w:styleId="219">
    <w:name w:val="Bordered - Accent 4"/>
    <w:basedOn w:val="57"/>
    <w:qFormat/>
    <w:uiPriority w:val="99"/>
    <w:tblPr>
      <w:tbl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insideH w:val="single" w:color="94DCF7" w:themeColor="accent4" w:themeTint="67" w:sz="4" w:space="0"/>
        <w:insideV w:val="single" w:color="94DCF7" w:themeColor="accent4" w:themeTint="67" w:sz="4" w:space="0"/>
      </w:tblBorders>
    </w:tblPr>
    <w:tblStylePr w:type="firstRow">
      <w:rPr>
        <w:rFonts w:ascii="Arial" w:hAnsi="Arial"/>
        <w:color w:val="404040"/>
        <w:sz w:val="22"/>
      </w:rPr>
      <w:tcPr>
        <w:tcBorders>
          <w:bottom w:val="single" w:color="5FCAF3" w:themeColor="accent4" w:themeTint="9A" w:sz="12" w:space="0"/>
        </w:tcBorders>
      </w:tcPr>
    </w:tblStylePr>
    <w:tblStylePr w:type="lastRow">
      <w:rPr>
        <w:rFonts w:ascii="Arial" w:hAnsi="Arial"/>
        <w:color w:val="404040"/>
        <w:sz w:val="22"/>
      </w:rPr>
      <w:tcPr>
        <w:tcBorders>
          <w:top w:val="single" w:color="5FCAF3"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FCAF3" w:themeColor="accent4" w:themeTint="9A" w:sz="12" w:space="0"/>
        </w:tcBorders>
      </w:tcPr>
    </w:tblStylePr>
    <w:tblStylePr w:type="band1Horz">
      <w:rPr>
        <w:rFonts w:ascii="Arial" w:hAnsi="Arial"/>
        <w:color w:val="404040"/>
        <w:sz w:val="22"/>
      </w:rPr>
      <w:tcPr>
        <w:tcBorders>
          <w:top w:val="single" w:color="94DCF7" w:themeColor="accent4" w:themeTint="67" w:sz="4" w:space="0"/>
          <w:left w:val="single" w:color="94DCF7" w:themeColor="accent4" w:themeTint="67" w:sz="4" w:space="0"/>
          <w:bottom w:val="single" w:color="94DCF7" w:themeColor="accent4" w:themeTint="67" w:sz="4" w:space="0"/>
          <w:right w:val="single" w:color="94DCF7" w:themeColor="accent4" w:themeTint="67" w:sz="4" w:space="0"/>
        </w:tcBorders>
      </w:tcPr>
    </w:tblStylePr>
  </w:style>
  <w:style w:type="table" w:customStyle="1" w:styleId="220">
    <w:name w:val="Bordered - Accent 5"/>
    <w:basedOn w:val="57"/>
    <w:qFormat/>
    <w:uiPriority w:val="99"/>
    <w:tblPr>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blStylePr w:type="firstRow">
      <w:rPr>
        <w:rFonts w:ascii="Arial" w:hAnsi="Arial"/>
        <w:color w:val="404040"/>
        <w:sz w:val="22"/>
      </w:rPr>
      <w:tcPr>
        <w:tcBorders>
          <w:bottom w:val="single" w:color="D76CCB" w:themeColor="accent5" w:themeTint="9A" w:sz="12" w:space="0"/>
        </w:tcBorders>
      </w:tcPr>
    </w:tblStylePr>
    <w:tblStylePr w:type="lastRow">
      <w:rPr>
        <w:rFonts w:ascii="Arial" w:hAnsi="Arial"/>
        <w:color w:val="404040"/>
        <w:sz w:val="22"/>
      </w:rPr>
      <w:tcPr>
        <w:tcBorders>
          <w:top w:val="single" w:color="D76CC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76CCB" w:themeColor="accent5" w:themeTint="9A" w:sz="12" w:space="0"/>
        </w:tcBorders>
      </w:tcPr>
    </w:tblStylePr>
    <w:tblStylePr w:type="band1Horz">
      <w:rPr>
        <w:rFonts w:ascii="Arial" w:hAnsi="Arial"/>
        <w:color w:val="404040"/>
        <w:sz w:val="22"/>
      </w:r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style>
  <w:style w:type="table" w:customStyle="1" w:styleId="221">
    <w:name w:val="Bordered - Accent 6"/>
    <w:basedOn w:val="57"/>
    <w:qFormat/>
    <w:uiPriority w:val="99"/>
    <w:tblPr>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blStylePr w:type="firstRow">
      <w:rPr>
        <w:rFonts w:ascii="Arial" w:hAnsi="Arial"/>
        <w:color w:val="404040"/>
        <w:sz w:val="22"/>
      </w:rPr>
      <w:tcPr>
        <w:tcBorders>
          <w:bottom w:val="single" w:color="8ED874" w:themeColor="accent6" w:themeTint="98" w:sz="12" w:space="0"/>
        </w:tcBorders>
      </w:tcPr>
    </w:tblStylePr>
    <w:tblStylePr w:type="lastRow">
      <w:rPr>
        <w:rFonts w:ascii="Arial" w:hAnsi="Arial"/>
        <w:color w:val="404040"/>
        <w:sz w:val="22"/>
      </w:rPr>
      <w:tcPr>
        <w:tcBorders>
          <w:top w:val="single" w:color="8ED874"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D874" w:themeColor="accent6" w:themeTint="98" w:sz="12" w:space="0"/>
        </w:tcBorders>
      </w:tcPr>
    </w:tblStylePr>
    <w:tblStylePr w:type="band1Horz">
      <w:rPr>
        <w:rFonts w:ascii="Arial" w:hAnsi="Arial"/>
        <w:color w:val="404040"/>
        <w:sz w:val="22"/>
      </w:r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style>
  <w:style w:type="character" w:customStyle="1" w:styleId="222">
    <w:name w:val="脚注文本 字符"/>
    <w:link w:val="43"/>
    <w:qFormat/>
    <w:uiPriority w:val="99"/>
    <w:rPr>
      <w:sz w:val="18"/>
    </w:rPr>
  </w:style>
  <w:style w:type="character" w:customStyle="1" w:styleId="223">
    <w:name w:val="尾注文本 字符"/>
    <w:link w:val="35"/>
    <w:qFormat/>
    <w:uiPriority w:val="99"/>
    <w:rPr>
      <w:sz w:val="20"/>
    </w:rPr>
  </w:style>
  <w:style w:type="paragraph" w:customStyle="1" w:styleId="224">
    <w:name w:val="TOC 标题1"/>
    <w:unhideWhenUsed/>
    <w:qFormat/>
    <w:uiPriority w:val="39"/>
    <w:rPr>
      <w:rFonts w:ascii="Times New Roman" w:hAnsi="Times New Roman" w:eastAsia="宋体" w:cs="Times New Roman"/>
      <w:lang w:val="en-US" w:eastAsia="zh-CN" w:bidi="ar-SA"/>
    </w:rPr>
  </w:style>
  <w:style w:type="character" w:customStyle="1" w:styleId="225">
    <w:name w:val="标题 1 字符"/>
    <w:basedOn w:val="67"/>
    <w:link w:val="2"/>
    <w:qFormat/>
    <w:uiPriority w:val="0"/>
    <w:rPr>
      <w:rFonts w:asciiTheme="majorHAnsi" w:hAnsiTheme="majorHAnsi" w:eastAsiaTheme="majorEastAsia" w:cstheme="majorBidi"/>
      <w:color w:val="104862" w:themeColor="accent1" w:themeShade="BF"/>
      <w:sz w:val="48"/>
      <w:szCs w:val="48"/>
    </w:rPr>
  </w:style>
  <w:style w:type="character" w:customStyle="1" w:styleId="226">
    <w:name w:val="标题 2 字符"/>
    <w:basedOn w:val="67"/>
    <w:link w:val="3"/>
    <w:qFormat/>
    <w:uiPriority w:val="0"/>
    <w:rPr>
      <w:rFonts w:asciiTheme="majorHAnsi" w:hAnsiTheme="majorHAnsi" w:eastAsiaTheme="majorEastAsia" w:cstheme="majorBidi"/>
      <w:color w:val="104862" w:themeColor="accent1" w:themeShade="BF"/>
      <w:sz w:val="40"/>
      <w:szCs w:val="40"/>
    </w:rPr>
  </w:style>
  <w:style w:type="character" w:customStyle="1" w:styleId="227">
    <w:name w:val="标题 3 字符"/>
    <w:basedOn w:val="67"/>
    <w:link w:val="4"/>
    <w:qFormat/>
    <w:uiPriority w:val="0"/>
    <w:rPr>
      <w:rFonts w:asciiTheme="majorHAnsi" w:hAnsiTheme="majorHAnsi" w:eastAsiaTheme="majorEastAsia" w:cstheme="majorBidi"/>
      <w:color w:val="104862" w:themeColor="accent1" w:themeShade="BF"/>
      <w:sz w:val="32"/>
      <w:szCs w:val="32"/>
    </w:rPr>
  </w:style>
  <w:style w:type="character" w:customStyle="1" w:styleId="228">
    <w:name w:val="标题 4 字符"/>
    <w:basedOn w:val="67"/>
    <w:link w:val="5"/>
    <w:qFormat/>
    <w:uiPriority w:val="0"/>
    <w:rPr>
      <w:rFonts w:cstheme="majorBidi"/>
      <w:color w:val="104862" w:themeColor="accent1" w:themeShade="BF"/>
      <w:sz w:val="28"/>
      <w:szCs w:val="28"/>
    </w:rPr>
  </w:style>
  <w:style w:type="character" w:customStyle="1" w:styleId="229">
    <w:name w:val="标题 5 字符"/>
    <w:basedOn w:val="67"/>
    <w:link w:val="6"/>
    <w:qFormat/>
    <w:uiPriority w:val="0"/>
    <w:rPr>
      <w:rFonts w:cstheme="majorBidi"/>
      <w:color w:val="104862" w:themeColor="accent1" w:themeShade="BF"/>
      <w:sz w:val="24"/>
    </w:rPr>
  </w:style>
  <w:style w:type="character" w:customStyle="1" w:styleId="230">
    <w:name w:val="标题 6 字符"/>
    <w:basedOn w:val="67"/>
    <w:link w:val="7"/>
    <w:qFormat/>
    <w:uiPriority w:val="0"/>
    <w:rPr>
      <w:rFonts w:cstheme="majorBidi"/>
      <w:b/>
      <w:bCs/>
      <w:color w:val="104862" w:themeColor="accent1" w:themeShade="BF"/>
    </w:rPr>
  </w:style>
  <w:style w:type="character" w:customStyle="1" w:styleId="231">
    <w:name w:val="标题 7 字符"/>
    <w:basedOn w:val="67"/>
    <w:link w:val="8"/>
    <w:qFormat/>
    <w:uiPriority w:val="0"/>
    <w:rPr>
      <w:rFonts w:cstheme="majorBidi"/>
      <w:b/>
      <w:bCs/>
      <w:color w:val="595959" w:themeColor="text1" w:themeTint="A6"/>
      <w:sz w:val="24"/>
      <w:szCs w:val="24"/>
      <w14:textFill>
        <w14:solidFill>
          <w14:schemeClr w14:val="tx1">
            <w14:lumMod w14:val="65000"/>
            <w14:lumOff w14:val="35000"/>
          </w14:schemeClr>
        </w14:solidFill>
      </w14:textFill>
    </w:rPr>
  </w:style>
  <w:style w:type="character" w:customStyle="1" w:styleId="232">
    <w:name w:val="标题 8 字符"/>
    <w:basedOn w:val="67"/>
    <w:link w:val="9"/>
    <w:qFormat/>
    <w:uiPriority w:val="0"/>
    <w:rPr>
      <w:rFonts w:cstheme="majorBidi"/>
      <w:color w:val="595959" w:themeColor="text1" w:themeTint="A6"/>
      <w:sz w:val="24"/>
      <w:szCs w:val="24"/>
      <w14:textFill>
        <w14:solidFill>
          <w14:schemeClr w14:val="tx1">
            <w14:lumMod w14:val="65000"/>
            <w14:lumOff w14:val="35000"/>
          </w14:schemeClr>
        </w14:solidFill>
      </w14:textFill>
    </w:rPr>
  </w:style>
  <w:style w:type="character" w:customStyle="1" w:styleId="233">
    <w:name w:val="标题 9 字符"/>
    <w:basedOn w:val="67"/>
    <w:link w:val="10"/>
    <w:qFormat/>
    <w:uiPriority w:val="0"/>
    <w:rPr>
      <w:rFonts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234">
    <w:name w:val="标题 字符"/>
    <w:basedOn w:val="67"/>
    <w:link w:val="53"/>
    <w:qFormat/>
    <w:uiPriority w:val="99"/>
    <w:rPr>
      <w:rFonts w:asciiTheme="majorHAnsi" w:hAnsiTheme="majorHAnsi" w:eastAsiaTheme="majorEastAsia" w:cstheme="majorBidi"/>
      <w:spacing w:val="-10"/>
      <w:sz w:val="56"/>
      <w:szCs w:val="56"/>
    </w:rPr>
  </w:style>
  <w:style w:type="character" w:customStyle="1" w:styleId="235">
    <w:name w:val="副标题 字符"/>
    <w:basedOn w:val="67"/>
    <w:link w:val="4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36">
    <w:name w:val="Quote"/>
    <w:basedOn w:val="1"/>
    <w:next w:val="1"/>
    <w:link w:val="2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37">
    <w:name w:val="引用 字符"/>
    <w:basedOn w:val="67"/>
    <w:link w:val="236"/>
    <w:qFormat/>
    <w:uiPriority w:val="29"/>
    <w:rPr>
      <w:i/>
      <w:iCs/>
      <w:color w:val="404040" w:themeColor="text1" w:themeTint="BF"/>
      <w:sz w:val="24"/>
      <w:szCs w:val="24"/>
      <w14:textFill>
        <w14:solidFill>
          <w14:schemeClr w14:val="tx1">
            <w14:lumMod w14:val="75000"/>
            <w14:lumOff w14:val="25000"/>
          </w14:schemeClr>
        </w14:solidFill>
      </w14:textFill>
    </w:rPr>
  </w:style>
  <w:style w:type="paragraph" w:styleId="238">
    <w:name w:val="List Paragraph"/>
    <w:basedOn w:val="1"/>
    <w:qFormat/>
    <w:uiPriority w:val="34"/>
    <w:pPr>
      <w:ind w:left="720"/>
      <w:contextualSpacing/>
    </w:pPr>
  </w:style>
  <w:style w:type="character" w:customStyle="1" w:styleId="239">
    <w:name w:val="明显强调1"/>
    <w:basedOn w:val="67"/>
    <w:qFormat/>
    <w:uiPriority w:val="21"/>
    <w:rPr>
      <w:i/>
      <w:iCs/>
      <w:color w:val="104862" w:themeColor="accent1" w:themeShade="BF"/>
    </w:rPr>
  </w:style>
  <w:style w:type="paragraph" w:styleId="240">
    <w:name w:val="Intense Quote"/>
    <w:basedOn w:val="1"/>
    <w:next w:val="1"/>
    <w:link w:val="2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241">
    <w:name w:val="明显引用 字符"/>
    <w:basedOn w:val="67"/>
    <w:link w:val="240"/>
    <w:qFormat/>
    <w:uiPriority w:val="30"/>
    <w:rPr>
      <w:i/>
      <w:iCs/>
      <w:color w:val="104862" w:themeColor="accent1" w:themeShade="BF"/>
    </w:rPr>
  </w:style>
  <w:style w:type="character" w:customStyle="1" w:styleId="242">
    <w:name w:val="明显参考1"/>
    <w:basedOn w:val="67"/>
    <w:qFormat/>
    <w:uiPriority w:val="32"/>
    <w:rPr>
      <w:b/>
      <w:bCs/>
      <w:smallCaps/>
      <w:color w:val="104862" w:themeColor="accent1" w:themeShade="BF"/>
      <w:spacing w:val="5"/>
    </w:rPr>
  </w:style>
  <w:style w:type="character" w:customStyle="1" w:styleId="243">
    <w:name w:val="页眉 字符"/>
    <w:basedOn w:val="67"/>
    <w:link w:val="38"/>
    <w:qFormat/>
    <w:uiPriority w:val="99"/>
    <w:rPr>
      <w:sz w:val="18"/>
      <w:szCs w:val="18"/>
    </w:rPr>
  </w:style>
  <w:style w:type="character" w:customStyle="1" w:styleId="244">
    <w:name w:val="页脚 字符"/>
    <w:basedOn w:val="67"/>
    <w:link w:val="37"/>
    <w:qFormat/>
    <w:uiPriority w:val="99"/>
    <w:rPr>
      <w:sz w:val="18"/>
      <w:szCs w:val="18"/>
    </w:rPr>
  </w:style>
  <w:style w:type="character" w:customStyle="1" w:styleId="245">
    <w:name w:val="批注文字 字符"/>
    <w:basedOn w:val="67"/>
    <w:link w:val="19"/>
    <w:qFormat/>
    <w:uiPriority w:val="0"/>
    <w:rPr>
      <w:rFonts w:ascii="Times New Roman" w:hAnsi="Times New Roman" w:eastAsia="宋体" w:cs="Times New Roman"/>
      <w:sz w:val="21"/>
    </w:rPr>
  </w:style>
  <w:style w:type="character" w:customStyle="1" w:styleId="246">
    <w:name w:val="称呼 字符"/>
    <w:basedOn w:val="67"/>
    <w:link w:val="20"/>
    <w:qFormat/>
    <w:uiPriority w:val="0"/>
    <w:rPr>
      <w:rFonts w:ascii="Times New Roman" w:hAnsi="Times New Roman" w:eastAsia="宋体" w:cs="Times New Roman"/>
      <w:sz w:val="24"/>
    </w:rPr>
  </w:style>
  <w:style w:type="character" w:customStyle="1" w:styleId="247">
    <w:name w:val="正文文本 字符"/>
    <w:basedOn w:val="67"/>
    <w:link w:val="23"/>
    <w:qFormat/>
    <w:uiPriority w:val="0"/>
    <w:rPr>
      <w:rFonts w:ascii="Times New Roman" w:hAnsi="Times New Roman" w:eastAsia="宋体" w:cs="Times New Roman"/>
      <w:sz w:val="24"/>
    </w:rPr>
  </w:style>
  <w:style w:type="character" w:customStyle="1" w:styleId="248">
    <w:name w:val="正文文本首行缩进 字符"/>
    <w:basedOn w:val="247"/>
    <w:link w:val="55"/>
    <w:qFormat/>
    <w:uiPriority w:val="0"/>
    <w:rPr>
      <w:rFonts w:ascii="Times New Roman" w:hAnsi="Times New Roman" w:eastAsia="宋体" w:cs="Times New Roman"/>
      <w:sz w:val="24"/>
    </w:rPr>
  </w:style>
  <w:style w:type="character" w:customStyle="1" w:styleId="249">
    <w:name w:val="文档结构图 字符"/>
    <w:basedOn w:val="67"/>
    <w:link w:val="17"/>
    <w:qFormat/>
    <w:uiPriority w:val="99"/>
    <w:rPr>
      <w:rFonts w:ascii="Times New Roman" w:hAnsi="Times New Roman" w:eastAsia="宋体" w:cs="Times New Roman"/>
      <w:sz w:val="21"/>
      <w:shd w:val="clear" w:color="auto" w:fill="000080"/>
    </w:rPr>
  </w:style>
  <w:style w:type="character" w:customStyle="1" w:styleId="250">
    <w:name w:val="正文文本缩进 字符"/>
    <w:basedOn w:val="67"/>
    <w:link w:val="24"/>
    <w:qFormat/>
    <w:uiPriority w:val="0"/>
    <w:rPr>
      <w:rFonts w:ascii="Times New Roman" w:hAnsi="Times New Roman" w:eastAsia="宋体" w:cs="Times New Roman"/>
      <w:sz w:val="21"/>
      <w:szCs w:val="20"/>
    </w:rPr>
  </w:style>
  <w:style w:type="character" w:customStyle="1" w:styleId="251">
    <w:name w:val="纯文本 字符"/>
    <w:basedOn w:val="67"/>
    <w:link w:val="31"/>
    <w:qFormat/>
    <w:uiPriority w:val="0"/>
    <w:rPr>
      <w:rFonts w:ascii="宋体" w:hAnsi="Courier New" w:eastAsia="宋体" w:cs="Times New Roman"/>
      <w:sz w:val="21"/>
      <w:szCs w:val="20"/>
    </w:rPr>
  </w:style>
  <w:style w:type="character" w:customStyle="1" w:styleId="252">
    <w:name w:val="日期 字符"/>
    <w:basedOn w:val="67"/>
    <w:link w:val="33"/>
    <w:qFormat/>
    <w:uiPriority w:val="0"/>
    <w:rPr>
      <w:rFonts w:ascii="Times New Roman" w:hAnsi="Times New Roman" w:eastAsia="宋体" w:cs="Times New Roman"/>
      <w:sz w:val="28"/>
    </w:rPr>
  </w:style>
  <w:style w:type="character" w:customStyle="1" w:styleId="253">
    <w:name w:val="正文文本缩进 2 字符"/>
    <w:basedOn w:val="67"/>
    <w:link w:val="34"/>
    <w:qFormat/>
    <w:uiPriority w:val="0"/>
    <w:rPr>
      <w:rFonts w:ascii="宋体" w:hAnsi="宋体" w:eastAsia="宋体" w:cs="Times New Roman"/>
      <w:sz w:val="24"/>
    </w:rPr>
  </w:style>
  <w:style w:type="character" w:customStyle="1" w:styleId="254">
    <w:name w:val="批注框文本 字符"/>
    <w:basedOn w:val="67"/>
    <w:link w:val="36"/>
    <w:qFormat/>
    <w:uiPriority w:val="99"/>
    <w:rPr>
      <w:rFonts w:ascii="Times New Roman" w:hAnsi="Times New Roman" w:eastAsia="宋体" w:cs="Times New Roman"/>
      <w:sz w:val="18"/>
      <w:szCs w:val="18"/>
    </w:rPr>
  </w:style>
  <w:style w:type="character" w:customStyle="1" w:styleId="255">
    <w:name w:val="列表 字符"/>
    <w:link w:val="42"/>
    <w:qFormat/>
    <w:uiPriority w:val="99"/>
    <w:rPr>
      <w:rFonts w:ascii="Times New Roman" w:hAnsi="Times New Roman" w:eastAsia="宋体" w:cs="Times New Roman"/>
      <w:sz w:val="21"/>
      <w:szCs w:val="20"/>
    </w:rPr>
  </w:style>
  <w:style w:type="character" w:customStyle="1" w:styleId="256">
    <w:name w:val="正文文本缩进 3 字符"/>
    <w:basedOn w:val="67"/>
    <w:link w:val="45"/>
    <w:qFormat/>
    <w:uiPriority w:val="0"/>
    <w:rPr>
      <w:rFonts w:ascii="Times New Roman" w:hAnsi="Times New Roman" w:eastAsia="宋体" w:cs="Times New Roman"/>
      <w:sz w:val="16"/>
      <w:szCs w:val="16"/>
    </w:rPr>
  </w:style>
  <w:style w:type="character" w:customStyle="1" w:styleId="257">
    <w:name w:val="HTML 预设格式 字符"/>
    <w:basedOn w:val="67"/>
    <w:link w:val="50"/>
    <w:qFormat/>
    <w:uiPriority w:val="0"/>
    <w:rPr>
      <w:rFonts w:ascii="宋体" w:hAnsi="宋体" w:eastAsia="宋体" w:cs="Times New Roman"/>
      <w:sz w:val="24"/>
    </w:rPr>
  </w:style>
  <w:style w:type="character" w:customStyle="1" w:styleId="258">
    <w:name w:val="批注主题 字符"/>
    <w:basedOn w:val="245"/>
    <w:link w:val="54"/>
    <w:qFormat/>
    <w:uiPriority w:val="99"/>
    <w:rPr>
      <w:rFonts w:ascii="Times New Roman" w:hAnsi="Times New Roman" w:eastAsia="宋体" w:cs="Times New Roman"/>
      <w:b/>
      <w:bCs/>
      <w:sz w:val="21"/>
    </w:rPr>
  </w:style>
  <w:style w:type="character" w:customStyle="1" w:styleId="259">
    <w:name w:val="正文文本首行缩进 2 字符"/>
    <w:basedOn w:val="250"/>
    <w:link w:val="56"/>
    <w:qFormat/>
    <w:uiPriority w:val="0"/>
    <w:rPr>
      <w:rFonts w:ascii="Times New Roman" w:hAnsi="Times New Roman" w:eastAsia="宋体" w:cs="Times New Roman"/>
      <w:sz w:val="21"/>
      <w:szCs w:val="20"/>
    </w:rPr>
  </w:style>
  <w:style w:type="character" w:customStyle="1" w:styleId="260">
    <w:name w:val="标题 1 字符1"/>
    <w:qFormat/>
    <w:uiPriority w:val="0"/>
    <w:rPr>
      <w:rFonts w:hint="eastAsia" w:ascii="黑体" w:hAnsi="宋体" w:eastAsia="黑体" w:cs="黑体"/>
      <w:b/>
      <w:bCs/>
      <w:sz w:val="28"/>
      <w:szCs w:val="44"/>
    </w:rPr>
  </w:style>
  <w:style w:type="paragraph" w:customStyle="1" w:styleId="261">
    <w:name w:val="Default1"/>
    <w:basedOn w:val="1"/>
    <w:qFormat/>
    <w:uiPriority w:val="0"/>
    <w:pPr>
      <w:jc w:val="left"/>
    </w:pPr>
    <w:rPr>
      <w:rFonts w:hint="eastAsia" w:ascii="宋体" w:hAnsi="Calibri"/>
      <w:color w:val="000000"/>
    </w:rPr>
  </w:style>
  <w:style w:type="character" w:customStyle="1" w:styleId="262">
    <w:name w:val="图签 Char"/>
    <w:link w:val="263"/>
    <w:qFormat/>
    <w:uiPriority w:val="99"/>
    <w:rPr>
      <w:b/>
      <w:sz w:val="24"/>
    </w:rPr>
  </w:style>
  <w:style w:type="paragraph" w:customStyle="1" w:styleId="263">
    <w:name w:val="图签"/>
    <w:next w:val="1"/>
    <w:link w:val="262"/>
    <w:qFormat/>
    <w:uiPriority w:val="99"/>
    <w:pPr>
      <w:jc w:val="center"/>
    </w:pPr>
    <w:rPr>
      <w:rFonts w:asciiTheme="minorHAnsi" w:hAnsiTheme="minorHAnsi" w:eastAsiaTheme="minorEastAsia" w:cstheme="minorBidi"/>
      <w:b/>
      <w:sz w:val="24"/>
      <w:szCs w:val="24"/>
      <w:lang w:val="en-US" w:eastAsia="zh-CN" w:bidi="ar-SA"/>
    </w:rPr>
  </w:style>
  <w:style w:type="character" w:customStyle="1" w:styleId="264">
    <w:name w:val="style21"/>
    <w:qFormat/>
    <w:uiPriority w:val="0"/>
    <w:rPr>
      <w:color w:val="999999"/>
    </w:rPr>
  </w:style>
  <w:style w:type="character" w:customStyle="1" w:styleId="265">
    <w:name w:val="B表格文字 Char Char"/>
    <w:link w:val="266"/>
    <w:qFormat/>
    <w:uiPriority w:val="0"/>
    <w:rPr>
      <w:sz w:val="21"/>
    </w:rPr>
  </w:style>
  <w:style w:type="paragraph" w:customStyle="1" w:styleId="266">
    <w:name w:val="B表格文字"/>
    <w:link w:val="265"/>
    <w:qFormat/>
    <w:uiPriority w:val="0"/>
    <w:pPr>
      <w:jc w:val="center"/>
    </w:pPr>
    <w:rPr>
      <w:rFonts w:asciiTheme="minorHAnsi" w:hAnsiTheme="minorHAnsi" w:eastAsiaTheme="minorEastAsia" w:cstheme="minorBidi"/>
      <w:sz w:val="21"/>
      <w:szCs w:val="24"/>
      <w:lang w:val="en-US" w:eastAsia="zh-CN" w:bidi="ar-SA"/>
    </w:rPr>
  </w:style>
  <w:style w:type="character" w:customStyle="1" w:styleId="267">
    <w:name w:val="B表头 Char"/>
    <w:link w:val="268"/>
    <w:qFormat/>
    <w:uiPriority w:val="0"/>
    <w:rPr>
      <w:rFonts w:eastAsia="黑体"/>
      <w:sz w:val="24"/>
    </w:rPr>
  </w:style>
  <w:style w:type="paragraph" w:customStyle="1" w:styleId="268">
    <w:name w:val="B表头"/>
    <w:link w:val="267"/>
    <w:qFormat/>
    <w:uiPriority w:val="0"/>
    <w:pPr>
      <w:jc w:val="center"/>
    </w:pPr>
    <w:rPr>
      <w:rFonts w:eastAsia="黑体" w:asciiTheme="minorHAnsi" w:hAnsiTheme="minorHAnsi" w:cstheme="minorBidi"/>
      <w:sz w:val="24"/>
      <w:szCs w:val="24"/>
      <w:lang w:val="en-US" w:eastAsia="zh-CN" w:bidi="ar-SA"/>
    </w:rPr>
  </w:style>
  <w:style w:type="character" w:customStyle="1" w:styleId="269">
    <w:name w:val="Char Char16"/>
    <w:qFormat/>
    <w:uiPriority w:val="0"/>
    <w:rPr>
      <w:rFonts w:eastAsia="黑体"/>
      <w:bCs/>
      <w:sz w:val="21"/>
      <w:szCs w:val="32"/>
    </w:rPr>
  </w:style>
  <w:style w:type="character" w:customStyle="1" w:styleId="270">
    <w:name w:val="font11"/>
    <w:basedOn w:val="67"/>
    <w:qFormat/>
    <w:uiPriority w:val="0"/>
    <w:rPr>
      <w:rFonts w:hint="eastAsia" w:ascii="宋体" w:hAnsi="宋体" w:eastAsia="宋体" w:cs="宋体"/>
      <w:color w:val="000000"/>
      <w:sz w:val="21"/>
      <w:szCs w:val="21"/>
      <w:u w:val="none"/>
    </w:rPr>
  </w:style>
  <w:style w:type="character" w:customStyle="1" w:styleId="271">
    <w:name w:val="fontstyle01"/>
    <w:qFormat/>
    <w:uiPriority w:val="0"/>
    <w:rPr>
      <w:rFonts w:ascii="宋体" w:hAnsi="宋体" w:eastAsia="宋体" w:cs="宋体"/>
      <w:color w:val="000000"/>
      <w:sz w:val="24"/>
      <w:szCs w:val="24"/>
    </w:rPr>
  </w:style>
  <w:style w:type="character" w:customStyle="1" w:styleId="272">
    <w:name w:val="正文2 Char"/>
    <w:link w:val="273"/>
    <w:qFormat/>
    <w:uiPriority w:val="0"/>
    <w:rPr>
      <w:rFonts w:ascii="Times New Roman" w:hAnsi="Times New Roman"/>
      <w:sz w:val="24"/>
    </w:rPr>
  </w:style>
  <w:style w:type="paragraph" w:customStyle="1" w:styleId="273">
    <w:name w:val="正文2"/>
    <w:basedOn w:val="1"/>
    <w:link w:val="272"/>
    <w:qFormat/>
    <w:uiPriority w:val="0"/>
    <w:pPr>
      <w:ind w:firstLine="200"/>
    </w:pPr>
    <w:rPr>
      <w:rFonts w:eastAsiaTheme="minorEastAsia" w:cstheme="minorBidi"/>
    </w:rPr>
  </w:style>
  <w:style w:type="character" w:customStyle="1" w:styleId="274">
    <w:name w:val="font01"/>
    <w:qFormat/>
    <w:uiPriority w:val="0"/>
    <w:rPr>
      <w:rFonts w:hint="eastAsia" w:ascii="宋体" w:hAnsi="宋体" w:eastAsia="宋体" w:cs="宋体"/>
      <w:color w:val="000000"/>
      <w:sz w:val="24"/>
      <w:szCs w:val="24"/>
      <w:u w:val="none"/>
    </w:rPr>
  </w:style>
  <w:style w:type="character" w:customStyle="1" w:styleId="275">
    <w:name w:val="新标题2 Char"/>
    <w:link w:val="276"/>
    <w:qFormat/>
    <w:uiPriority w:val="0"/>
    <w:rPr>
      <w:rFonts w:eastAsia="仿宋_GB2312"/>
      <w:sz w:val="28"/>
      <w:szCs w:val="28"/>
    </w:rPr>
  </w:style>
  <w:style w:type="paragraph" w:customStyle="1" w:styleId="276">
    <w:name w:val="新标题2"/>
    <w:link w:val="275"/>
    <w:qFormat/>
    <w:uiPriority w:val="0"/>
    <w:pPr>
      <w:widowControl w:val="0"/>
      <w:spacing w:line="360" w:lineRule="auto"/>
      <w:ind w:firstLine="560"/>
      <w:jc w:val="both"/>
    </w:pPr>
    <w:rPr>
      <w:rFonts w:eastAsia="仿宋_GB2312" w:asciiTheme="minorHAnsi" w:hAnsiTheme="minorHAnsi" w:cstheme="minorBidi"/>
      <w:sz w:val="28"/>
      <w:szCs w:val="28"/>
      <w:lang w:val="en-US" w:eastAsia="zh-CN" w:bidi="ar-SA"/>
    </w:rPr>
  </w:style>
  <w:style w:type="character" w:customStyle="1" w:styleId="277">
    <w:name w:val="fontstyle21"/>
    <w:qFormat/>
    <w:uiPriority w:val="0"/>
    <w:rPr>
      <w:rFonts w:ascii="TimesNewRomanPSMT" w:hAnsi="TimesNewRomanPSMT" w:eastAsia="TimesNewRomanPSMT" w:cs="TimesNewRomanPSMT"/>
      <w:color w:val="000000"/>
      <w:sz w:val="24"/>
      <w:szCs w:val="24"/>
    </w:rPr>
  </w:style>
  <w:style w:type="character" w:customStyle="1" w:styleId="278">
    <w:name w:val="fs"/>
    <w:qFormat/>
    <w:uiPriority w:val="0"/>
  </w:style>
  <w:style w:type="character" w:customStyle="1" w:styleId="279">
    <w:name w:val="标题1"/>
    <w:qFormat/>
    <w:uiPriority w:val="0"/>
  </w:style>
  <w:style w:type="character" w:customStyle="1" w:styleId="280">
    <w:name w:val="标准正文 Char"/>
    <w:link w:val="281"/>
    <w:qFormat/>
    <w:uiPriority w:val="0"/>
    <w:rPr>
      <w:sz w:val="28"/>
    </w:rPr>
  </w:style>
  <w:style w:type="paragraph" w:customStyle="1" w:styleId="281">
    <w:name w:val="标准正文"/>
    <w:basedOn w:val="1"/>
    <w:link w:val="280"/>
    <w:qFormat/>
    <w:uiPriority w:val="0"/>
    <w:pPr>
      <w:spacing w:line="460" w:lineRule="atLeast"/>
      <w:ind w:firstLine="567"/>
      <w:jc w:val="left"/>
    </w:pPr>
    <w:rPr>
      <w:rFonts w:asciiTheme="minorHAnsi" w:hAnsiTheme="minorHAnsi" w:eastAsiaTheme="minorEastAsia" w:cstheme="minorBidi"/>
      <w:sz w:val="28"/>
    </w:rPr>
  </w:style>
  <w:style w:type="character" w:customStyle="1" w:styleId="282">
    <w:name w:val="h11"/>
    <w:qFormat/>
    <w:uiPriority w:val="0"/>
  </w:style>
  <w:style w:type="character" w:customStyle="1" w:styleId="283">
    <w:name w:val="l13"/>
    <w:qFormat/>
    <w:uiPriority w:val="0"/>
  </w:style>
  <w:style w:type="character" w:customStyle="1" w:styleId="284">
    <w:name w:val="n11"/>
    <w:qFormat/>
    <w:uiPriority w:val="0"/>
    <w:rPr>
      <w:color w:val="000000"/>
      <w:sz w:val="18"/>
      <w:szCs w:val="18"/>
      <w:u w:val="none"/>
    </w:rPr>
  </w:style>
  <w:style w:type="paragraph" w:customStyle="1" w:styleId="285">
    <w:name w:val="Char1"/>
    <w:basedOn w:val="1"/>
    <w:qFormat/>
    <w:uiPriority w:val="0"/>
    <w:pPr>
      <w:ind w:firstLine="200"/>
    </w:pPr>
    <w:rPr>
      <w:sz w:val="21"/>
    </w:rPr>
  </w:style>
  <w:style w:type="paragraph" w:customStyle="1" w:styleId="286">
    <w:name w:val="正文段落"/>
    <w:basedOn w:val="1"/>
    <w:qFormat/>
    <w:uiPriority w:val="0"/>
    <w:pPr>
      <w:ind w:firstLine="200"/>
    </w:pPr>
    <w:rPr>
      <w:rFonts w:eastAsia="仿宋" w:cs="宋体"/>
      <w:sz w:val="28"/>
      <w:szCs w:val="20"/>
    </w:rPr>
  </w:style>
  <w:style w:type="paragraph" w:customStyle="1" w:styleId="287">
    <w:name w:val="正文 首行缩进:  2 字符"/>
    <w:basedOn w:val="1"/>
    <w:qFormat/>
    <w:uiPriority w:val="99"/>
    <w:pPr>
      <w:ind w:firstLine="200"/>
    </w:pPr>
    <w:rPr>
      <w:rFonts w:cs="宋体"/>
      <w:szCs w:val="20"/>
    </w:rPr>
  </w:style>
  <w:style w:type="paragraph" w:customStyle="1" w:styleId="288">
    <w:name w:val="文本正文3"/>
    <w:qFormat/>
    <w:uiPriority w:val="0"/>
    <w:pPr>
      <w:spacing w:line="360" w:lineRule="auto"/>
      <w:ind w:firstLine="177"/>
    </w:pPr>
    <w:rPr>
      <w:rFonts w:ascii="Times New Roman" w:hAnsi="Times New Roman" w:eastAsia="宋体" w:cs="Times New Roman"/>
      <w:sz w:val="24"/>
      <w:szCs w:val="21"/>
      <w:lang w:val="en-US" w:eastAsia="zh-CN" w:bidi="ar-SA"/>
    </w:rPr>
  </w:style>
  <w:style w:type="paragraph" w:customStyle="1" w:styleId="289">
    <w:name w:val="Char"/>
    <w:basedOn w:val="1"/>
    <w:qFormat/>
    <w:uiPriority w:val="0"/>
  </w:style>
  <w:style w:type="paragraph" w:customStyle="1" w:styleId="290">
    <w:name w:val="表格内正文"/>
    <w:basedOn w:val="281"/>
    <w:qFormat/>
    <w:uiPriority w:val="0"/>
    <w:pPr>
      <w:spacing w:line="240" w:lineRule="auto"/>
      <w:ind w:firstLine="0"/>
      <w:jc w:val="center"/>
    </w:pPr>
    <w:rPr>
      <w:sz w:val="21"/>
    </w:rPr>
  </w:style>
  <w:style w:type="paragraph" w:customStyle="1" w:styleId="291">
    <w:name w:val="TOC 标题11"/>
    <w:basedOn w:val="2"/>
    <w:next w:val="1"/>
    <w:qFormat/>
    <w:uiPriority w:val="39"/>
    <w:pPr>
      <w:widowControl/>
      <w:spacing w:after="0" w:line="276" w:lineRule="auto"/>
      <w:jc w:val="left"/>
      <w:outlineLvl w:val="9"/>
    </w:pPr>
    <w:rPr>
      <w:rFonts w:ascii="Cambria" w:hAnsi="Cambria" w:eastAsia="宋体" w:cs="Times New Roman"/>
      <w:b/>
      <w:bCs/>
      <w:color w:val="365F91"/>
      <w:sz w:val="28"/>
      <w:szCs w:val="28"/>
    </w:rPr>
  </w:style>
  <w:style w:type="paragraph" w:customStyle="1" w:styleId="292">
    <w:name w:val="p0"/>
    <w:basedOn w:val="1"/>
    <w:qFormat/>
    <w:uiPriority w:val="0"/>
    <w:pPr>
      <w:widowControl/>
      <w:spacing w:line="240" w:lineRule="auto"/>
    </w:pPr>
    <w:rPr>
      <w:sz w:val="21"/>
      <w:szCs w:val="21"/>
    </w:rPr>
  </w:style>
  <w:style w:type="paragraph" w:customStyle="1" w:styleId="293">
    <w:name w:val="1"/>
    <w:basedOn w:val="1"/>
    <w:qFormat/>
    <w:uiPriority w:val="99"/>
    <w:pPr>
      <w:ind w:firstLine="200"/>
    </w:pPr>
    <w:rPr>
      <w:sz w:val="21"/>
    </w:rPr>
  </w:style>
  <w:style w:type="paragraph" w:customStyle="1" w:styleId="294">
    <w:name w:val="应填表格"/>
    <w:basedOn w:val="1"/>
    <w:qFormat/>
    <w:uiPriority w:val="0"/>
    <w:pPr>
      <w:spacing w:before="40" w:after="40" w:line="240" w:lineRule="auto"/>
      <w:jc w:val="left"/>
    </w:pPr>
    <w:rPr>
      <w:b/>
      <w:szCs w:val="20"/>
    </w:rPr>
  </w:style>
  <w:style w:type="paragraph" w:customStyle="1" w:styleId="295">
    <w:name w:val="默认段落字体 Para Char"/>
    <w:basedOn w:val="1"/>
    <w:qFormat/>
    <w:uiPriority w:val="0"/>
    <w:rPr>
      <w:rFonts w:ascii="宋体"/>
      <w:sz w:val="28"/>
    </w:rPr>
  </w:style>
  <w:style w:type="paragraph" w:customStyle="1" w:styleId="296">
    <w:name w:val="Char Char Char"/>
    <w:basedOn w:val="1"/>
    <w:qFormat/>
    <w:uiPriority w:val="0"/>
    <w:pPr>
      <w:ind w:firstLine="200"/>
    </w:pPr>
  </w:style>
  <w:style w:type="paragraph" w:customStyle="1" w:styleId="297">
    <w:name w:val="Char21"/>
    <w:basedOn w:val="1"/>
    <w:qFormat/>
    <w:uiPriority w:val="0"/>
    <w:pPr>
      <w:spacing w:line="240" w:lineRule="auto"/>
    </w:pPr>
    <w:rPr>
      <w:sz w:val="21"/>
      <w:szCs w:val="21"/>
    </w:rPr>
  </w:style>
  <w:style w:type="paragraph" w:customStyle="1" w:styleId="298">
    <w:name w:val="_Style 10"/>
    <w:basedOn w:val="1"/>
    <w:qFormat/>
    <w:uiPriority w:val="99"/>
    <w:rPr>
      <w:rFonts w:ascii="宋体"/>
      <w:sz w:val="28"/>
    </w:rPr>
  </w:style>
  <w:style w:type="paragraph" w:customStyle="1" w:styleId="299">
    <w:name w:val="排版正文"/>
    <w:qFormat/>
    <w:uiPriority w:val="0"/>
    <w:pPr>
      <w:widowControl w:val="0"/>
      <w:spacing w:line="460" w:lineRule="exact"/>
      <w:ind w:firstLine="200"/>
      <w:jc w:val="both"/>
    </w:pPr>
    <w:rPr>
      <w:rFonts w:ascii="仿宋_GB2312" w:hAnsi="Times New Roman" w:eastAsia="仿宋_GB2312" w:cs="仿宋_GB2312"/>
      <w:spacing w:val="8"/>
      <w:sz w:val="28"/>
      <w:szCs w:val="28"/>
      <w:lang w:val="en-US" w:eastAsia="zh-CN" w:bidi="ar-SA"/>
    </w:rPr>
  </w:style>
  <w:style w:type="paragraph" w:customStyle="1" w:styleId="300">
    <w:name w:val="Char2"/>
    <w:basedOn w:val="1"/>
    <w:qFormat/>
    <w:uiPriority w:val="0"/>
    <w:pPr>
      <w:ind w:firstLine="200"/>
    </w:pPr>
    <w:rPr>
      <w:rFonts w:ascii="宋体" w:hAnsi="宋体" w:cs="宋体"/>
    </w:rPr>
  </w:style>
  <w:style w:type="paragraph" w:customStyle="1" w:styleId="301">
    <w:name w:val="Char11"/>
    <w:basedOn w:val="1"/>
    <w:qFormat/>
    <w:uiPriority w:val="0"/>
    <w:pPr>
      <w:ind w:firstLine="200"/>
    </w:pPr>
  </w:style>
  <w:style w:type="paragraph" w:customStyle="1" w:styleId="302">
    <w:name w:val="graytext"/>
    <w:basedOn w:val="1"/>
    <w:qFormat/>
    <w:uiPriority w:val="99"/>
    <w:pPr>
      <w:widowControl/>
      <w:spacing w:before="150" w:after="150"/>
      <w:ind w:firstLine="480"/>
      <w:jc w:val="left"/>
    </w:pPr>
    <w:rPr>
      <w:rFonts w:ascii="ˎ̥" w:hAnsi="ˎ̥" w:cs="宋体"/>
      <w:color w:val="808080"/>
      <w:sz w:val="18"/>
      <w:szCs w:val="18"/>
    </w:rPr>
  </w:style>
  <w:style w:type="paragraph" w:customStyle="1" w:styleId="303">
    <w:name w:val="Char4 Char Char Char Char Char Char1"/>
    <w:basedOn w:val="1"/>
    <w:qFormat/>
    <w:uiPriority w:val="0"/>
    <w:rPr>
      <w:rFonts w:ascii="宋体" w:hAnsi="宋体" w:cs="宋体"/>
    </w:rPr>
  </w:style>
  <w:style w:type="paragraph" w:customStyle="1" w:styleId="304">
    <w:name w:val="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305">
    <w:name w:val="Char Char Char Char Char Char Char Char Char Char Char Char Char"/>
    <w:basedOn w:val="1"/>
    <w:qFormat/>
    <w:uiPriority w:val="0"/>
    <w:pPr>
      <w:spacing w:line="240" w:lineRule="auto"/>
    </w:pPr>
    <w:rPr>
      <w:sz w:val="21"/>
    </w:rPr>
  </w:style>
  <w:style w:type="paragraph" w:customStyle="1" w:styleId="306">
    <w:name w:val="表格标题或题注"/>
    <w:basedOn w:val="1"/>
    <w:qFormat/>
    <w:uiPriority w:val="0"/>
    <w:pPr>
      <w:jc w:val="center"/>
    </w:pPr>
    <w:rPr>
      <w:b/>
      <w:bCs/>
      <w:color w:val="000000"/>
      <w:sz w:val="21"/>
      <w:szCs w:val="21"/>
    </w:rPr>
  </w:style>
  <w:style w:type="paragraph" w:customStyle="1" w:styleId="307">
    <w:name w:val="表格"/>
    <w:basedOn w:val="1"/>
    <w:qFormat/>
    <w:uiPriority w:val="0"/>
    <w:pPr>
      <w:jc w:val="center"/>
    </w:pPr>
    <w:rPr>
      <w:color w:val="000000"/>
      <w:sz w:val="21"/>
      <w:szCs w:val="21"/>
    </w:rPr>
  </w:style>
  <w:style w:type="paragraph" w:customStyle="1" w:styleId="308">
    <w:name w:val="表格1"/>
    <w:basedOn w:val="1"/>
    <w:qFormat/>
    <w:uiPriority w:val="99"/>
    <w:pPr>
      <w:jc w:val="center"/>
    </w:pPr>
    <w:rPr>
      <w:color w:val="000000"/>
      <w:sz w:val="21"/>
      <w:szCs w:val="21"/>
    </w:rPr>
  </w:style>
  <w:style w:type="paragraph" w:customStyle="1" w:styleId="309">
    <w:name w:val="题注-新"/>
    <w:basedOn w:val="1"/>
    <w:qFormat/>
    <w:uiPriority w:val="0"/>
    <w:pPr>
      <w:jc w:val="center"/>
    </w:pPr>
    <w:rPr>
      <w:b/>
      <w:color w:val="000000"/>
      <w:sz w:val="21"/>
    </w:rPr>
  </w:style>
  <w:style w:type="paragraph" w:customStyle="1" w:styleId="310">
    <w:name w:val="正文新"/>
    <w:basedOn w:val="311"/>
    <w:qFormat/>
    <w:uiPriority w:val="0"/>
  </w:style>
  <w:style w:type="paragraph" w:customStyle="1" w:styleId="311">
    <w:name w:val="正文-新"/>
    <w:basedOn w:val="1"/>
    <w:qFormat/>
    <w:uiPriority w:val="0"/>
    <w:pPr>
      <w:ind w:firstLine="480"/>
    </w:pPr>
    <w:rPr>
      <w:rFonts w:hAnsi="仿宋"/>
      <w:color w:val="000000"/>
    </w:rPr>
  </w:style>
  <w:style w:type="character" w:customStyle="1" w:styleId="312">
    <w:name w:val="font21"/>
    <w:qFormat/>
    <w:uiPriority w:val="0"/>
    <w:rPr>
      <w:rFonts w:hint="eastAsia" w:ascii="宋体" w:hAnsi="宋体" w:eastAsia="宋体" w:cs="宋体"/>
      <w:color w:val="000000"/>
      <w:sz w:val="21"/>
      <w:szCs w:val="21"/>
      <w:u w:val="none"/>
    </w:rPr>
  </w:style>
  <w:style w:type="character" w:customStyle="1" w:styleId="313">
    <w:name w:val="font31"/>
    <w:basedOn w:val="67"/>
    <w:qFormat/>
    <w:uiPriority w:val="0"/>
    <w:rPr>
      <w:rFonts w:hint="eastAsia" w:ascii="宋体" w:hAnsi="宋体" w:eastAsia="宋体"/>
      <w:b/>
      <w:bCs/>
      <w:color w:val="000000"/>
      <w:sz w:val="21"/>
      <w:szCs w:val="21"/>
      <w:u w:val="none"/>
    </w:rPr>
  </w:style>
  <w:style w:type="character" w:customStyle="1" w:styleId="314">
    <w:name w:val="B表头 Char Char"/>
    <w:qFormat/>
    <w:uiPriority w:val="0"/>
    <w:rPr>
      <w:rFonts w:eastAsia="黑体"/>
      <w:sz w:val="24"/>
      <w:szCs w:val="24"/>
      <w:lang w:val="en-US" w:eastAsia="zh-CN" w:bidi="ar-SA"/>
    </w:rPr>
  </w:style>
  <w:style w:type="character" w:customStyle="1" w:styleId="315">
    <w:name w:val="apple-converted-space"/>
    <w:qFormat/>
    <w:uiPriority w:val="0"/>
  </w:style>
  <w:style w:type="character" w:customStyle="1" w:styleId="316">
    <w:name w:val="generalinfo-address-text2"/>
    <w:qFormat/>
    <w:uiPriority w:val="0"/>
  </w:style>
  <w:style w:type="character" w:customStyle="1" w:styleId="317">
    <w:name w:val="font41"/>
    <w:qFormat/>
    <w:uiPriority w:val="0"/>
    <w:rPr>
      <w:rFonts w:hint="default" w:ascii="Times New Roman" w:hAnsi="Times New Roman" w:cs="Times New Roman"/>
      <w:b/>
      <w:bCs/>
      <w:color w:val="000000"/>
      <w:sz w:val="21"/>
      <w:szCs w:val="21"/>
      <w:u w:val="none"/>
    </w:rPr>
  </w:style>
  <w:style w:type="character" w:customStyle="1" w:styleId="318">
    <w:name w:val="description"/>
    <w:qFormat/>
    <w:uiPriority w:val="0"/>
    <w:rPr>
      <w:sz w:val="28"/>
    </w:rPr>
  </w:style>
  <w:style w:type="character" w:customStyle="1" w:styleId="319">
    <w:name w:val="style103"/>
    <w:qFormat/>
    <w:uiPriority w:val="0"/>
  </w:style>
  <w:style w:type="paragraph" w:customStyle="1" w:styleId="320">
    <w:name w:val="标题 5（有编号）（绿盟科技）"/>
    <w:basedOn w:val="1"/>
    <w:next w:val="321"/>
    <w:qFormat/>
    <w:uiPriority w:val="0"/>
    <w:pPr>
      <w:keepNext/>
      <w:keepLines/>
      <w:numPr>
        <w:ilvl w:val="4"/>
        <w:numId w:val="2"/>
      </w:numPr>
      <w:spacing w:before="280" w:after="156" w:line="377" w:lineRule="auto"/>
      <w:jc w:val="left"/>
      <w:outlineLvl w:val="4"/>
    </w:pPr>
    <w:rPr>
      <w:rFonts w:ascii="Arial" w:hAnsi="Arial" w:eastAsia="黑体"/>
      <w:b/>
      <w:szCs w:val="28"/>
    </w:rPr>
  </w:style>
  <w:style w:type="paragraph" w:customStyle="1" w:styleId="321">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322">
    <w:name w:val="Table Paragraph"/>
    <w:basedOn w:val="1"/>
    <w:qFormat/>
    <w:uiPriority w:val="1"/>
    <w:pPr>
      <w:jc w:val="left"/>
    </w:pPr>
  </w:style>
  <w:style w:type="character" w:customStyle="1" w:styleId="323">
    <w:name w:val="NormalCharacter"/>
    <w:qFormat/>
    <w:uiPriority w:val="0"/>
  </w:style>
  <w:style w:type="character" w:customStyle="1" w:styleId="324">
    <w:name w:val="lishishuju"/>
    <w:qFormat/>
    <w:uiPriority w:val="0"/>
    <w:rPr>
      <w:b/>
      <w:bCs/>
      <w:color w:val="000052"/>
      <w:sz w:val="16"/>
      <w:szCs w:val="16"/>
    </w:rPr>
  </w:style>
  <w:style w:type="character" w:customStyle="1" w:styleId="325">
    <w:name w:val="znspantitle"/>
    <w:qFormat/>
    <w:uiPriority w:val="0"/>
    <w:rPr>
      <w:b/>
      <w:bCs/>
      <w:color w:val="333333"/>
    </w:rPr>
  </w:style>
  <w:style w:type="character" w:customStyle="1" w:styleId="326">
    <w:name w:val="radio-btn"/>
    <w:qFormat/>
    <w:uiPriority w:val="0"/>
    <w:rPr>
      <w:sz w:val="16"/>
      <w:szCs w:val="16"/>
    </w:rPr>
  </w:style>
  <w:style w:type="character" w:customStyle="1" w:styleId="327">
    <w:name w:val="radio-btn1"/>
    <w:qFormat/>
    <w:uiPriority w:val="0"/>
    <w:rPr>
      <w:sz w:val="14"/>
      <w:szCs w:val="14"/>
    </w:rPr>
  </w:style>
  <w:style w:type="character" w:customStyle="1" w:styleId="328">
    <w:name w:val="radio-btn2"/>
    <w:qFormat/>
    <w:uiPriority w:val="0"/>
    <w:rPr>
      <w:sz w:val="16"/>
      <w:szCs w:val="16"/>
    </w:rPr>
  </w:style>
  <w:style w:type="character" w:customStyle="1" w:styleId="329">
    <w:name w:val="cur"/>
    <w:qFormat/>
    <w:uiPriority w:val="0"/>
    <w:rPr>
      <w:color w:val="FFFFFF"/>
      <w:shd w:val="clear" w:color="auto" w:fill="2F6B98"/>
    </w:rPr>
  </w:style>
  <w:style w:type="character" w:customStyle="1" w:styleId="330">
    <w:name w:val="lable"/>
    <w:qFormat/>
    <w:uiPriority w:val="0"/>
    <w:rPr>
      <w:sz w:val="16"/>
      <w:szCs w:val="16"/>
    </w:rPr>
  </w:style>
  <w:style w:type="character" w:customStyle="1" w:styleId="331">
    <w:name w:val="cur1"/>
    <w:qFormat/>
    <w:uiPriority w:val="0"/>
    <w:rPr>
      <w:color w:val="FFFFFF"/>
      <w:shd w:val="clear" w:color="auto" w:fill="2F6B98"/>
    </w:rPr>
  </w:style>
  <w:style w:type="character" w:customStyle="1" w:styleId="332">
    <w:name w:val="称呼 Char"/>
    <w:qFormat/>
    <w:uiPriority w:val="0"/>
    <w:rPr>
      <w:sz w:val="24"/>
      <w:szCs w:val="24"/>
    </w:rPr>
  </w:style>
  <w:style w:type="character" w:customStyle="1" w:styleId="333">
    <w:name w:val="font71"/>
    <w:qFormat/>
    <w:uiPriority w:val="0"/>
    <w:rPr>
      <w:rFonts w:hint="eastAsia" w:ascii="宋体" w:hAnsi="宋体" w:eastAsia="宋体" w:cs="宋体"/>
      <w:color w:val="FF0000"/>
      <w:sz w:val="22"/>
      <w:szCs w:val="22"/>
      <w:u w:val="none"/>
    </w:rPr>
  </w:style>
  <w:style w:type="character" w:customStyle="1" w:styleId="334">
    <w:name w:val="font121"/>
    <w:qFormat/>
    <w:uiPriority w:val="0"/>
    <w:rPr>
      <w:rFonts w:hint="eastAsia" w:ascii="仿宋" w:hAnsi="仿宋" w:eastAsia="仿宋" w:cs="仿宋"/>
      <w:color w:val="FF0000"/>
      <w:sz w:val="22"/>
      <w:szCs w:val="22"/>
      <w:u w:val="none"/>
    </w:rPr>
  </w:style>
  <w:style w:type="character" w:customStyle="1" w:styleId="335">
    <w:name w:val="font61"/>
    <w:qFormat/>
    <w:uiPriority w:val="0"/>
    <w:rPr>
      <w:rFonts w:hint="eastAsia" w:ascii="仿宋" w:hAnsi="仿宋" w:eastAsia="仿宋" w:cs="仿宋"/>
      <w:color w:val="000000"/>
      <w:sz w:val="22"/>
      <w:szCs w:val="22"/>
      <w:u w:val="none"/>
    </w:rPr>
  </w:style>
  <w:style w:type="character" w:customStyle="1" w:styleId="336">
    <w:name w:val="font131"/>
    <w:qFormat/>
    <w:uiPriority w:val="0"/>
    <w:rPr>
      <w:rFonts w:hint="eastAsia" w:ascii="宋体" w:hAnsi="宋体" w:eastAsia="宋体" w:cs="宋体"/>
      <w:color w:val="000000"/>
      <w:sz w:val="22"/>
      <w:szCs w:val="22"/>
      <w:u w:val="none"/>
    </w:rPr>
  </w:style>
  <w:style w:type="character" w:customStyle="1" w:styleId="337">
    <w:name w:val="font141"/>
    <w:qFormat/>
    <w:uiPriority w:val="0"/>
    <w:rPr>
      <w:rFonts w:hint="default" w:ascii="Times New Roman" w:hAnsi="Times New Roman" w:cs="Times New Roman"/>
      <w:color w:val="000000"/>
      <w:sz w:val="22"/>
      <w:szCs w:val="22"/>
      <w:u w:val="none"/>
    </w:rPr>
  </w:style>
  <w:style w:type="character" w:customStyle="1" w:styleId="338">
    <w:name w:val="font51"/>
    <w:qFormat/>
    <w:uiPriority w:val="0"/>
    <w:rPr>
      <w:rFonts w:hint="eastAsia" w:ascii="仿宋" w:hAnsi="仿宋" w:eastAsia="仿宋" w:cs="仿宋"/>
      <w:color w:val="000000"/>
      <w:sz w:val="22"/>
      <w:szCs w:val="22"/>
      <w:u w:val="none"/>
    </w:rPr>
  </w:style>
  <w:style w:type="paragraph" w:customStyle="1" w:styleId="339">
    <w:name w:val="图表标题"/>
    <w:basedOn w:val="1"/>
    <w:link w:val="340"/>
    <w:qFormat/>
    <w:uiPriority w:val="0"/>
    <w:pPr>
      <w:jc w:val="center"/>
    </w:pPr>
    <w:rPr>
      <w:rFonts w:eastAsia="黑体"/>
      <w:bCs/>
      <w:color w:val="000000"/>
      <w:sz w:val="21"/>
      <w:szCs w:val="21"/>
    </w:rPr>
  </w:style>
  <w:style w:type="character" w:customStyle="1" w:styleId="340">
    <w:name w:val="表格标题或题注 Char"/>
    <w:link w:val="339"/>
    <w:qFormat/>
    <w:uiPriority w:val="0"/>
    <w:rPr>
      <w:rFonts w:ascii="Times New Roman" w:hAnsi="Times New Roman" w:eastAsia="黑体" w:cs="Times New Roman"/>
      <w:bCs/>
      <w:color w:val="000000"/>
      <w:sz w:val="21"/>
      <w:szCs w:val="21"/>
    </w:rPr>
  </w:style>
  <w:style w:type="character" w:customStyle="1" w:styleId="341">
    <w:name w:val="表格内正文 Char"/>
    <w:qFormat/>
    <w:uiPriority w:val="0"/>
    <w:rPr>
      <w:sz w:val="21"/>
      <w:szCs w:val="22"/>
    </w:rPr>
  </w:style>
  <w:style w:type="paragraph" w:customStyle="1" w:styleId="342">
    <w:name w:val="正文-欣欣"/>
    <w:basedOn w:val="1"/>
    <w:qFormat/>
    <w:uiPriority w:val="0"/>
    <w:pPr>
      <w:ind w:firstLine="480"/>
    </w:pPr>
    <w:rPr>
      <w:bCs/>
    </w:rPr>
  </w:style>
  <w:style w:type="paragraph" w:customStyle="1" w:styleId="343">
    <w:name w:val="图及图头"/>
    <w:basedOn w:val="1"/>
    <w:qFormat/>
    <w:uiPriority w:val="0"/>
    <w:pPr>
      <w:jc w:val="center"/>
    </w:pPr>
    <w:rPr>
      <w:rFonts w:eastAsia="黑体"/>
    </w:rPr>
  </w:style>
  <w:style w:type="character" w:customStyle="1" w:styleId="344">
    <w:name w:val="font81"/>
    <w:qFormat/>
    <w:uiPriority w:val="0"/>
    <w:rPr>
      <w:rFonts w:hint="eastAsia" w:ascii="宋体" w:hAnsi="宋体" w:eastAsia="宋体" w:cs="宋体"/>
      <w:color w:val="000000"/>
      <w:sz w:val="21"/>
      <w:szCs w:val="21"/>
      <w:u w:val="none"/>
    </w:rPr>
  </w:style>
  <w:style w:type="character" w:customStyle="1" w:styleId="345">
    <w:name w:val="font91"/>
    <w:qFormat/>
    <w:uiPriority w:val="0"/>
    <w:rPr>
      <w:rFonts w:hint="eastAsia" w:ascii="宋体" w:hAnsi="宋体" w:eastAsia="宋体" w:cs="宋体"/>
      <w:color w:val="000000"/>
      <w:sz w:val="21"/>
      <w:szCs w:val="21"/>
      <w:u w:val="none"/>
    </w:rPr>
  </w:style>
  <w:style w:type="character" w:customStyle="1" w:styleId="346">
    <w:name w:val="font101"/>
    <w:qFormat/>
    <w:uiPriority w:val="0"/>
    <w:rPr>
      <w:rFonts w:hint="eastAsia" w:ascii="宋体" w:hAnsi="宋体" w:eastAsia="宋体" w:cs="宋体"/>
      <w:color w:val="000000"/>
      <w:sz w:val="21"/>
      <w:szCs w:val="21"/>
      <w:u w:val="none"/>
    </w:rPr>
  </w:style>
  <w:style w:type="character" w:customStyle="1" w:styleId="347">
    <w:name w:val="font112"/>
    <w:qFormat/>
    <w:uiPriority w:val="0"/>
    <w:rPr>
      <w:rFonts w:hint="eastAsia" w:ascii="宋体" w:hAnsi="宋体" w:eastAsia="宋体" w:cs="宋体"/>
      <w:color w:val="000000"/>
      <w:sz w:val="21"/>
      <w:szCs w:val="21"/>
      <w:u w:val="none"/>
    </w:rPr>
  </w:style>
  <w:style w:type="table" w:customStyle="1" w:styleId="348">
    <w:name w:val="典雅型1"/>
    <w:basedOn w:val="57"/>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cBorders>
      </w:tcPr>
    </w:tblStylePr>
  </w:style>
  <w:style w:type="character" w:customStyle="1" w:styleId="349">
    <w:name w:val="Char Char161"/>
    <w:qFormat/>
    <w:uiPriority w:val="0"/>
    <w:rPr>
      <w:rFonts w:eastAsia="黑体"/>
      <w:bCs/>
      <w:sz w:val="21"/>
      <w:szCs w:val="32"/>
    </w:rPr>
  </w:style>
  <w:style w:type="character" w:customStyle="1" w:styleId="350">
    <w:name w:val="标题2"/>
    <w:qFormat/>
    <w:uiPriority w:val="0"/>
  </w:style>
  <w:style w:type="paragraph" w:customStyle="1" w:styleId="351">
    <w:name w:val="Char3"/>
    <w:basedOn w:val="1"/>
    <w:qFormat/>
    <w:uiPriority w:val="0"/>
  </w:style>
  <w:style w:type="paragraph" w:customStyle="1" w:styleId="352">
    <w:name w:val="Char Char Char1"/>
    <w:basedOn w:val="1"/>
    <w:qFormat/>
    <w:uiPriority w:val="99"/>
    <w:pPr>
      <w:ind w:firstLine="200"/>
    </w:pPr>
  </w:style>
  <w:style w:type="paragraph" w:customStyle="1" w:styleId="353">
    <w:name w:val="Char22"/>
    <w:basedOn w:val="1"/>
    <w:qFormat/>
    <w:uiPriority w:val="0"/>
    <w:pPr>
      <w:ind w:firstLine="200"/>
    </w:pPr>
    <w:rPr>
      <w:rFonts w:ascii="宋体" w:hAnsi="宋体" w:cs="宋体"/>
    </w:rPr>
  </w:style>
  <w:style w:type="paragraph" w:customStyle="1" w:styleId="354">
    <w:name w:val="Char12"/>
    <w:basedOn w:val="1"/>
    <w:qFormat/>
    <w:uiPriority w:val="99"/>
    <w:pPr>
      <w:ind w:firstLine="200"/>
    </w:pPr>
  </w:style>
  <w:style w:type="paragraph" w:customStyle="1" w:styleId="355">
    <w:name w:val="Char Char Char Char1"/>
    <w:basedOn w:val="1"/>
    <w:qFormat/>
    <w:uiPriority w:val="0"/>
    <w:pPr>
      <w:widowControl/>
      <w:spacing w:after="160" w:line="240" w:lineRule="exact"/>
      <w:jc w:val="left"/>
    </w:pPr>
    <w:rPr>
      <w:rFonts w:ascii="Verdana" w:hAnsi="Verdana"/>
      <w:sz w:val="20"/>
      <w:szCs w:val="20"/>
      <w:lang w:eastAsia="en-US"/>
    </w:rPr>
  </w:style>
  <w:style w:type="paragraph" w:customStyle="1" w:styleId="356">
    <w:name w:val="Char Char Char Char Char Char Char Char Char Char Char Char Char1"/>
    <w:basedOn w:val="1"/>
    <w:qFormat/>
    <w:uiPriority w:val="99"/>
    <w:pPr>
      <w:spacing w:line="240" w:lineRule="auto"/>
    </w:pPr>
    <w:rPr>
      <w:sz w:val="21"/>
    </w:rPr>
  </w:style>
  <w:style w:type="character" w:styleId="357">
    <w:name w:val="Placeholder Text"/>
    <w:basedOn w:val="67"/>
    <w:unhideWhenUsed/>
    <w:qFormat/>
    <w:uiPriority w:val="99"/>
    <w:rPr>
      <w:color w:val="666666"/>
    </w:rPr>
  </w:style>
  <w:style w:type="character" w:customStyle="1" w:styleId="358">
    <w:name w:val="Char Char162"/>
    <w:qFormat/>
    <w:uiPriority w:val="0"/>
    <w:rPr>
      <w:rFonts w:eastAsia="黑体"/>
      <w:bCs/>
      <w:sz w:val="21"/>
      <w:szCs w:val="32"/>
    </w:rPr>
  </w:style>
  <w:style w:type="character" w:customStyle="1" w:styleId="359">
    <w:name w:val="标题3"/>
    <w:qFormat/>
    <w:uiPriority w:val="0"/>
  </w:style>
  <w:style w:type="paragraph" w:customStyle="1" w:styleId="360">
    <w:name w:val="Char4"/>
    <w:basedOn w:val="1"/>
    <w:qFormat/>
    <w:uiPriority w:val="0"/>
  </w:style>
  <w:style w:type="paragraph" w:customStyle="1" w:styleId="361">
    <w:name w:val="TOC 标题2"/>
    <w:basedOn w:val="2"/>
    <w:next w:val="1"/>
    <w:qFormat/>
    <w:uiPriority w:val="39"/>
    <w:pPr>
      <w:widowControl/>
      <w:spacing w:after="0" w:line="276" w:lineRule="auto"/>
      <w:jc w:val="left"/>
      <w:outlineLvl w:val="9"/>
    </w:pPr>
    <w:rPr>
      <w:rFonts w:ascii="Cambria" w:hAnsi="Cambria" w:eastAsia="宋体" w:cs="Times New Roman"/>
      <w:b/>
      <w:bCs/>
      <w:color w:val="365F91"/>
      <w:sz w:val="28"/>
      <w:szCs w:val="28"/>
    </w:rPr>
  </w:style>
  <w:style w:type="paragraph" w:customStyle="1" w:styleId="362">
    <w:name w:val="Char Char Char2"/>
    <w:basedOn w:val="1"/>
    <w:qFormat/>
    <w:uiPriority w:val="0"/>
    <w:pPr>
      <w:ind w:firstLine="200"/>
    </w:pPr>
  </w:style>
  <w:style w:type="paragraph" w:customStyle="1" w:styleId="363">
    <w:name w:val="Char23"/>
    <w:basedOn w:val="1"/>
    <w:qFormat/>
    <w:uiPriority w:val="0"/>
    <w:pPr>
      <w:ind w:firstLine="200"/>
    </w:pPr>
    <w:rPr>
      <w:rFonts w:ascii="宋体" w:hAnsi="宋体" w:cs="宋体"/>
    </w:rPr>
  </w:style>
  <w:style w:type="paragraph" w:customStyle="1" w:styleId="364">
    <w:name w:val="Char13"/>
    <w:basedOn w:val="1"/>
    <w:qFormat/>
    <w:uiPriority w:val="0"/>
    <w:pPr>
      <w:ind w:firstLine="200"/>
    </w:pPr>
  </w:style>
  <w:style w:type="paragraph" w:customStyle="1" w:styleId="365">
    <w:name w:val="Char Char Char Char2"/>
    <w:basedOn w:val="1"/>
    <w:qFormat/>
    <w:uiPriority w:val="0"/>
    <w:pPr>
      <w:widowControl/>
      <w:spacing w:after="160" w:line="240" w:lineRule="exact"/>
      <w:jc w:val="left"/>
    </w:pPr>
    <w:rPr>
      <w:rFonts w:ascii="Verdana" w:hAnsi="Verdana"/>
      <w:sz w:val="20"/>
      <w:szCs w:val="20"/>
      <w:lang w:eastAsia="en-US"/>
    </w:rPr>
  </w:style>
  <w:style w:type="paragraph" w:customStyle="1" w:styleId="366">
    <w:name w:val="Char Char Char Char Char Char Char Char Char Char Char Char Char2"/>
    <w:basedOn w:val="1"/>
    <w:qFormat/>
    <w:uiPriority w:val="99"/>
    <w:pPr>
      <w:spacing w:line="240" w:lineRule="auto"/>
    </w:pPr>
    <w:rPr>
      <w:sz w:val="21"/>
    </w:rPr>
  </w:style>
  <w:style w:type="paragraph" w:customStyle="1" w:styleId="367">
    <w:name w:val="标题 51"/>
    <w:basedOn w:val="1"/>
    <w:next w:val="1"/>
    <w:unhideWhenUsed/>
    <w:qFormat/>
    <w:uiPriority w:val="0"/>
    <w:pPr>
      <w:keepNext/>
      <w:keepLines/>
      <w:spacing w:before="80" w:after="40" w:line="240" w:lineRule="auto"/>
      <w:outlineLvl w:val="4"/>
    </w:pPr>
    <w:rPr>
      <w:color w:val="2F5496"/>
      <w:szCs w:val="22"/>
    </w:rPr>
  </w:style>
  <w:style w:type="paragraph" w:customStyle="1" w:styleId="368">
    <w:name w:val="标题 61"/>
    <w:basedOn w:val="1"/>
    <w:next w:val="1"/>
    <w:unhideWhenUsed/>
    <w:qFormat/>
    <w:uiPriority w:val="0"/>
    <w:pPr>
      <w:keepNext/>
      <w:keepLines/>
      <w:spacing w:before="40" w:line="240" w:lineRule="auto"/>
      <w:outlineLvl w:val="5"/>
    </w:pPr>
    <w:rPr>
      <w:b/>
      <w:bCs/>
      <w:color w:val="2F5496"/>
      <w:sz w:val="21"/>
      <w:szCs w:val="22"/>
    </w:rPr>
  </w:style>
  <w:style w:type="paragraph" w:customStyle="1" w:styleId="369">
    <w:name w:val="标题 71"/>
    <w:basedOn w:val="1"/>
    <w:next w:val="1"/>
    <w:unhideWhenUsed/>
    <w:qFormat/>
    <w:uiPriority w:val="0"/>
    <w:pPr>
      <w:keepNext/>
      <w:keepLines/>
      <w:spacing w:before="40" w:line="240" w:lineRule="auto"/>
      <w:outlineLvl w:val="6"/>
    </w:pPr>
    <w:rPr>
      <w:b/>
      <w:bCs/>
      <w:color w:val="595959"/>
      <w:sz w:val="21"/>
      <w:szCs w:val="22"/>
    </w:rPr>
  </w:style>
  <w:style w:type="paragraph" w:customStyle="1" w:styleId="370">
    <w:name w:val="标题 81"/>
    <w:basedOn w:val="1"/>
    <w:next w:val="1"/>
    <w:unhideWhenUsed/>
    <w:qFormat/>
    <w:uiPriority w:val="0"/>
    <w:pPr>
      <w:keepNext/>
      <w:keepLines/>
      <w:spacing w:line="240" w:lineRule="auto"/>
      <w:outlineLvl w:val="7"/>
    </w:pPr>
    <w:rPr>
      <w:color w:val="595959"/>
      <w:sz w:val="21"/>
      <w:szCs w:val="22"/>
    </w:rPr>
  </w:style>
  <w:style w:type="paragraph" w:customStyle="1" w:styleId="371">
    <w:name w:val="标题 91"/>
    <w:basedOn w:val="1"/>
    <w:next w:val="1"/>
    <w:unhideWhenUsed/>
    <w:qFormat/>
    <w:uiPriority w:val="0"/>
    <w:pPr>
      <w:keepNext/>
      <w:keepLines/>
      <w:spacing w:line="240" w:lineRule="auto"/>
      <w:outlineLvl w:val="8"/>
    </w:pPr>
    <w:rPr>
      <w:rFonts w:eastAsia="等线 Light"/>
      <w:color w:val="595959"/>
      <w:sz w:val="21"/>
      <w:szCs w:val="22"/>
    </w:rPr>
  </w:style>
  <w:style w:type="paragraph" w:customStyle="1" w:styleId="372">
    <w:name w:val="副标题1"/>
    <w:basedOn w:val="1"/>
    <w:next w:val="1"/>
    <w:qFormat/>
    <w:uiPriority w:val="11"/>
    <w:pPr>
      <w:spacing w:line="240" w:lineRule="auto"/>
      <w:jc w:val="center"/>
    </w:pPr>
    <w:rPr>
      <w:rFonts w:ascii="等线 Light" w:hAnsi="等线 Light" w:eastAsia="等线 Light"/>
      <w:color w:val="595959"/>
      <w:spacing w:val="15"/>
      <w:sz w:val="28"/>
      <w:szCs w:val="28"/>
    </w:rPr>
  </w:style>
  <w:style w:type="paragraph" w:customStyle="1" w:styleId="373">
    <w:name w:val="引用1"/>
    <w:basedOn w:val="1"/>
    <w:next w:val="1"/>
    <w:qFormat/>
    <w:uiPriority w:val="29"/>
    <w:pPr>
      <w:spacing w:before="160" w:line="240" w:lineRule="auto"/>
      <w:jc w:val="center"/>
    </w:pPr>
    <w:rPr>
      <w:i/>
      <w:iCs/>
      <w:color w:val="404040"/>
      <w:sz w:val="21"/>
      <w:szCs w:val="22"/>
    </w:rPr>
  </w:style>
  <w:style w:type="paragraph" w:customStyle="1" w:styleId="374">
    <w:name w:val="明显引用1"/>
    <w:basedOn w:val="1"/>
    <w:next w:val="1"/>
    <w:qFormat/>
    <w:uiPriority w:val="30"/>
    <w:pPr>
      <w:pBdr>
        <w:top w:val="single" w:color="2F5496" w:sz="4" w:space="10"/>
        <w:bottom w:val="single" w:color="2F5496" w:sz="4" w:space="10"/>
      </w:pBdr>
      <w:spacing w:before="360" w:after="360" w:line="240" w:lineRule="auto"/>
      <w:ind w:left="864" w:right="864"/>
      <w:jc w:val="center"/>
    </w:pPr>
    <w:rPr>
      <w:i/>
      <w:iCs/>
      <w:color w:val="2F5496"/>
      <w:sz w:val="21"/>
      <w:szCs w:val="22"/>
    </w:rPr>
  </w:style>
  <w:style w:type="character" w:customStyle="1" w:styleId="375">
    <w:name w:val="标题 4 字符1"/>
    <w:qFormat/>
    <w:uiPriority w:val="0"/>
    <w:rPr>
      <w:rFonts w:ascii="Times New Roman" w:hAnsi="Times New Roman" w:eastAsia="宋体"/>
      <w:b/>
    </w:rPr>
  </w:style>
  <w:style w:type="paragraph" w:customStyle="1" w:styleId="376">
    <w:name w:val="新正文"/>
    <w:basedOn w:val="1"/>
    <w:qFormat/>
    <w:uiPriority w:val="0"/>
    <w:pPr>
      <w:ind w:firstLine="420"/>
    </w:pPr>
    <w:rPr>
      <w:bCs/>
      <w:color w:val="FFC000"/>
    </w:rPr>
  </w:style>
  <w:style w:type="character" w:customStyle="1" w:styleId="377">
    <w:name w:val="正文 新 Char"/>
    <w:link w:val="378"/>
    <w:qFormat/>
    <w:uiPriority w:val="0"/>
    <w:rPr>
      <w:sz w:val="24"/>
    </w:rPr>
  </w:style>
  <w:style w:type="paragraph" w:customStyle="1" w:styleId="378">
    <w:name w:val="正文 新"/>
    <w:basedOn w:val="1"/>
    <w:next w:val="1"/>
    <w:link w:val="377"/>
    <w:qFormat/>
    <w:uiPriority w:val="0"/>
    <w:pPr>
      <w:ind w:left="20" w:right="20" w:firstLine="200"/>
    </w:pPr>
    <w:rPr>
      <w:rFonts w:asciiTheme="minorHAnsi" w:hAnsiTheme="minorHAnsi" w:eastAsiaTheme="minorEastAsia" w:cstheme="minorBidi"/>
      <w:szCs w:val="20"/>
    </w:rPr>
  </w:style>
  <w:style w:type="character" w:customStyle="1" w:styleId="379">
    <w:name w:val="二级标题样式 Char"/>
    <w:link w:val="380"/>
    <w:qFormat/>
    <w:uiPriority w:val="0"/>
    <w:rPr>
      <w:rFonts w:eastAsia="黑体"/>
      <w:sz w:val="32"/>
      <w:szCs w:val="32"/>
    </w:rPr>
  </w:style>
  <w:style w:type="paragraph" w:customStyle="1" w:styleId="380">
    <w:name w:val="二级标题样式"/>
    <w:basedOn w:val="1"/>
    <w:link w:val="379"/>
    <w:qFormat/>
    <w:uiPriority w:val="0"/>
    <w:pPr>
      <w:jc w:val="left"/>
    </w:pPr>
    <w:rPr>
      <w:rFonts w:eastAsia="黑体" w:asciiTheme="minorHAnsi" w:hAnsiTheme="minorHAnsi" w:cstheme="minorBidi"/>
      <w:sz w:val="32"/>
      <w:szCs w:val="32"/>
    </w:rPr>
  </w:style>
  <w:style w:type="character" w:customStyle="1" w:styleId="381">
    <w:name w:val="15"/>
    <w:qFormat/>
    <w:uiPriority w:val="0"/>
    <w:rPr>
      <w:rFonts w:hint="default" w:ascii="Times New Roman" w:hAnsi="Times New Roman" w:cs="Times New Roman"/>
      <w:sz w:val="28"/>
      <w:szCs w:val="28"/>
    </w:rPr>
  </w:style>
  <w:style w:type="character" w:customStyle="1" w:styleId="382">
    <w:name w:val="正文文本 Char1"/>
    <w:semiHidden/>
    <w:qFormat/>
    <w:uiPriority w:val="0"/>
    <w:rPr>
      <w:sz w:val="21"/>
      <w:szCs w:val="22"/>
    </w:rPr>
  </w:style>
  <w:style w:type="character" w:customStyle="1" w:styleId="383">
    <w:name w:val="Header Char"/>
    <w:qFormat/>
    <w:uiPriority w:val="0"/>
    <w:rPr>
      <w:rFonts w:eastAsia="宋体" w:cs="Times New Roman"/>
      <w:sz w:val="18"/>
      <w:lang w:val="en-US" w:eastAsia="zh-CN" w:bidi="ar-SA"/>
    </w:rPr>
  </w:style>
  <w:style w:type="paragraph" w:customStyle="1" w:styleId="384">
    <w:name w:val="表格后空行"/>
    <w:basedOn w:val="1"/>
    <w:qFormat/>
    <w:uiPriority w:val="99"/>
    <w:pPr>
      <w:spacing w:line="240" w:lineRule="auto"/>
    </w:pPr>
    <w:rPr>
      <w:szCs w:val="20"/>
    </w:rPr>
  </w:style>
  <w:style w:type="paragraph" w:customStyle="1" w:styleId="385">
    <w:name w:val="p16"/>
    <w:basedOn w:val="1"/>
    <w:qFormat/>
    <w:uiPriority w:val="99"/>
    <w:pPr>
      <w:widowControl/>
      <w:spacing w:before="156" w:after="156"/>
      <w:ind w:firstLine="420"/>
    </w:pPr>
    <w:rPr>
      <w:rFonts w:cs="宋体"/>
      <w:b/>
      <w:bCs/>
    </w:rPr>
  </w:style>
  <w:style w:type="paragraph" w:customStyle="1" w:styleId="386">
    <w:name w:val="Char Char Char Char Char Char1 Char"/>
    <w:basedOn w:val="1"/>
    <w:qFormat/>
    <w:uiPriority w:val="99"/>
    <w:pPr>
      <w:widowControl/>
      <w:spacing w:after="160" w:line="240" w:lineRule="exact"/>
      <w:jc w:val="left"/>
    </w:pPr>
    <w:rPr>
      <w:rFonts w:ascii="Arial" w:hAnsi="Arial" w:eastAsia="Times New Roman" w:cs="Verdana"/>
      <w:b/>
      <w:lang w:eastAsia="en-US"/>
    </w:rPr>
  </w:style>
  <w:style w:type="paragraph" w:customStyle="1" w:styleId="387">
    <w:name w:val="xl24"/>
    <w:basedOn w:val="1"/>
    <w:qFormat/>
    <w:uiPriority w:val="0"/>
    <w:pPr>
      <w:widowControl/>
      <w:pBdr>
        <w:bottom w:val="single" w:color="000000" w:sz="4" w:space="0"/>
        <w:right w:val="single" w:color="000000" w:sz="4" w:space="0"/>
      </w:pBdr>
      <w:spacing w:before="100" w:beforeAutospacing="1" w:after="100" w:afterAutospacing="1" w:line="240" w:lineRule="auto"/>
      <w:jc w:val="center"/>
    </w:pPr>
    <w:rPr>
      <w:sz w:val="21"/>
      <w:szCs w:val="21"/>
    </w:rPr>
  </w:style>
  <w:style w:type="table" w:customStyle="1" w:styleId="388">
    <w:name w:val="网格型1"/>
    <w:basedOn w:val="57"/>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89">
    <w:name w:val="样式1"/>
    <w:basedOn w:val="57"/>
    <w:qFormat/>
    <w:uiPriority w:val="99"/>
    <w:pPr>
      <w:jc w:val="center"/>
    </w:pPr>
    <w:rPr>
      <w:sz w:val="21"/>
    </w:rPr>
    <w:tblPr>
      <w:tblBorders>
        <w:top w:val="single" w:color="000000" w:sz="4" w:space="0"/>
        <w:insideH w:val="single" w:color="000000" w:sz="4" w:space="0"/>
        <w:insideV w:val="single" w:color="000000" w:sz="4" w:space="0"/>
      </w:tblBorders>
    </w:tblPr>
    <w:tcPr>
      <w:vAlign w:val="center"/>
    </w:tcPr>
    <w:tblStylePr w:type="firstRow">
      <w:tcPr>
        <w:tcBorders>
          <w:top w:val="single" w:color="auto" w:sz="8" w:space="0"/>
          <w:left w:val="nil"/>
          <w:bottom w:val="nil"/>
          <w:right w:val="nil"/>
          <w:insideH w:val="nil"/>
          <w:insideV w:val="nil"/>
        </w:tcBorders>
      </w:tcPr>
    </w:tblStylePr>
    <w:tblStylePr w:type="lastRow">
      <w:tcPr>
        <w:tcBorders>
          <w:top w:val="nil"/>
          <w:left w:val="nil"/>
          <w:bottom w:val="single" w:color="auto" w:sz="8" w:space="0"/>
          <w:right w:val="nil"/>
          <w:insideH w:val="nil"/>
          <w:insideV w:val="nil"/>
        </w:tcBorders>
      </w:tcPr>
    </w:tblStylePr>
    <w:tblStylePr w:type="firstCol">
      <w:tcPr>
        <w:tcBorders>
          <w:top w:val="single" w:color="auto" w:sz="8" w:space="0"/>
          <w:left w:val="nil"/>
          <w:bottom w:val="nil"/>
          <w:right w:val="nil"/>
          <w:insideH w:val="nil"/>
          <w:insideV w:val="nil"/>
        </w:tcBorders>
      </w:tcPr>
    </w:tblStylePr>
  </w:style>
  <w:style w:type="character" w:customStyle="1" w:styleId="390">
    <w:name w:val="环评正文 Char"/>
    <w:link w:val="391"/>
    <w:qFormat/>
    <w:uiPriority w:val="0"/>
    <w:rPr>
      <w:bCs/>
      <w:color w:val="000000"/>
      <w:sz w:val="24"/>
    </w:rPr>
  </w:style>
  <w:style w:type="paragraph" w:customStyle="1" w:styleId="391">
    <w:name w:val="环评正文"/>
    <w:basedOn w:val="1"/>
    <w:link w:val="390"/>
    <w:qFormat/>
    <w:uiPriority w:val="0"/>
    <w:pPr>
      <w:spacing w:before="156" w:after="156"/>
      <w:ind w:firstLine="480"/>
    </w:pPr>
    <w:rPr>
      <w:rFonts w:asciiTheme="minorHAnsi" w:hAnsiTheme="minorHAnsi" w:eastAsiaTheme="minorEastAsia" w:cstheme="minorBidi"/>
      <w:bCs/>
      <w:color w:val="000000"/>
      <w:szCs w:val="20"/>
    </w:rPr>
  </w:style>
  <w:style w:type="character" w:customStyle="1" w:styleId="392">
    <w:name w:val="正文首行缩进 Char1"/>
    <w:qFormat/>
    <w:uiPriority w:val="99"/>
  </w:style>
  <w:style w:type="character" w:customStyle="1" w:styleId="393">
    <w:name w:val="纯文本 Char1"/>
    <w:qFormat/>
    <w:uiPriority w:val="0"/>
    <w:rPr>
      <w:rFonts w:ascii="宋体" w:hAnsi="Courier New" w:cs="Courier New"/>
      <w:sz w:val="21"/>
      <w:szCs w:val="21"/>
    </w:rPr>
  </w:style>
  <w:style w:type="character" w:customStyle="1" w:styleId="394">
    <w:name w:val="正文文本缩进 3 Char1"/>
    <w:semiHidden/>
    <w:qFormat/>
    <w:uiPriority w:val="0"/>
    <w:rPr>
      <w:sz w:val="16"/>
      <w:szCs w:val="16"/>
    </w:rPr>
  </w:style>
  <w:style w:type="table" w:customStyle="1" w:styleId="395">
    <w:name w:val="网格型2"/>
    <w:basedOn w:val="5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96">
    <w:name w:val="表文 Char"/>
    <w:link w:val="397"/>
    <w:qFormat/>
    <w:uiPriority w:val="0"/>
    <w:rPr>
      <w:sz w:val="24"/>
    </w:rPr>
  </w:style>
  <w:style w:type="paragraph" w:customStyle="1" w:styleId="397">
    <w:name w:val="表文"/>
    <w:basedOn w:val="1"/>
    <w:link w:val="396"/>
    <w:qFormat/>
    <w:uiPriority w:val="0"/>
    <w:pPr>
      <w:spacing w:line="240" w:lineRule="auto"/>
      <w:jc w:val="center"/>
    </w:pPr>
    <w:rPr>
      <w:rFonts w:asciiTheme="minorHAnsi" w:hAnsiTheme="minorHAnsi" w:eastAsiaTheme="minorEastAsia" w:cstheme="minorBidi"/>
      <w:szCs w:val="20"/>
    </w:rPr>
  </w:style>
  <w:style w:type="paragraph" w:customStyle="1" w:styleId="398">
    <w:name w:val="正文段落左对齐加粗"/>
    <w:basedOn w:val="399"/>
    <w:qFormat/>
    <w:uiPriority w:val="99"/>
    <w:rPr>
      <w:b/>
    </w:rPr>
  </w:style>
  <w:style w:type="paragraph" w:customStyle="1" w:styleId="399">
    <w:name w:val="正文段落左对齐"/>
    <w:basedOn w:val="1"/>
    <w:next w:val="1"/>
    <w:qFormat/>
    <w:uiPriority w:val="99"/>
    <w:pPr>
      <w:spacing w:line="240" w:lineRule="auto"/>
      <w:jc w:val="center"/>
    </w:pPr>
    <w:rPr>
      <w:rFonts w:ascii="仿宋" w:hAnsi="仿宋" w:eastAsia="仿宋" w:cs="宋体"/>
      <w:bCs/>
      <w:sz w:val="28"/>
      <w:szCs w:val="20"/>
    </w:rPr>
  </w:style>
  <w:style w:type="paragraph" w:customStyle="1" w:styleId="400">
    <w:name w:val="标题11"/>
    <w:basedOn w:val="18"/>
    <w:qFormat/>
    <w:uiPriority w:val="0"/>
    <w:rPr>
      <w:rFonts w:ascii="黑体" w:eastAsia="黑体" w:cs="Times New Roman"/>
      <w:b/>
      <w:sz w:val="28"/>
      <w:szCs w:val="20"/>
    </w:rPr>
  </w:style>
  <w:style w:type="character" w:customStyle="1" w:styleId="401">
    <w:name w:val="正文文本缩进 2 Char1"/>
    <w:semiHidden/>
    <w:qFormat/>
    <w:uiPriority w:val="99"/>
    <w:rPr>
      <w:sz w:val="21"/>
      <w:szCs w:val="22"/>
    </w:rPr>
  </w:style>
  <w:style w:type="paragraph" w:customStyle="1" w:styleId="402">
    <w:name w:val="一级标题"/>
    <w:basedOn w:val="1"/>
    <w:next w:val="1"/>
    <w:qFormat/>
    <w:uiPriority w:val="99"/>
    <w:pPr>
      <w:spacing w:line="240" w:lineRule="auto"/>
    </w:pPr>
    <w:rPr>
      <w:rFonts w:eastAsia="黑体"/>
      <w:b/>
      <w:szCs w:val="28"/>
    </w:rPr>
  </w:style>
  <w:style w:type="paragraph" w:customStyle="1" w:styleId="403">
    <w:name w:val="最大级别"/>
    <w:basedOn w:val="1"/>
    <w:next w:val="1"/>
    <w:qFormat/>
    <w:uiPriority w:val="99"/>
    <w:pPr>
      <w:spacing w:line="240" w:lineRule="auto"/>
      <w:outlineLvl w:val="0"/>
    </w:pPr>
    <w:rPr>
      <w:rFonts w:eastAsia="黑体"/>
      <w:b/>
      <w:sz w:val="28"/>
      <w:szCs w:val="32"/>
    </w:rPr>
  </w:style>
  <w:style w:type="paragraph" w:customStyle="1" w:styleId="404">
    <w:name w:val="三级标题"/>
    <w:basedOn w:val="1"/>
    <w:next w:val="1"/>
    <w:qFormat/>
    <w:uiPriority w:val="99"/>
    <w:pPr>
      <w:numPr>
        <w:ilvl w:val="0"/>
        <w:numId w:val="3"/>
      </w:numPr>
    </w:pPr>
    <w:rPr>
      <w:rFonts w:eastAsia="仿宋_GB2312" w:cs="宋体"/>
      <w:b/>
      <w:bCs/>
      <w:szCs w:val="20"/>
    </w:rPr>
  </w:style>
  <w:style w:type="paragraph" w:customStyle="1" w:styleId="405">
    <w:name w:val="公式居中"/>
    <w:basedOn w:val="1"/>
    <w:next w:val="1"/>
    <w:qFormat/>
    <w:uiPriority w:val="99"/>
    <w:pPr>
      <w:spacing w:line="240" w:lineRule="auto"/>
      <w:jc w:val="center"/>
    </w:pPr>
    <w:rPr>
      <w:rFonts w:cs="宋体"/>
      <w:sz w:val="28"/>
      <w:szCs w:val="20"/>
    </w:rPr>
  </w:style>
  <w:style w:type="paragraph" w:customStyle="1" w:styleId="406">
    <w:name w:val="表格内容"/>
    <w:basedOn w:val="1"/>
    <w:next w:val="1"/>
    <w:link w:val="725"/>
    <w:qFormat/>
    <w:uiPriority w:val="0"/>
    <w:pPr>
      <w:spacing w:line="240" w:lineRule="auto"/>
      <w:jc w:val="center"/>
    </w:pPr>
    <w:rPr>
      <w:rFonts w:eastAsia="仿宋"/>
      <w:sz w:val="21"/>
    </w:rPr>
  </w:style>
  <w:style w:type="paragraph" w:customStyle="1" w:styleId="407">
    <w:name w:val="正文段落加粗"/>
    <w:basedOn w:val="286"/>
    <w:next w:val="286"/>
    <w:qFormat/>
    <w:uiPriority w:val="99"/>
    <w:pPr>
      <w:ind w:firstLine="562"/>
    </w:pPr>
    <w:rPr>
      <w:b/>
      <w:bCs/>
      <w:sz w:val="24"/>
    </w:rPr>
  </w:style>
  <w:style w:type="paragraph" w:customStyle="1" w:styleId="408">
    <w:name w:val="图题目"/>
    <w:basedOn w:val="1"/>
    <w:next w:val="1"/>
    <w:qFormat/>
    <w:uiPriority w:val="0"/>
    <w:pPr>
      <w:spacing w:line="240" w:lineRule="auto"/>
      <w:jc w:val="center"/>
    </w:pPr>
    <w:rPr>
      <w:rFonts w:eastAsia="黑体" w:cs="宋体"/>
      <w:sz w:val="21"/>
      <w:szCs w:val="20"/>
    </w:rPr>
  </w:style>
  <w:style w:type="paragraph" w:customStyle="1" w:styleId="409">
    <w:name w:val="正文段落编号"/>
    <w:basedOn w:val="1"/>
    <w:qFormat/>
    <w:uiPriority w:val="99"/>
    <w:pPr>
      <w:numPr>
        <w:ilvl w:val="0"/>
        <w:numId w:val="4"/>
      </w:numPr>
    </w:pPr>
    <w:rPr>
      <w:rFonts w:eastAsia="仿宋_GB2312" w:cs="宋体"/>
      <w:szCs w:val="20"/>
    </w:rPr>
  </w:style>
  <w:style w:type="paragraph" w:customStyle="1" w:styleId="410">
    <w:name w:val="正文编号"/>
    <w:basedOn w:val="1"/>
    <w:next w:val="1"/>
    <w:qFormat/>
    <w:uiPriority w:val="99"/>
    <w:pPr>
      <w:ind w:firstLine="200"/>
    </w:pPr>
    <w:rPr>
      <w:rFonts w:eastAsia="仿宋"/>
    </w:rPr>
  </w:style>
  <w:style w:type="paragraph" w:customStyle="1" w:styleId="411">
    <w:name w:val="基本情况表头"/>
    <w:basedOn w:val="1"/>
    <w:next w:val="1"/>
    <w:qFormat/>
    <w:uiPriority w:val="99"/>
    <w:pPr>
      <w:spacing w:line="240" w:lineRule="auto"/>
      <w:jc w:val="center"/>
    </w:pPr>
    <w:rPr>
      <w:rFonts w:eastAsia="仿宋_GB2312"/>
    </w:rPr>
  </w:style>
  <w:style w:type="paragraph" w:customStyle="1" w:styleId="412">
    <w:name w:val="二级标题"/>
    <w:basedOn w:val="1"/>
    <w:next w:val="1"/>
    <w:qFormat/>
    <w:uiPriority w:val="0"/>
    <w:pPr>
      <w:numPr>
        <w:ilvl w:val="0"/>
        <w:numId w:val="5"/>
      </w:numPr>
    </w:pPr>
    <w:rPr>
      <w:rFonts w:eastAsia="仿宋_GB2312" w:cs="宋体"/>
      <w:b/>
      <w:bCs/>
      <w:szCs w:val="20"/>
    </w:rPr>
  </w:style>
  <w:style w:type="paragraph" w:customStyle="1" w:styleId="413">
    <w:name w:val="表格题目"/>
    <w:basedOn w:val="1"/>
    <w:next w:val="1"/>
    <w:qFormat/>
    <w:uiPriority w:val="99"/>
    <w:pPr>
      <w:jc w:val="center"/>
    </w:pPr>
    <w:rPr>
      <w:rFonts w:eastAsia="黑体"/>
      <w:sz w:val="21"/>
    </w:rPr>
  </w:style>
  <w:style w:type="table" w:customStyle="1" w:styleId="414">
    <w:name w:val="表框1"/>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15">
    <w:name w:val="表内文字 Char"/>
    <w:qFormat/>
    <w:uiPriority w:val="0"/>
    <w:rPr>
      <w:rFonts w:ascii="宋体" w:hAnsi="Courier New" w:eastAsia="宋体"/>
      <w:sz w:val="21"/>
      <w:lang w:bidi="ar-SA"/>
    </w:rPr>
  </w:style>
  <w:style w:type="paragraph" w:customStyle="1" w:styleId="416">
    <w:name w:val="bg正文首行缩进"/>
    <w:basedOn w:val="1"/>
    <w:link w:val="417"/>
    <w:qFormat/>
    <w:uiPriority w:val="0"/>
    <w:pPr>
      <w:spacing w:line="400" w:lineRule="exact"/>
      <w:ind w:firstLine="482"/>
    </w:pPr>
    <w:rPr>
      <w:szCs w:val="20"/>
    </w:rPr>
  </w:style>
  <w:style w:type="character" w:customStyle="1" w:styleId="417">
    <w:name w:val="bg正文首行缩进 Char"/>
    <w:link w:val="416"/>
    <w:qFormat/>
    <w:uiPriority w:val="0"/>
    <w:rPr>
      <w:rFonts w:ascii="Times New Roman" w:hAnsi="Times New Roman" w:eastAsia="宋体" w:cs="Times New Roman"/>
      <w:sz w:val="24"/>
    </w:rPr>
  </w:style>
  <w:style w:type="paragraph" w:customStyle="1" w:styleId="418">
    <w:name w:val="报告表正文"/>
    <w:basedOn w:val="77"/>
    <w:next w:val="77"/>
    <w:link w:val="682"/>
    <w:qFormat/>
    <w:uiPriority w:val="0"/>
    <w:rPr>
      <w:rFonts w:ascii="Times New Roman" w:eastAsia="宋体" w:cs="Times New Roman"/>
      <w:color w:val="auto"/>
    </w:rPr>
  </w:style>
  <w:style w:type="table" w:customStyle="1" w:styleId="419">
    <w:name w:val="网格型3"/>
    <w:basedOn w:val="5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20">
    <w:name w:val="修订1"/>
    <w:unhideWhenUsed/>
    <w:qFormat/>
    <w:uiPriority w:val="99"/>
    <w:rPr>
      <w:rFonts w:ascii="Times New Roman" w:hAnsi="Times New Roman" w:eastAsia="宋体" w:cs="Times New Roman"/>
      <w:sz w:val="24"/>
      <w:szCs w:val="24"/>
      <w:lang w:val="en-US" w:eastAsia="zh-CN" w:bidi="ar-SA"/>
    </w:rPr>
  </w:style>
  <w:style w:type="table" w:customStyle="1" w:styleId="421">
    <w:name w:val="样式11"/>
    <w:basedOn w:val="57"/>
    <w:qFormat/>
    <w:uiPriority w:val="99"/>
    <w:pPr>
      <w:jc w:val="center"/>
    </w:pPr>
    <w:rPr>
      <w:sz w:val="21"/>
    </w:rPr>
    <w:tblPr>
      <w:tblBorders>
        <w:top w:val="single" w:color="000000" w:sz="4" w:space="0"/>
        <w:bottom w:val="single" w:color="000000" w:sz="4" w:space="0"/>
        <w:insideH w:val="single" w:color="000000" w:sz="4" w:space="0"/>
        <w:insideV w:val="single" w:color="000000" w:sz="4" w:space="0"/>
      </w:tblBorders>
    </w:tblPr>
    <w:tcPr>
      <w:vAlign w:val="center"/>
    </w:tcPr>
    <w:tblStylePr w:type="firstRow">
      <w:pPr>
        <w:jc w:val="center"/>
      </w:pPr>
      <w:rPr>
        <w:rFonts w:eastAsia="Helvetica"/>
        <w:b/>
        <w:sz w:val="21"/>
      </w:rPr>
      <w:tcPr>
        <w:tcBorders>
          <w:top w:val="single" w:color="auto" w:sz="8" w:space="0"/>
          <w:left w:val="nil"/>
          <w:bottom w:val="single" w:color="auto" w:sz="8" w:space="0"/>
          <w:right w:val="nil"/>
          <w:insideH w:val="nil"/>
          <w:insideV w:val="nil"/>
        </w:tcBorders>
      </w:tcPr>
    </w:tblStylePr>
    <w:tblStylePr w:type="lastRow">
      <w:rPr>
        <w:rFonts w:eastAsia="Helvetica"/>
      </w:rPr>
      <w:tcPr>
        <w:tcBorders>
          <w:top w:val="nil"/>
          <w:left w:val="nil"/>
          <w:bottom w:val="single" w:color="auto" w:sz="8" w:space="0"/>
          <w:right w:val="nil"/>
          <w:insideH w:val="nil"/>
          <w:insideV w:val="nil"/>
        </w:tcBorders>
      </w:tcPr>
    </w:tblStylePr>
  </w:style>
  <w:style w:type="paragraph" w:customStyle="1" w:styleId="422">
    <w:name w:val="xl619"/>
    <w:basedOn w:val="1"/>
    <w:qFormat/>
    <w:uiPriority w:val="0"/>
    <w:pPr>
      <w:widowControl/>
      <w:spacing w:before="100" w:beforeAutospacing="1" w:after="100" w:afterAutospacing="1" w:line="240" w:lineRule="auto"/>
      <w:jc w:val="left"/>
    </w:pPr>
    <w:rPr>
      <w:rFonts w:ascii="宋体" w:hAnsi="宋体" w:cs="宋体"/>
      <w:sz w:val="36"/>
      <w:szCs w:val="36"/>
    </w:rPr>
  </w:style>
  <w:style w:type="paragraph" w:customStyle="1" w:styleId="423">
    <w:name w:val="xl620"/>
    <w:basedOn w:val="1"/>
    <w:qFormat/>
    <w:uiPriority w:val="0"/>
    <w:pPr>
      <w:widowControl/>
      <w:spacing w:before="100" w:beforeAutospacing="1" w:after="100" w:afterAutospacing="1" w:line="240" w:lineRule="auto"/>
      <w:jc w:val="left"/>
    </w:pPr>
    <w:rPr>
      <w:rFonts w:ascii="宋体" w:hAnsi="宋体" w:cs="宋体"/>
      <w:color w:val="FF0000"/>
    </w:rPr>
  </w:style>
  <w:style w:type="paragraph" w:customStyle="1" w:styleId="424">
    <w:name w:val="xl621"/>
    <w:basedOn w:val="1"/>
    <w:qFormat/>
    <w:uiPriority w:val="0"/>
    <w:pPr>
      <w:widowControl/>
      <w:pBdr>
        <w:top w:val="single" w:color="auto" w:sz="8" w:space="0"/>
        <w:bottom w:val="single" w:color="auto" w:sz="8" w:space="0"/>
        <w:right w:val="single" w:color="auto" w:sz="8" w:space="0"/>
      </w:pBdr>
      <w:spacing w:before="100" w:beforeAutospacing="1" w:after="100" w:afterAutospacing="1" w:line="240" w:lineRule="auto"/>
      <w:jc w:val="center"/>
    </w:pPr>
    <w:rPr>
      <w:rFonts w:ascii="宋体" w:hAnsi="宋体" w:cs="宋体"/>
      <w:color w:val="000000"/>
      <w:sz w:val="21"/>
      <w:szCs w:val="21"/>
    </w:rPr>
  </w:style>
  <w:style w:type="paragraph" w:customStyle="1" w:styleId="425">
    <w:name w:val="xl622"/>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000000"/>
      <w:sz w:val="21"/>
      <w:szCs w:val="21"/>
    </w:rPr>
  </w:style>
  <w:style w:type="paragraph" w:customStyle="1" w:styleId="426">
    <w:name w:val="xl623"/>
    <w:basedOn w:val="1"/>
    <w:qFormat/>
    <w:uiPriority w:val="0"/>
    <w:pPr>
      <w:widowControl/>
      <w:pBdr>
        <w:bottom w:val="single" w:color="auto" w:sz="8" w:space="0"/>
        <w:right w:val="single" w:color="auto" w:sz="8" w:space="0"/>
      </w:pBdr>
      <w:spacing w:before="100" w:beforeAutospacing="1" w:after="100" w:afterAutospacing="1" w:line="240" w:lineRule="auto"/>
      <w:jc w:val="center"/>
    </w:pPr>
    <w:rPr>
      <w:rFonts w:ascii="宋体" w:hAnsi="宋体" w:cs="宋体"/>
      <w:color w:val="000000"/>
      <w:sz w:val="21"/>
      <w:szCs w:val="21"/>
    </w:rPr>
  </w:style>
  <w:style w:type="paragraph" w:customStyle="1" w:styleId="427">
    <w:name w:val="xl624"/>
    <w:basedOn w:val="1"/>
    <w:qFormat/>
    <w:uiPriority w:val="0"/>
    <w:pPr>
      <w:widowControl/>
      <w:pBdr>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000000"/>
      <w:sz w:val="21"/>
      <w:szCs w:val="21"/>
    </w:rPr>
  </w:style>
  <w:style w:type="paragraph" w:customStyle="1" w:styleId="428">
    <w:name w:val="xl625"/>
    <w:basedOn w:val="1"/>
    <w:qFormat/>
    <w:uiPriority w:val="0"/>
    <w:pPr>
      <w:widowControl/>
      <w:pBdr>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000000"/>
      <w:sz w:val="21"/>
      <w:szCs w:val="21"/>
    </w:rPr>
  </w:style>
  <w:style w:type="paragraph" w:customStyle="1" w:styleId="429">
    <w:name w:val="xl626"/>
    <w:basedOn w:val="1"/>
    <w:qFormat/>
    <w:uiPriority w:val="0"/>
    <w:pPr>
      <w:widowControl/>
      <w:pBdr>
        <w:left w:val="single" w:color="auto" w:sz="8" w:space="0"/>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000000"/>
      <w:sz w:val="21"/>
      <w:szCs w:val="21"/>
    </w:rPr>
  </w:style>
  <w:style w:type="paragraph" w:customStyle="1" w:styleId="430">
    <w:name w:val="xl627"/>
    <w:basedOn w:val="1"/>
    <w:qFormat/>
    <w:uiPriority w:val="0"/>
    <w:pPr>
      <w:widowControl/>
      <w:pBdr>
        <w:top w:val="single" w:color="auto" w:sz="8" w:space="0"/>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000000"/>
      <w:sz w:val="21"/>
      <w:szCs w:val="21"/>
    </w:rPr>
  </w:style>
  <w:style w:type="paragraph" w:customStyle="1" w:styleId="431">
    <w:name w:val="xl628"/>
    <w:basedOn w:val="1"/>
    <w:qFormat/>
    <w:uiPriority w:val="0"/>
    <w:pPr>
      <w:widowControl/>
      <w:pBdr>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FF0000"/>
      <w:sz w:val="21"/>
      <w:szCs w:val="21"/>
    </w:rPr>
  </w:style>
  <w:style w:type="paragraph" w:customStyle="1" w:styleId="432">
    <w:name w:val="xl629"/>
    <w:basedOn w:val="1"/>
    <w:qFormat/>
    <w:uiPriority w:val="0"/>
    <w:pPr>
      <w:widowControl/>
      <w:pBdr>
        <w:top w:val="single" w:color="auto" w:sz="8" w:space="0"/>
        <w:left w:val="single" w:color="auto" w:sz="8" w:space="0"/>
        <w:bottom w:val="single" w:color="auto" w:sz="8" w:space="0"/>
      </w:pBdr>
      <w:spacing w:before="100" w:beforeAutospacing="1" w:after="100" w:afterAutospacing="1" w:line="240" w:lineRule="auto"/>
      <w:jc w:val="center"/>
    </w:pPr>
    <w:rPr>
      <w:rFonts w:ascii="宋体" w:hAnsi="宋体" w:cs="宋体"/>
      <w:color w:val="000000"/>
      <w:sz w:val="21"/>
      <w:szCs w:val="21"/>
    </w:rPr>
  </w:style>
  <w:style w:type="paragraph" w:customStyle="1" w:styleId="433">
    <w:name w:val="xl630"/>
    <w:basedOn w:val="1"/>
    <w:qFormat/>
    <w:uiPriority w:val="0"/>
    <w:pPr>
      <w:widowControl/>
      <w:pBdr>
        <w:top w:val="single" w:color="auto" w:sz="8" w:space="0"/>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000000"/>
      <w:sz w:val="21"/>
      <w:szCs w:val="21"/>
    </w:rPr>
  </w:style>
  <w:style w:type="paragraph" w:customStyle="1" w:styleId="434">
    <w:name w:val="xl631"/>
    <w:basedOn w:val="1"/>
    <w:qFormat/>
    <w:uiPriority w:val="0"/>
    <w:pPr>
      <w:widowControl/>
      <w:pBdr>
        <w:bottom w:val="single" w:color="auto" w:sz="8" w:space="0"/>
        <w:right w:val="single" w:color="auto" w:sz="8" w:space="0"/>
      </w:pBdr>
      <w:spacing w:before="100" w:beforeAutospacing="1" w:after="100" w:afterAutospacing="1" w:line="240" w:lineRule="auto"/>
      <w:jc w:val="center"/>
    </w:pPr>
    <w:rPr>
      <w:rFonts w:ascii="宋体" w:hAnsi="宋体" w:cs="宋体"/>
      <w:color w:val="FF0000"/>
      <w:sz w:val="21"/>
      <w:szCs w:val="21"/>
    </w:rPr>
  </w:style>
  <w:style w:type="paragraph" w:customStyle="1" w:styleId="435">
    <w:name w:val="xl632"/>
    <w:basedOn w:val="1"/>
    <w:qFormat/>
    <w:uiPriority w:val="0"/>
    <w:pPr>
      <w:widowControl/>
      <w:pBdr>
        <w:bottom w:val="single" w:color="auto" w:sz="8" w:space="0"/>
        <w:right w:val="single" w:color="auto" w:sz="8" w:space="0"/>
      </w:pBdr>
      <w:spacing w:before="100" w:beforeAutospacing="1" w:after="100" w:afterAutospacing="1" w:line="240" w:lineRule="auto"/>
      <w:jc w:val="center"/>
    </w:pPr>
    <w:rPr>
      <w:rFonts w:ascii="宋体" w:hAnsi="宋体" w:cs="宋体"/>
      <w:color w:val="000000"/>
      <w:sz w:val="21"/>
      <w:szCs w:val="21"/>
    </w:rPr>
  </w:style>
  <w:style w:type="paragraph" w:customStyle="1" w:styleId="436">
    <w:name w:val="xl633"/>
    <w:basedOn w:val="1"/>
    <w:qFormat/>
    <w:uiPriority w:val="0"/>
    <w:pPr>
      <w:widowControl/>
      <w:pBdr>
        <w:bottom w:val="single" w:color="auto" w:sz="8" w:space="0"/>
        <w:right w:val="single" w:color="auto" w:sz="8" w:space="0"/>
      </w:pBdr>
      <w:spacing w:before="100" w:beforeAutospacing="1" w:after="100" w:afterAutospacing="1" w:line="240" w:lineRule="auto"/>
      <w:jc w:val="center"/>
    </w:pPr>
    <w:rPr>
      <w:rFonts w:ascii="仿宋" w:hAnsi="仿宋" w:eastAsia="仿宋" w:cs="宋体"/>
      <w:color w:val="FF0000"/>
      <w:sz w:val="21"/>
      <w:szCs w:val="21"/>
    </w:rPr>
  </w:style>
  <w:style w:type="paragraph" w:customStyle="1" w:styleId="437">
    <w:name w:val="xl634"/>
    <w:basedOn w:val="1"/>
    <w:qFormat/>
    <w:uiPriority w:val="0"/>
    <w:pPr>
      <w:widowControl/>
      <w:pBdr>
        <w:top w:val="single" w:color="auto" w:sz="8" w:space="0"/>
        <w:bottom w:val="single" w:color="auto" w:sz="8" w:space="0"/>
        <w:right w:val="single" w:color="000000" w:sz="8" w:space="0"/>
      </w:pBdr>
      <w:spacing w:before="100" w:beforeAutospacing="1" w:after="100" w:afterAutospacing="1" w:line="240" w:lineRule="auto"/>
      <w:jc w:val="center"/>
    </w:pPr>
    <w:rPr>
      <w:rFonts w:ascii="宋体" w:hAnsi="宋体" w:cs="宋体"/>
      <w:color w:val="000000"/>
      <w:sz w:val="21"/>
      <w:szCs w:val="21"/>
    </w:rPr>
  </w:style>
  <w:style w:type="paragraph" w:customStyle="1" w:styleId="438">
    <w:name w:val="xl635"/>
    <w:basedOn w:val="1"/>
    <w:qFormat/>
    <w:uiPriority w:val="0"/>
    <w:pPr>
      <w:widowControl/>
      <w:pBdr>
        <w:top w:val="single" w:color="auto" w:sz="8" w:space="0"/>
        <w:bottom w:val="single" w:color="auto" w:sz="8" w:space="0"/>
      </w:pBdr>
      <w:spacing w:before="100" w:beforeAutospacing="1" w:after="100" w:afterAutospacing="1" w:line="240" w:lineRule="auto"/>
      <w:jc w:val="center"/>
    </w:pPr>
    <w:rPr>
      <w:rFonts w:ascii="宋体" w:hAnsi="宋体" w:cs="宋体"/>
      <w:color w:val="000000"/>
      <w:sz w:val="21"/>
      <w:szCs w:val="21"/>
    </w:rPr>
  </w:style>
  <w:style w:type="table" w:customStyle="1" w:styleId="439">
    <w:name w:val="网格型4"/>
    <w:basedOn w:val="5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40">
    <w:name w:val="表内格式-节能"/>
    <w:basedOn w:val="1"/>
    <w:qFormat/>
    <w:uiPriority w:val="0"/>
    <w:pPr>
      <w:widowControl/>
      <w:spacing w:line="240" w:lineRule="auto"/>
      <w:jc w:val="center"/>
    </w:pPr>
    <w:rPr>
      <w:rFonts w:eastAsia="仿宋"/>
      <w:color w:val="000000"/>
      <w:sz w:val="21"/>
      <w:szCs w:val="21"/>
    </w:rPr>
  </w:style>
  <w:style w:type="paragraph" w:customStyle="1" w:styleId="441">
    <w:name w:val="Body text|1"/>
    <w:basedOn w:val="1"/>
    <w:qFormat/>
    <w:uiPriority w:val="0"/>
    <w:pPr>
      <w:spacing w:line="427" w:lineRule="auto"/>
      <w:ind w:firstLine="400"/>
    </w:pPr>
    <w:rPr>
      <w:rFonts w:ascii="宋体" w:hAnsi="宋体" w:cs="宋体"/>
      <w:sz w:val="30"/>
      <w:szCs w:val="30"/>
      <w:lang w:val="zh-TW" w:eastAsia="zh-TW" w:bidi="zh-TW"/>
    </w:rPr>
  </w:style>
  <w:style w:type="paragraph" w:customStyle="1" w:styleId="442">
    <w:name w:val="标题5"/>
    <w:basedOn w:val="1"/>
    <w:next w:val="1"/>
    <w:qFormat/>
    <w:uiPriority w:val="0"/>
    <w:pPr>
      <w:keepNext/>
      <w:keepLines/>
      <w:spacing w:line="240" w:lineRule="auto"/>
      <w:jc w:val="left"/>
      <w:outlineLvl w:val="4"/>
    </w:pPr>
    <w:rPr>
      <w:b/>
      <w:sz w:val="21"/>
      <w:szCs w:val="22"/>
    </w:rPr>
  </w:style>
  <w:style w:type="character" w:customStyle="1" w:styleId="443">
    <w:name w:val="图表标题 Char"/>
    <w:qFormat/>
    <w:uiPriority w:val="0"/>
    <w:rPr>
      <w:rFonts w:eastAsia="黑体"/>
      <w:bCs/>
      <w:color w:val="000000"/>
      <w:sz w:val="21"/>
      <w:szCs w:val="21"/>
    </w:rPr>
  </w:style>
  <w:style w:type="paragraph" w:customStyle="1" w:styleId="444">
    <w:name w:val="表头"/>
    <w:basedOn w:val="1"/>
    <w:link w:val="580"/>
    <w:qFormat/>
    <w:uiPriority w:val="0"/>
    <w:pPr>
      <w:ind w:firstLine="480"/>
    </w:pPr>
    <w:rPr>
      <w:rFonts w:eastAsia="黑体"/>
      <w:bCs/>
      <w:color w:val="000000"/>
      <w:sz w:val="21"/>
    </w:rPr>
  </w:style>
  <w:style w:type="paragraph" w:customStyle="1" w:styleId="445">
    <w:name w:val="标题6"/>
    <w:basedOn w:val="1"/>
    <w:qFormat/>
    <w:uiPriority w:val="0"/>
    <w:pPr>
      <w:keepNext/>
      <w:keepLines/>
      <w:spacing w:line="240" w:lineRule="auto"/>
      <w:jc w:val="left"/>
      <w:outlineLvl w:val="5"/>
    </w:pPr>
    <w:rPr>
      <w:rFonts w:hint="eastAsia"/>
      <w:b/>
      <w:sz w:val="21"/>
      <w:szCs w:val="22"/>
    </w:rPr>
  </w:style>
  <w:style w:type="paragraph" w:customStyle="1" w:styleId="446">
    <w:name w:val="Table caption|1"/>
    <w:basedOn w:val="1"/>
    <w:qFormat/>
    <w:uiPriority w:val="0"/>
    <w:pPr>
      <w:spacing w:line="240" w:lineRule="auto"/>
    </w:pPr>
    <w:rPr>
      <w:rFonts w:ascii="宋体" w:hAnsi="宋体" w:cs="宋体"/>
      <w:color w:val="F5869C"/>
      <w:sz w:val="15"/>
      <w:szCs w:val="15"/>
      <w:lang w:val="zh-TW" w:eastAsia="zh-TW" w:bidi="zh-TW"/>
    </w:rPr>
  </w:style>
  <w:style w:type="paragraph" w:customStyle="1" w:styleId="447">
    <w:name w:val="Other|1"/>
    <w:basedOn w:val="1"/>
    <w:qFormat/>
    <w:uiPriority w:val="0"/>
    <w:pPr>
      <w:spacing w:after="30" w:line="240" w:lineRule="auto"/>
    </w:pPr>
    <w:rPr>
      <w:rFonts w:ascii="宋体" w:hAnsi="宋体" w:cs="宋体"/>
      <w:color w:val="747EA3"/>
      <w:sz w:val="22"/>
      <w:szCs w:val="22"/>
      <w:lang w:val="zh-TW" w:eastAsia="zh-TW" w:bidi="zh-TW"/>
    </w:rPr>
  </w:style>
  <w:style w:type="paragraph" w:customStyle="1" w:styleId="448">
    <w:name w:val="WPSOffice手动目录 1"/>
    <w:qFormat/>
    <w:uiPriority w:val="0"/>
    <w:rPr>
      <w:rFonts w:ascii="Times New Roman" w:hAnsi="Times New Roman" w:eastAsia="宋体" w:cs="Times New Roman"/>
      <w:lang w:val="en-US" w:eastAsia="zh-CN" w:bidi="ar-SA"/>
    </w:rPr>
  </w:style>
  <w:style w:type="table" w:customStyle="1" w:styleId="449">
    <w:name w:val="网格型5"/>
    <w:basedOn w:val="5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50">
    <w:name w:val="标题 5 字符1"/>
    <w:semiHidden/>
    <w:qFormat/>
    <w:uiPriority w:val="0"/>
    <w:rPr>
      <w:b/>
      <w:bCs/>
      <w:sz w:val="28"/>
      <w:szCs w:val="28"/>
    </w:rPr>
  </w:style>
  <w:style w:type="character" w:customStyle="1" w:styleId="451">
    <w:name w:val="标题 6 字符1"/>
    <w:semiHidden/>
    <w:qFormat/>
    <w:uiPriority w:val="0"/>
    <w:rPr>
      <w:rFonts w:ascii="等线 Light" w:hAnsi="等线 Light" w:eastAsia="等线 Light" w:cs="Times New Roman"/>
      <w:b/>
      <w:bCs/>
      <w:sz w:val="24"/>
      <w:szCs w:val="24"/>
    </w:rPr>
  </w:style>
  <w:style w:type="character" w:customStyle="1" w:styleId="452">
    <w:name w:val="标题 7 字符1"/>
    <w:semiHidden/>
    <w:qFormat/>
    <w:uiPriority w:val="0"/>
    <w:rPr>
      <w:b/>
      <w:bCs/>
      <w:sz w:val="24"/>
      <w:szCs w:val="24"/>
    </w:rPr>
  </w:style>
  <w:style w:type="character" w:customStyle="1" w:styleId="453">
    <w:name w:val="标题 8 字符1"/>
    <w:semiHidden/>
    <w:qFormat/>
    <w:uiPriority w:val="0"/>
    <w:rPr>
      <w:rFonts w:ascii="等线 Light" w:hAnsi="等线 Light" w:eastAsia="等线 Light" w:cs="Times New Roman"/>
      <w:sz w:val="24"/>
      <w:szCs w:val="24"/>
    </w:rPr>
  </w:style>
  <w:style w:type="character" w:customStyle="1" w:styleId="454">
    <w:name w:val="标题 9 字符1"/>
    <w:semiHidden/>
    <w:qFormat/>
    <w:uiPriority w:val="0"/>
    <w:rPr>
      <w:rFonts w:ascii="等线 Light" w:hAnsi="等线 Light" w:eastAsia="等线 Light" w:cs="Times New Roman"/>
      <w:sz w:val="21"/>
      <w:szCs w:val="21"/>
    </w:rPr>
  </w:style>
  <w:style w:type="character" w:customStyle="1" w:styleId="455">
    <w:name w:val="副标题 字符1"/>
    <w:basedOn w:val="67"/>
    <w:qFormat/>
    <w:uiPriority w:val="0"/>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456">
    <w:name w:val="引用 字符1"/>
    <w:basedOn w:val="67"/>
    <w:qFormat/>
    <w:uiPriority w:val="99"/>
    <w:rPr>
      <w:i/>
      <w:iCs/>
      <w:color w:val="404040" w:themeColor="text1" w:themeTint="BF"/>
      <w:sz w:val="24"/>
      <w:szCs w:val="24"/>
      <w14:textFill>
        <w14:solidFill>
          <w14:schemeClr w14:val="tx1">
            <w14:lumMod w14:val="75000"/>
            <w14:lumOff w14:val="25000"/>
          </w14:schemeClr>
        </w14:solidFill>
      </w14:textFill>
    </w:rPr>
  </w:style>
  <w:style w:type="character" w:customStyle="1" w:styleId="457">
    <w:name w:val="明显引用 字符1"/>
    <w:basedOn w:val="67"/>
    <w:qFormat/>
    <w:uiPriority w:val="99"/>
    <w:rPr>
      <w:i/>
      <w:iCs/>
      <w:color w:val="104862" w:themeColor="accent1" w:themeShade="BF"/>
      <w:sz w:val="24"/>
      <w:szCs w:val="24"/>
    </w:rPr>
  </w:style>
  <w:style w:type="table" w:customStyle="1" w:styleId="458">
    <w:name w:val="专业网格1"/>
    <w:basedOn w:val="57"/>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9">
    <w:name w:val="标题 21"/>
    <w:basedOn w:val="1"/>
    <w:next w:val="1"/>
    <w:unhideWhenUsed/>
    <w:qFormat/>
    <w:uiPriority w:val="0"/>
    <w:pPr>
      <w:keepNext/>
      <w:keepLines/>
      <w:spacing w:before="160" w:after="80" w:line="240" w:lineRule="auto"/>
      <w:outlineLvl w:val="1"/>
    </w:pPr>
    <w:rPr>
      <w:rFonts w:ascii="等线 Light" w:hAnsi="等线 Light" w:eastAsia="等线 Light"/>
      <w:color w:val="2F5496"/>
      <w:sz w:val="40"/>
      <w:szCs w:val="40"/>
    </w:rPr>
  </w:style>
  <w:style w:type="paragraph" w:customStyle="1" w:styleId="460">
    <w:name w:val="标题 31"/>
    <w:basedOn w:val="1"/>
    <w:next w:val="1"/>
    <w:unhideWhenUsed/>
    <w:qFormat/>
    <w:uiPriority w:val="9"/>
    <w:pPr>
      <w:keepNext/>
      <w:keepLines/>
      <w:spacing w:before="160" w:after="80" w:line="240" w:lineRule="auto"/>
      <w:outlineLvl w:val="2"/>
    </w:pPr>
    <w:rPr>
      <w:rFonts w:ascii="等线 Light" w:hAnsi="等线 Light" w:eastAsia="等线 Light"/>
      <w:color w:val="2F5496"/>
      <w:sz w:val="32"/>
      <w:szCs w:val="32"/>
    </w:rPr>
  </w:style>
  <w:style w:type="paragraph" w:customStyle="1" w:styleId="461">
    <w:name w:val="标题 41"/>
    <w:basedOn w:val="1"/>
    <w:next w:val="1"/>
    <w:unhideWhenUsed/>
    <w:qFormat/>
    <w:uiPriority w:val="0"/>
    <w:pPr>
      <w:keepNext/>
      <w:keepLines/>
      <w:spacing w:before="80" w:after="40" w:line="240" w:lineRule="auto"/>
      <w:outlineLvl w:val="3"/>
    </w:pPr>
    <w:rPr>
      <w:color w:val="2F5496"/>
      <w:sz w:val="28"/>
      <w:szCs w:val="28"/>
    </w:rPr>
  </w:style>
  <w:style w:type="character" w:customStyle="1" w:styleId="462">
    <w:name w:val="标题 2 字符1"/>
    <w:basedOn w:val="67"/>
    <w:semiHidden/>
    <w:qFormat/>
    <w:uiPriority w:val="0"/>
    <w:rPr>
      <w:rFonts w:ascii="Calibri Light" w:hAnsi="Calibri Light" w:eastAsia="宋体" w:cs="Times New Roman"/>
      <w:b/>
      <w:bCs/>
      <w:sz w:val="32"/>
      <w:szCs w:val="32"/>
    </w:rPr>
  </w:style>
  <w:style w:type="character" w:customStyle="1" w:styleId="463">
    <w:name w:val="标题 3 字符1"/>
    <w:basedOn w:val="67"/>
    <w:semiHidden/>
    <w:qFormat/>
    <w:uiPriority w:val="0"/>
    <w:rPr>
      <w:rFonts w:ascii="Times New Roman" w:hAnsi="Times New Roman" w:eastAsia="宋体" w:cs="Times New Roman"/>
      <w:b/>
      <w:bCs/>
      <w:sz w:val="32"/>
      <w:szCs w:val="32"/>
    </w:rPr>
  </w:style>
  <w:style w:type="character" w:customStyle="1" w:styleId="464">
    <w:name w:val="标题 4 字符2"/>
    <w:basedOn w:val="67"/>
    <w:semiHidden/>
    <w:qFormat/>
    <w:uiPriority w:val="0"/>
    <w:rPr>
      <w:rFonts w:ascii="Calibri Light" w:hAnsi="Calibri Light" w:eastAsia="宋体" w:cs="Times New Roman"/>
      <w:b/>
      <w:bCs/>
      <w:sz w:val="28"/>
      <w:szCs w:val="28"/>
    </w:rPr>
  </w:style>
  <w:style w:type="character" w:customStyle="1" w:styleId="465">
    <w:name w:val="标题 字符1"/>
    <w:basedOn w:val="67"/>
    <w:qFormat/>
    <w:uiPriority w:val="0"/>
    <w:rPr>
      <w:rFonts w:ascii="Calibri Light" w:hAnsi="Calibri Light" w:eastAsia="宋体" w:cs="Times New Roman"/>
      <w:b/>
      <w:bCs/>
      <w:sz w:val="32"/>
      <w:szCs w:val="32"/>
    </w:rPr>
  </w:style>
  <w:style w:type="paragraph" w:customStyle="1" w:styleId="466">
    <w:name w:val="TOC 标题3"/>
    <w:basedOn w:val="2"/>
    <w:next w:val="1"/>
    <w:unhideWhenUsed/>
    <w:qFormat/>
    <w:uiPriority w:val="39"/>
    <w:pPr>
      <w:widowControl/>
      <w:spacing w:before="240" w:after="0" w:line="259" w:lineRule="auto"/>
      <w:jc w:val="left"/>
      <w:outlineLvl w:val="9"/>
    </w:pPr>
    <w:rPr>
      <w:sz w:val="32"/>
      <w:szCs w:val="32"/>
    </w:rPr>
  </w:style>
  <w:style w:type="table" w:customStyle="1" w:styleId="467">
    <w:name w:val="网格型6"/>
    <w:basedOn w:val="5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8">
    <w:name w:val="网格型51"/>
    <w:basedOn w:val="5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69">
    <w:name w:val="标题 4 Char"/>
    <w:basedOn w:val="67"/>
    <w:qFormat/>
    <w:uiPriority w:val="0"/>
    <w:rPr>
      <w:rFonts w:asciiTheme="majorHAnsi" w:hAnsiTheme="majorHAnsi" w:eastAsiaTheme="majorEastAsia" w:cstheme="majorBidi"/>
      <w:b/>
      <w:bCs/>
      <w:sz w:val="28"/>
      <w:szCs w:val="28"/>
    </w:rPr>
  </w:style>
  <w:style w:type="character" w:customStyle="1" w:styleId="470">
    <w:name w:val="纯文本 Char"/>
    <w:basedOn w:val="67"/>
    <w:qFormat/>
    <w:uiPriority w:val="0"/>
    <w:rPr>
      <w:rFonts w:ascii="宋体" w:hAnsi="Courier New" w:eastAsia="宋体" w:cs="Courier New"/>
      <w:szCs w:val="21"/>
    </w:rPr>
  </w:style>
  <w:style w:type="character" w:customStyle="1" w:styleId="471">
    <w:name w:val="p11"/>
    <w:qFormat/>
    <w:uiPriority w:val="0"/>
    <w:rPr>
      <w:rFonts w:ascii="宋体" w:hAnsi="宋体" w:eastAsia="宋体"/>
      <w:sz w:val="18"/>
      <w:szCs w:val="18"/>
    </w:rPr>
  </w:style>
  <w:style w:type="paragraph" w:customStyle="1" w:styleId="472">
    <w:name w:val="标题4"/>
    <w:basedOn w:val="1"/>
    <w:autoRedefine/>
    <w:qFormat/>
    <w:uiPriority w:val="99"/>
    <w:pPr>
      <w:outlineLvl w:val="2"/>
    </w:pPr>
    <w:rPr>
      <w:rFonts w:ascii="仿宋_GB2312" w:eastAsia="仿宋_GB2312"/>
      <w:b/>
      <w:color w:val="000000"/>
      <w:kern w:val="2"/>
    </w:rPr>
  </w:style>
  <w:style w:type="paragraph" w:customStyle="1" w:styleId="473">
    <w:name w:val="默认段落字体 Para Char Char Char Char"/>
    <w:basedOn w:val="1"/>
    <w:qFormat/>
    <w:uiPriority w:val="0"/>
    <w:pPr>
      <w:spacing w:line="240" w:lineRule="auto"/>
    </w:pPr>
    <w:rPr>
      <w:kern w:val="2"/>
    </w:rPr>
  </w:style>
  <w:style w:type="paragraph" w:customStyle="1" w:styleId="474">
    <w:name w:val="样式6"/>
    <w:basedOn w:val="1"/>
    <w:next w:val="1"/>
    <w:qFormat/>
    <w:uiPriority w:val="99"/>
    <w:pPr>
      <w:spacing w:line="440" w:lineRule="exact"/>
    </w:pPr>
    <w:rPr>
      <w:kern w:val="2"/>
      <w:szCs w:val="20"/>
    </w:rPr>
  </w:style>
  <w:style w:type="paragraph" w:customStyle="1" w:styleId="475">
    <w:name w:val="1表格"/>
    <w:basedOn w:val="1"/>
    <w:qFormat/>
    <w:uiPriority w:val="99"/>
    <w:pPr>
      <w:snapToGrid w:val="0"/>
      <w:spacing w:line="160" w:lineRule="atLeast"/>
      <w:jc w:val="center"/>
    </w:pPr>
    <w:rPr>
      <w:rFonts w:eastAsia="仿宋_GB2312"/>
      <w:kern w:val="2"/>
      <w:sz w:val="21"/>
      <w:szCs w:val="20"/>
    </w:rPr>
  </w:style>
  <w:style w:type="paragraph" w:customStyle="1" w:styleId="476">
    <w:name w:val="Char Char1 Char Char Char Char Char Char Char Char Char1 Char"/>
    <w:basedOn w:val="1"/>
    <w:qFormat/>
    <w:uiPriority w:val="99"/>
    <w:pPr>
      <w:spacing w:line="240" w:lineRule="auto"/>
    </w:pPr>
    <w:rPr>
      <w:kern w:val="2"/>
      <w:sz w:val="21"/>
    </w:rPr>
  </w:style>
  <w:style w:type="paragraph" w:customStyle="1" w:styleId="477">
    <w:name w:val="默认段落字体 Para Char Char Char Char Char Char Char Char Char Char Char Char Char1 Char"/>
    <w:basedOn w:val="17"/>
    <w:autoRedefine/>
    <w:qFormat/>
    <w:uiPriority w:val="99"/>
    <w:pPr>
      <w:spacing w:line="240" w:lineRule="auto"/>
    </w:pPr>
    <w:rPr>
      <w:rFonts w:ascii="Tahoma" w:hAnsi="Tahoma"/>
      <w:kern w:val="2"/>
      <w:sz w:val="24"/>
      <w:lang w:val="zh-CN"/>
    </w:rPr>
  </w:style>
  <w:style w:type="paragraph" w:customStyle="1" w:styleId="478">
    <w:name w:val="报告"/>
    <w:basedOn w:val="1"/>
    <w:link w:val="864"/>
    <w:qFormat/>
    <w:uiPriority w:val="0"/>
    <w:pPr>
      <w:adjustRightInd w:val="0"/>
      <w:ind w:firstLine="505"/>
      <w:textAlignment w:val="center"/>
    </w:pPr>
    <w:rPr>
      <w:rFonts w:ascii="TimesNewRoman" w:hAnsi="TimesNewRoman"/>
      <w:szCs w:val="20"/>
    </w:rPr>
  </w:style>
  <w:style w:type="paragraph" w:customStyle="1" w:styleId="479">
    <w:name w:val="字元 字元 Char Char 字元 字元1"/>
    <w:basedOn w:val="1"/>
    <w:qFormat/>
    <w:uiPriority w:val="99"/>
    <w:pPr>
      <w:spacing w:line="240" w:lineRule="auto"/>
    </w:pPr>
    <w:rPr>
      <w:kern w:val="2"/>
    </w:rPr>
  </w:style>
  <w:style w:type="character" w:customStyle="1" w:styleId="480">
    <w:name w:val="标题 1 Char Char"/>
    <w:qFormat/>
    <w:uiPriority w:val="0"/>
    <w:rPr>
      <w:rFonts w:ascii="Arial" w:hAnsi="Arial" w:eastAsia="仿宋_GB2312"/>
      <w:kern w:val="2"/>
      <w:sz w:val="28"/>
      <w:szCs w:val="28"/>
      <w:lang w:val="en-US" w:eastAsia="zh-CN" w:bidi="ar-SA"/>
    </w:rPr>
  </w:style>
  <w:style w:type="character" w:customStyle="1" w:styleId="481">
    <w:name w:val="正文缩进 字符"/>
    <w:link w:val="14"/>
    <w:qFormat/>
    <w:uiPriority w:val="0"/>
    <w:rPr>
      <w:rFonts w:eastAsia="仿宋_GB2312"/>
      <w:sz w:val="24"/>
      <w:szCs w:val="24"/>
    </w:rPr>
  </w:style>
  <w:style w:type="paragraph" w:customStyle="1" w:styleId="482">
    <w:name w:val="Char Char Char Char Char Char"/>
    <w:basedOn w:val="1"/>
    <w:qFormat/>
    <w:uiPriority w:val="0"/>
    <w:pPr>
      <w:spacing w:line="240" w:lineRule="auto"/>
    </w:pPr>
    <w:rPr>
      <w:kern w:val="2"/>
    </w:rPr>
  </w:style>
  <w:style w:type="paragraph" w:customStyle="1" w:styleId="483">
    <w:name w:val="表内文字"/>
    <w:basedOn w:val="1"/>
    <w:qFormat/>
    <w:uiPriority w:val="99"/>
    <w:pPr>
      <w:adjustRightInd w:val="0"/>
      <w:spacing w:line="400" w:lineRule="exact"/>
      <w:jc w:val="center"/>
      <w:textAlignment w:val="baseline"/>
    </w:pPr>
    <w:rPr>
      <w:snapToGrid w:val="0"/>
      <w:kern w:val="24"/>
      <w:sz w:val="21"/>
      <w:szCs w:val="21"/>
    </w:rPr>
  </w:style>
  <w:style w:type="character" w:customStyle="1" w:styleId="484">
    <w:name w:val="正文文本 3 字符"/>
    <w:basedOn w:val="67"/>
    <w:link w:val="21"/>
    <w:qFormat/>
    <w:uiPriority w:val="0"/>
    <w:rPr>
      <w:kern w:val="2"/>
      <w:sz w:val="21"/>
      <w:lang w:val="zh-CN" w:eastAsia="zh-CN"/>
    </w:rPr>
  </w:style>
  <w:style w:type="character" w:customStyle="1" w:styleId="485">
    <w:name w:val="未命名11"/>
    <w:qFormat/>
    <w:uiPriority w:val="0"/>
    <w:rPr>
      <w:rFonts w:hint="eastAsia" w:ascii="宋体" w:hAnsi="宋体" w:eastAsia="宋体"/>
      <w:sz w:val="18"/>
      <w:szCs w:val="18"/>
    </w:rPr>
  </w:style>
  <w:style w:type="character" w:customStyle="1" w:styleId="486">
    <w:name w:val="正文文本 2 字符"/>
    <w:basedOn w:val="67"/>
    <w:link w:val="49"/>
    <w:qFormat/>
    <w:uiPriority w:val="99"/>
    <w:rPr>
      <w:kern w:val="2"/>
      <w:sz w:val="21"/>
      <w:szCs w:val="24"/>
      <w:lang w:val="zh-CN" w:eastAsia="zh-CN"/>
    </w:rPr>
  </w:style>
  <w:style w:type="character" w:customStyle="1" w:styleId="487">
    <w:name w:val="tpc_content1"/>
    <w:qFormat/>
    <w:uiPriority w:val="0"/>
    <w:rPr>
      <w:sz w:val="20"/>
      <w:szCs w:val="20"/>
    </w:rPr>
  </w:style>
  <w:style w:type="paragraph" w:customStyle="1" w:styleId="488">
    <w:name w:val="表中文字"/>
    <w:basedOn w:val="1"/>
    <w:link w:val="577"/>
    <w:qFormat/>
    <w:uiPriority w:val="0"/>
    <w:pPr>
      <w:tabs>
        <w:tab w:val="left" w:pos="3286"/>
        <w:tab w:val="left" w:pos="8362"/>
      </w:tabs>
      <w:snapToGrid w:val="0"/>
      <w:spacing w:line="340" w:lineRule="exact"/>
      <w:jc w:val="center"/>
    </w:pPr>
    <w:rPr>
      <w:rFonts w:ascii="Arial" w:hAnsi="Arial" w:eastAsia="楷体_GB2312"/>
      <w:kern w:val="2"/>
      <w:sz w:val="21"/>
      <w:szCs w:val="21"/>
      <w:shd w:val="clear" w:color="auto" w:fill="FFFFFF"/>
    </w:rPr>
  </w:style>
  <w:style w:type="paragraph" w:customStyle="1" w:styleId="489">
    <w:name w:val="Char Char Char Char Char Char1 Char Char Char1 Char Char Char Char Char Char Char"/>
    <w:basedOn w:val="1"/>
    <w:qFormat/>
    <w:uiPriority w:val="99"/>
    <w:pPr>
      <w:ind w:firstLine="200" w:firstLineChars="200"/>
    </w:pPr>
    <w:rPr>
      <w:rFonts w:ascii="宋体" w:hAnsi="宋体" w:cs="宋体"/>
      <w:kern w:val="2"/>
    </w:rPr>
  </w:style>
  <w:style w:type="paragraph" w:customStyle="1" w:styleId="490">
    <w:name w:val="图文框"/>
    <w:basedOn w:val="1"/>
    <w:autoRedefine/>
    <w:semiHidden/>
    <w:qFormat/>
    <w:uiPriority w:val="99"/>
    <w:pPr>
      <w:snapToGrid w:val="0"/>
      <w:spacing w:line="320" w:lineRule="atLeast"/>
      <w:jc w:val="center"/>
    </w:pPr>
    <w:rPr>
      <w:kern w:val="2"/>
      <w:sz w:val="21"/>
      <w:szCs w:val="20"/>
    </w:rPr>
  </w:style>
  <w:style w:type="paragraph" w:customStyle="1" w:styleId="491">
    <w:name w:val="表文1"/>
    <w:basedOn w:val="1"/>
    <w:qFormat/>
    <w:uiPriority w:val="99"/>
    <w:pPr>
      <w:spacing w:line="500" w:lineRule="exact"/>
    </w:pPr>
    <w:rPr>
      <w:rFonts w:ascii="CG Times" w:hAnsi="CG Times"/>
      <w:kern w:val="2"/>
      <w:sz w:val="21"/>
      <w:szCs w:val="20"/>
    </w:rPr>
  </w:style>
  <w:style w:type="paragraph" w:customStyle="1" w:styleId="492">
    <w:name w:val="列出段落1"/>
    <w:basedOn w:val="1"/>
    <w:qFormat/>
    <w:uiPriority w:val="0"/>
    <w:pPr>
      <w:spacing w:line="240" w:lineRule="auto"/>
      <w:ind w:firstLine="420" w:firstLineChars="200"/>
    </w:pPr>
    <w:rPr>
      <w:kern w:val="2"/>
      <w:sz w:val="21"/>
    </w:rPr>
  </w:style>
  <w:style w:type="paragraph" w:customStyle="1" w:styleId="493">
    <w:name w:val="8--"/>
    <w:basedOn w:val="1"/>
    <w:qFormat/>
    <w:uiPriority w:val="0"/>
    <w:pPr>
      <w:adjustRightInd w:val="0"/>
      <w:spacing w:line="360" w:lineRule="atLeast"/>
      <w:jc w:val="left"/>
      <w:textAlignment w:val="baseline"/>
    </w:pPr>
    <w:rPr>
      <w:szCs w:val="20"/>
    </w:rPr>
  </w:style>
  <w:style w:type="character" w:customStyle="1" w:styleId="494">
    <w:name w:val="样式 仿宋_GB2312 四号"/>
    <w:qFormat/>
    <w:uiPriority w:val="0"/>
    <w:rPr>
      <w:rFonts w:ascii="Times New Roman" w:hAnsi="Times New Roman" w:eastAsia="仿宋_GB2312"/>
      <w:sz w:val="28"/>
      <w:szCs w:val="28"/>
    </w:rPr>
  </w:style>
  <w:style w:type="paragraph" w:customStyle="1" w:styleId="495">
    <w:name w:val="Char Char Char Char Char Char Char Char Char1 Char Char Char Char"/>
    <w:basedOn w:val="1"/>
    <w:qFormat/>
    <w:uiPriority w:val="99"/>
    <w:pPr>
      <w:spacing w:line="240" w:lineRule="auto"/>
    </w:pPr>
    <w:rPr>
      <w:kern w:val="2"/>
    </w:rPr>
  </w:style>
  <w:style w:type="paragraph" w:customStyle="1" w:styleId="496">
    <w:name w:val="Char Char1"/>
    <w:basedOn w:val="1"/>
    <w:autoRedefine/>
    <w:qFormat/>
    <w:uiPriority w:val="0"/>
    <w:pPr>
      <w:widowControl/>
      <w:spacing w:before="100" w:beforeAutospacing="1" w:after="100" w:afterAutospacing="1" w:line="240" w:lineRule="auto"/>
      <w:ind w:firstLine="200" w:firstLineChars="200"/>
      <w:jc w:val="left"/>
    </w:pPr>
    <w:rPr>
      <w:rFonts w:ascii="Verdana" w:hAnsi="Verdana" w:eastAsia="仿宋_GB2312"/>
      <w:sz w:val="20"/>
      <w:szCs w:val="21"/>
      <w:lang w:eastAsia="en-US"/>
    </w:rPr>
  </w:style>
  <w:style w:type="paragraph" w:customStyle="1" w:styleId="497">
    <w:name w:val="a3"/>
    <w:basedOn w:val="1"/>
    <w:qFormat/>
    <w:uiPriority w:val="99"/>
    <w:pPr>
      <w:widowControl/>
      <w:spacing w:before="100" w:beforeAutospacing="1" w:after="100" w:afterAutospacing="1" w:line="240" w:lineRule="auto"/>
      <w:jc w:val="left"/>
    </w:pPr>
    <w:rPr>
      <w:rFonts w:ascii="宋体" w:hAnsi="宋体" w:cs="宋体"/>
      <w:color w:val="000000"/>
    </w:rPr>
  </w:style>
  <w:style w:type="paragraph" w:customStyle="1" w:styleId="498">
    <w:name w:val="图"/>
    <w:basedOn w:val="46"/>
    <w:qFormat/>
    <w:uiPriority w:val="99"/>
    <w:pPr>
      <w:ind w:left="840" w:leftChars="200" w:hanging="200" w:hangingChars="200"/>
      <w:jc w:val="center"/>
    </w:pPr>
    <w:rPr>
      <w:rFonts w:ascii="黑体" w:hAnsi="宋体" w:eastAsia="黑体"/>
      <w:color w:val="000000"/>
      <w:kern w:val="2"/>
      <w:szCs w:val="21"/>
    </w:rPr>
  </w:style>
  <w:style w:type="character" w:customStyle="1" w:styleId="499">
    <w:name w:val="MTEquationSection"/>
    <w:qFormat/>
    <w:uiPriority w:val="0"/>
    <w:rPr>
      <w:rFonts w:eastAsia="楷体"/>
      <w:b/>
      <w:vanish/>
      <w:color w:val="FF0000"/>
      <w:sz w:val="28"/>
    </w:rPr>
  </w:style>
  <w:style w:type="paragraph" w:customStyle="1" w:styleId="500">
    <w:name w:val="MTDisplayEquation"/>
    <w:basedOn w:val="1"/>
    <w:next w:val="1"/>
    <w:qFormat/>
    <w:uiPriority w:val="0"/>
    <w:pPr>
      <w:tabs>
        <w:tab w:val="center" w:pos="4160"/>
        <w:tab w:val="right" w:pos="8320"/>
      </w:tabs>
      <w:spacing w:line="500" w:lineRule="exact"/>
      <w:jc w:val="center"/>
    </w:pPr>
    <w:rPr>
      <w:rFonts w:ascii="宋体" w:hAnsi="宋体"/>
      <w:color w:val="FF0000"/>
      <w:kern w:val="2"/>
    </w:rPr>
  </w:style>
  <w:style w:type="paragraph" w:customStyle="1" w:styleId="501">
    <w:name w:val="一级条标题"/>
    <w:basedOn w:val="1"/>
    <w:next w:val="1"/>
    <w:qFormat/>
    <w:uiPriority w:val="0"/>
    <w:pPr>
      <w:widowControl/>
      <w:tabs>
        <w:tab w:val="left" w:pos="360"/>
      </w:tabs>
      <w:spacing w:line="240" w:lineRule="auto"/>
      <w:outlineLvl w:val="2"/>
    </w:pPr>
    <w:rPr>
      <w:rFonts w:ascii="黑体" w:eastAsia="黑体"/>
      <w:sz w:val="21"/>
      <w:szCs w:val="20"/>
    </w:rPr>
  </w:style>
  <w:style w:type="paragraph" w:customStyle="1" w:styleId="502">
    <w:name w:val="样式 样式 左侧:  2 字符 段后: 0.5 行 + 首行缩进:  2 字符 段后: 0.5 行"/>
    <w:basedOn w:val="1"/>
    <w:qFormat/>
    <w:uiPriority w:val="0"/>
    <w:pPr>
      <w:spacing w:after="156" w:line="240" w:lineRule="auto"/>
      <w:ind w:firstLine="560" w:firstLineChars="200"/>
    </w:pPr>
    <w:rPr>
      <w:rFonts w:eastAsia="仿宋_GB2312"/>
      <w:kern w:val="2"/>
      <w:sz w:val="28"/>
      <w:szCs w:val="20"/>
    </w:rPr>
  </w:style>
  <w:style w:type="paragraph" w:customStyle="1" w:styleId="503">
    <w:name w:val="xl31"/>
    <w:basedOn w:val="1"/>
    <w:qFormat/>
    <w:uiPriority w:val="0"/>
    <w:pPr>
      <w:widowControl/>
      <w:pBdr>
        <w:bottom w:val="single" w:color="auto" w:sz="4" w:space="0"/>
        <w:right w:val="single" w:color="auto" w:sz="4" w:space="0"/>
      </w:pBdr>
      <w:spacing w:before="100" w:beforeAutospacing="1" w:after="100" w:afterAutospacing="1" w:line="240" w:lineRule="auto"/>
      <w:jc w:val="center"/>
    </w:pPr>
    <w:rPr>
      <w:rFonts w:eastAsia="Arial Unicode MS"/>
      <w:sz w:val="21"/>
      <w:szCs w:val="20"/>
    </w:rPr>
  </w:style>
  <w:style w:type="paragraph" w:customStyle="1" w:styleId="504">
    <w:name w:val="框图文字1"/>
    <w:basedOn w:val="1"/>
    <w:qFormat/>
    <w:uiPriority w:val="99"/>
    <w:pPr>
      <w:adjustRightInd w:val="0"/>
      <w:snapToGrid w:val="0"/>
      <w:spacing w:before="78" w:line="240" w:lineRule="auto"/>
      <w:jc w:val="center"/>
    </w:pPr>
    <w:rPr>
      <w:kern w:val="2"/>
      <w:sz w:val="18"/>
      <w:szCs w:val="20"/>
    </w:rPr>
  </w:style>
  <w:style w:type="paragraph" w:customStyle="1" w:styleId="505">
    <w:name w:val="章标题"/>
    <w:next w:val="1"/>
    <w:qFormat/>
    <w:uiPriority w:val="99"/>
    <w:pPr>
      <w:tabs>
        <w:tab w:val="left" w:pos="903"/>
      </w:tabs>
      <w:spacing w:before="50" w:after="50"/>
      <w:ind w:left="903" w:hanging="315"/>
      <w:jc w:val="both"/>
      <w:outlineLvl w:val="1"/>
    </w:pPr>
    <w:rPr>
      <w:rFonts w:ascii="黑体" w:hAnsi="Times New Roman" w:eastAsia="黑体" w:cs="Times New Roman"/>
      <w:sz w:val="21"/>
      <w:lang w:val="en-US" w:eastAsia="zh-CN" w:bidi="ar-SA"/>
    </w:rPr>
  </w:style>
  <w:style w:type="character" w:customStyle="1" w:styleId="506">
    <w:name w:val="css-text3"/>
    <w:basedOn w:val="67"/>
    <w:qFormat/>
    <w:uiPriority w:val="0"/>
  </w:style>
  <w:style w:type="character" w:customStyle="1" w:styleId="507">
    <w:name w:val="11p1"/>
    <w:qFormat/>
    <w:uiPriority w:val="0"/>
    <w:rPr>
      <w:sz w:val="23"/>
      <w:szCs w:val="23"/>
    </w:rPr>
  </w:style>
  <w:style w:type="paragraph" w:customStyle="1" w:styleId="508">
    <w:name w:val="3"/>
    <w:basedOn w:val="1"/>
    <w:next w:val="24"/>
    <w:qFormat/>
    <w:uiPriority w:val="99"/>
    <w:pPr>
      <w:spacing w:line="460" w:lineRule="exact"/>
      <w:ind w:firstLine="480" w:firstLineChars="200"/>
    </w:pPr>
    <w:rPr>
      <w:kern w:val="2"/>
    </w:rPr>
  </w:style>
  <w:style w:type="paragraph" w:customStyle="1" w:styleId="509">
    <w:name w:val="2"/>
    <w:basedOn w:val="1"/>
    <w:next w:val="31"/>
    <w:qFormat/>
    <w:uiPriority w:val="99"/>
    <w:pPr>
      <w:spacing w:line="240" w:lineRule="auto"/>
    </w:pPr>
    <w:rPr>
      <w:rFonts w:ascii="宋体" w:hAnsi="Courier New" w:cs="Courier New"/>
      <w:kern w:val="2"/>
      <w:sz w:val="21"/>
      <w:szCs w:val="21"/>
    </w:rPr>
  </w:style>
  <w:style w:type="character" w:customStyle="1" w:styleId="510">
    <w:name w:val="s c c"/>
    <w:basedOn w:val="67"/>
    <w:qFormat/>
    <w:uiPriority w:val="0"/>
  </w:style>
  <w:style w:type="character" w:customStyle="1" w:styleId="511">
    <w:name w:val="css1"/>
    <w:qFormat/>
    <w:uiPriority w:val="0"/>
    <w:rPr>
      <w:sz w:val="20"/>
      <w:szCs w:val="20"/>
      <w:u w:val="none"/>
    </w:rPr>
  </w:style>
  <w:style w:type="paragraph" w:customStyle="1" w:styleId="512">
    <w:name w:val="正文-第几条"/>
    <w:basedOn w:val="1"/>
    <w:qFormat/>
    <w:uiPriority w:val="99"/>
    <w:pPr>
      <w:tabs>
        <w:tab w:val="left" w:pos="1200"/>
      </w:tabs>
      <w:ind w:left="1200" w:leftChars="400" w:hanging="360" w:hangingChars="200"/>
    </w:pPr>
    <w:rPr>
      <w:kern w:val="2"/>
    </w:rPr>
  </w:style>
  <w:style w:type="paragraph" w:customStyle="1" w:styleId="513">
    <w:name w:val="二级条标题"/>
    <w:basedOn w:val="501"/>
    <w:next w:val="1"/>
    <w:qFormat/>
    <w:uiPriority w:val="99"/>
    <w:pPr>
      <w:outlineLvl w:val="3"/>
    </w:pPr>
  </w:style>
  <w:style w:type="paragraph" w:customStyle="1" w:styleId="514">
    <w:name w:val="三级条标题"/>
    <w:basedOn w:val="513"/>
    <w:next w:val="1"/>
    <w:qFormat/>
    <w:uiPriority w:val="99"/>
    <w:pPr>
      <w:outlineLvl w:val="4"/>
    </w:pPr>
  </w:style>
  <w:style w:type="paragraph" w:customStyle="1" w:styleId="515">
    <w:name w:val="四级条标题"/>
    <w:basedOn w:val="514"/>
    <w:next w:val="1"/>
    <w:qFormat/>
    <w:uiPriority w:val="99"/>
    <w:pPr>
      <w:outlineLvl w:val="5"/>
    </w:pPr>
  </w:style>
  <w:style w:type="paragraph" w:customStyle="1" w:styleId="516">
    <w:name w:val="五级条标题"/>
    <w:basedOn w:val="515"/>
    <w:next w:val="1"/>
    <w:qFormat/>
    <w:uiPriority w:val="99"/>
    <w:pPr>
      <w:outlineLvl w:val="6"/>
    </w:pPr>
  </w:style>
  <w:style w:type="paragraph" w:customStyle="1" w:styleId="517">
    <w:name w:val="附录二级条标题"/>
    <w:basedOn w:val="518"/>
    <w:next w:val="1"/>
    <w:qFormat/>
    <w:uiPriority w:val="0"/>
    <w:pPr>
      <w:tabs>
        <w:tab w:val="left" w:pos="360"/>
        <w:tab w:val="left" w:pos="828"/>
        <w:tab w:val="left" w:pos="840"/>
        <w:tab w:val="left" w:pos="1260"/>
        <w:tab w:val="left" w:pos="1680"/>
      </w:tabs>
      <w:ind w:left="360" w:hanging="360"/>
      <w:outlineLvl w:val="3"/>
    </w:pPr>
  </w:style>
  <w:style w:type="paragraph" w:customStyle="1" w:styleId="518">
    <w:name w:val="附录一级条标题"/>
    <w:basedOn w:val="519"/>
    <w:next w:val="1"/>
    <w:qFormat/>
    <w:uiPriority w:val="99"/>
    <w:pPr>
      <w:tabs>
        <w:tab w:val="left" w:pos="828"/>
        <w:tab w:val="left" w:pos="840"/>
        <w:tab w:val="left" w:pos="1260"/>
      </w:tabs>
      <w:autoSpaceDN w:val="0"/>
      <w:spacing w:before="0" w:beforeLines="0" w:after="0" w:afterLines="0"/>
      <w:ind w:left="828" w:hanging="240"/>
      <w:outlineLvl w:val="2"/>
    </w:pPr>
  </w:style>
  <w:style w:type="paragraph" w:customStyle="1" w:styleId="519">
    <w:name w:val="附录章标题"/>
    <w:next w:val="1"/>
    <w:qFormat/>
    <w:uiPriority w:val="99"/>
    <w:pPr>
      <w:tabs>
        <w:tab w:val="left" w:pos="840"/>
      </w:tabs>
      <w:wordWrap w:val="0"/>
      <w:overflowPunct w:val="0"/>
      <w:autoSpaceDE w:val="0"/>
      <w:spacing w:before="50" w:beforeLines="50" w:after="50" w:afterLines="50"/>
      <w:ind w:left="840" w:hanging="420"/>
      <w:jc w:val="both"/>
      <w:textAlignment w:val="baseline"/>
      <w:outlineLvl w:val="1"/>
    </w:pPr>
    <w:rPr>
      <w:rFonts w:ascii="黑体" w:hAnsi="Times New Roman" w:eastAsia="黑体" w:cs="Times New Roman"/>
      <w:kern w:val="21"/>
      <w:sz w:val="21"/>
      <w:lang w:val="en-US" w:eastAsia="zh-CN" w:bidi="ar-SA"/>
    </w:rPr>
  </w:style>
  <w:style w:type="paragraph" w:customStyle="1" w:styleId="520">
    <w:name w:val="附录三级条标题"/>
    <w:basedOn w:val="517"/>
    <w:next w:val="1"/>
    <w:qFormat/>
    <w:uiPriority w:val="99"/>
    <w:pPr>
      <w:tabs>
        <w:tab w:val="left" w:pos="1068"/>
        <w:tab w:val="left" w:pos="2100"/>
        <w:tab w:val="clear" w:pos="360"/>
      </w:tabs>
      <w:ind w:left="1068"/>
      <w:outlineLvl w:val="4"/>
    </w:pPr>
  </w:style>
  <w:style w:type="paragraph" w:customStyle="1" w:styleId="521">
    <w:name w:val="附录四级条标题"/>
    <w:basedOn w:val="520"/>
    <w:next w:val="1"/>
    <w:qFormat/>
    <w:uiPriority w:val="99"/>
    <w:pPr>
      <w:tabs>
        <w:tab w:val="left" w:pos="960"/>
        <w:tab w:val="left" w:pos="2520"/>
        <w:tab w:val="clear" w:pos="1068"/>
      </w:tabs>
      <w:ind w:left="960"/>
      <w:outlineLvl w:val="5"/>
    </w:pPr>
  </w:style>
  <w:style w:type="paragraph" w:customStyle="1" w:styleId="522">
    <w:name w:val="附录五级条标题"/>
    <w:basedOn w:val="521"/>
    <w:next w:val="1"/>
    <w:qFormat/>
    <w:uiPriority w:val="99"/>
    <w:pPr>
      <w:tabs>
        <w:tab w:val="left" w:pos="435"/>
        <w:tab w:val="left" w:pos="2940"/>
        <w:tab w:val="clear" w:pos="960"/>
      </w:tabs>
      <w:ind w:left="435" w:hanging="165"/>
      <w:outlineLvl w:val="6"/>
    </w:pPr>
  </w:style>
  <w:style w:type="paragraph" w:customStyle="1" w:styleId="523">
    <w:name w:val="font5"/>
    <w:basedOn w:val="1"/>
    <w:qFormat/>
    <w:uiPriority w:val="0"/>
    <w:pPr>
      <w:widowControl/>
      <w:spacing w:before="100" w:beforeAutospacing="1" w:after="100" w:afterAutospacing="1" w:line="240" w:lineRule="auto"/>
      <w:jc w:val="left"/>
    </w:pPr>
    <w:rPr>
      <w:rFonts w:hint="eastAsia" w:ascii="宋体" w:hAnsi="宋体"/>
      <w:sz w:val="18"/>
      <w:szCs w:val="18"/>
    </w:rPr>
  </w:style>
  <w:style w:type="paragraph" w:customStyle="1" w:styleId="524">
    <w:name w:val="font6"/>
    <w:basedOn w:val="1"/>
    <w:qFormat/>
    <w:uiPriority w:val="0"/>
    <w:pPr>
      <w:widowControl/>
      <w:spacing w:before="100" w:beforeAutospacing="1" w:after="100" w:afterAutospacing="1" w:line="240" w:lineRule="auto"/>
      <w:jc w:val="left"/>
    </w:pPr>
    <w:rPr>
      <w:rFonts w:hint="eastAsia" w:ascii="宋体" w:hAnsi="宋体"/>
    </w:rPr>
  </w:style>
  <w:style w:type="paragraph" w:customStyle="1" w:styleId="525">
    <w:name w:val="font7"/>
    <w:basedOn w:val="1"/>
    <w:qFormat/>
    <w:uiPriority w:val="0"/>
    <w:pPr>
      <w:widowControl/>
      <w:spacing w:before="100" w:beforeAutospacing="1" w:after="100" w:afterAutospacing="1" w:line="240" w:lineRule="auto"/>
      <w:jc w:val="left"/>
    </w:pPr>
    <w:rPr>
      <w:rFonts w:hint="eastAsia" w:ascii="宋体" w:hAnsi="宋体"/>
      <w:sz w:val="20"/>
      <w:szCs w:val="20"/>
    </w:rPr>
  </w:style>
  <w:style w:type="paragraph" w:customStyle="1" w:styleId="526">
    <w:name w:val="font8"/>
    <w:basedOn w:val="1"/>
    <w:qFormat/>
    <w:uiPriority w:val="0"/>
    <w:pPr>
      <w:widowControl/>
      <w:spacing w:before="100" w:beforeAutospacing="1" w:after="100" w:afterAutospacing="1" w:line="240" w:lineRule="auto"/>
      <w:jc w:val="left"/>
    </w:pPr>
    <w:rPr>
      <w:sz w:val="20"/>
      <w:szCs w:val="20"/>
    </w:rPr>
  </w:style>
  <w:style w:type="paragraph" w:customStyle="1" w:styleId="527">
    <w:name w:val="font9"/>
    <w:basedOn w:val="1"/>
    <w:qFormat/>
    <w:uiPriority w:val="0"/>
    <w:pPr>
      <w:widowControl/>
      <w:spacing w:before="100" w:beforeAutospacing="1" w:after="100" w:afterAutospacing="1" w:line="240" w:lineRule="auto"/>
      <w:jc w:val="left"/>
    </w:pPr>
    <w:rPr>
      <w:sz w:val="20"/>
      <w:szCs w:val="20"/>
    </w:rPr>
  </w:style>
  <w:style w:type="paragraph" w:customStyle="1" w:styleId="528">
    <w:name w:val="font10"/>
    <w:basedOn w:val="1"/>
    <w:qFormat/>
    <w:uiPriority w:val="0"/>
    <w:pPr>
      <w:widowControl/>
      <w:spacing w:before="100" w:beforeAutospacing="1" w:after="100" w:afterAutospacing="1" w:line="240" w:lineRule="auto"/>
      <w:jc w:val="left"/>
    </w:pPr>
    <w:rPr>
      <w:sz w:val="20"/>
      <w:szCs w:val="20"/>
    </w:rPr>
  </w:style>
  <w:style w:type="paragraph" w:customStyle="1" w:styleId="529">
    <w:name w:val="font12"/>
    <w:basedOn w:val="1"/>
    <w:qFormat/>
    <w:uiPriority w:val="99"/>
    <w:pPr>
      <w:widowControl/>
      <w:spacing w:before="100" w:beforeAutospacing="1" w:after="100" w:afterAutospacing="1" w:line="240" w:lineRule="auto"/>
      <w:jc w:val="left"/>
    </w:pPr>
    <w:rPr>
      <w:rFonts w:hint="eastAsia" w:ascii="宋体" w:hAnsi="宋体"/>
      <w:sz w:val="28"/>
      <w:szCs w:val="28"/>
    </w:rPr>
  </w:style>
  <w:style w:type="paragraph" w:customStyle="1" w:styleId="530">
    <w:name w:val="xl2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sz w:val="20"/>
      <w:szCs w:val="20"/>
    </w:rPr>
  </w:style>
  <w:style w:type="paragraph" w:customStyle="1" w:styleId="531">
    <w:name w:val="xl26"/>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sz w:val="20"/>
      <w:szCs w:val="20"/>
    </w:rPr>
  </w:style>
  <w:style w:type="paragraph" w:customStyle="1" w:styleId="532">
    <w:name w:val="xl27"/>
    <w:basedOn w:val="1"/>
    <w:qFormat/>
    <w:uiPriority w:val="0"/>
    <w:pPr>
      <w:widowControl/>
      <w:pBdr>
        <w:left w:val="single" w:color="auto" w:sz="4" w:space="0"/>
        <w:right w:val="single" w:color="auto" w:sz="4" w:space="0"/>
      </w:pBdr>
      <w:spacing w:before="100" w:beforeAutospacing="1" w:after="100" w:afterAutospacing="1" w:line="240" w:lineRule="auto"/>
      <w:jc w:val="left"/>
    </w:pPr>
    <w:rPr>
      <w:rFonts w:ascii="宋体" w:hAnsi="宋体"/>
    </w:rPr>
  </w:style>
  <w:style w:type="paragraph" w:customStyle="1" w:styleId="533">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rPr>
  </w:style>
  <w:style w:type="paragraph" w:customStyle="1" w:styleId="534">
    <w:name w:val="xl29"/>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sz w:val="20"/>
      <w:szCs w:val="20"/>
    </w:rPr>
  </w:style>
  <w:style w:type="paragraph" w:customStyle="1" w:styleId="5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rPr>
  </w:style>
  <w:style w:type="paragraph" w:customStyle="1" w:styleId="536">
    <w:name w:val="xl32"/>
    <w:basedOn w:val="1"/>
    <w:qFormat/>
    <w:uiPriority w:val="0"/>
    <w:pPr>
      <w:widowControl/>
      <w:spacing w:before="100" w:beforeAutospacing="1" w:after="100" w:afterAutospacing="1" w:line="240" w:lineRule="auto"/>
      <w:jc w:val="left"/>
    </w:pPr>
    <w:rPr>
      <w:rFonts w:ascii="宋体" w:hAnsi="宋体"/>
      <w:sz w:val="28"/>
      <w:szCs w:val="28"/>
    </w:rPr>
  </w:style>
  <w:style w:type="paragraph" w:customStyle="1" w:styleId="53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0"/>
      <w:szCs w:val="20"/>
    </w:rPr>
  </w:style>
  <w:style w:type="paragraph" w:customStyle="1" w:styleId="53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sz w:val="20"/>
      <w:szCs w:val="20"/>
    </w:rPr>
  </w:style>
  <w:style w:type="paragraph" w:customStyle="1" w:styleId="539">
    <w:name w:val="xl35"/>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sz w:val="20"/>
      <w:szCs w:val="20"/>
    </w:rPr>
  </w:style>
  <w:style w:type="paragraph" w:customStyle="1" w:styleId="540">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sz w:val="20"/>
      <w:szCs w:val="20"/>
    </w:rPr>
  </w:style>
  <w:style w:type="paragraph" w:customStyle="1" w:styleId="541">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宋体" w:hAnsi="宋体"/>
      <w:sz w:val="20"/>
      <w:szCs w:val="20"/>
    </w:rPr>
  </w:style>
  <w:style w:type="paragraph" w:customStyle="1" w:styleId="542">
    <w:name w:val="xl38"/>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sz w:val="20"/>
      <w:szCs w:val="20"/>
    </w:rPr>
  </w:style>
  <w:style w:type="paragraph" w:customStyle="1" w:styleId="543">
    <w:name w:val="xl39"/>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宋体" w:hAnsi="宋体"/>
      <w:sz w:val="20"/>
      <w:szCs w:val="20"/>
    </w:rPr>
  </w:style>
  <w:style w:type="paragraph" w:customStyle="1" w:styleId="544">
    <w:name w:val="font0"/>
    <w:basedOn w:val="1"/>
    <w:qFormat/>
    <w:uiPriority w:val="0"/>
    <w:pPr>
      <w:widowControl/>
      <w:spacing w:before="100" w:beforeAutospacing="1" w:after="100" w:afterAutospacing="1" w:line="240" w:lineRule="auto"/>
      <w:jc w:val="left"/>
    </w:pPr>
    <w:rPr>
      <w:rFonts w:hint="eastAsia" w:ascii="宋体" w:hAnsi="宋体"/>
    </w:rPr>
  </w:style>
  <w:style w:type="paragraph" w:customStyle="1" w:styleId="545">
    <w:name w:val="6"/>
    <w:basedOn w:val="1"/>
    <w:next w:val="24"/>
    <w:qFormat/>
    <w:uiPriority w:val="99"/>
    <w:pPr>
      <w:spacing w:line="460" w:lineRule="exact"/>
      <w:ind w:firstLine="480" w:firstLineChars="200"/>
    </w:pPr>
    <w:rPr>
      <w:kern w:val="2"/>
    </w:rPr>
  </w:style>
  <w:style w:type="paragraph" w:customStyle="1" w:styleId="546">
    <w:name w:val="5"/>
    <w:basedOn w:val="1"/>
    <w:next w:val="31"/>
    <w:qFormat/>
    <w:uiPriority w:val="99"/>
    <w:pPr>
      <w:spacing w:line="240" w:lineRule="auto"/>
    </w:pPr>
    <w:rPr>
      <w:rFonts w:ascii="宋体" w:hAnsi="Courier New" w:cs="Courier New"/>
      <w:kern w:val="2"/>
      <w:sz w:val="21"/>
      <w:szCs w:val="21"/>
    </w:rPr>
  </w:style>
  <w:style w:type="paragraph" w:customStyle="1" w:styleId="547">
    <w:name w:val="正文文字"/>
    <w:basedOn w:val="1"/>
    <w:qFormat/>
    <w:uiPriority w:val="99"/>
    <w:pPr>
      <w:widowControl/>
      <w:spacing w:line="351" w:lineRule="atLeast"/>
      <w:ind w:firstLine="419"/>
      <w:textAlignment w:val="baseline"/>
    </w:pPr>
    <w:rPr>
      <w:rFonts w:eastAsia="仿宋_GB2312"/>
      <w:color w:val="000000"/>
      <w:sz w:val="31"/>
      <w:szCs w:val="20"/>
      <w:u w:color="000000"/>
    </w:rPr>
  </w:style>
  <w:style w:type="paragraph" w:customStyle="1" w:styleId="548">
    <w:name w:val="表格文字"/>
    <w:basedOn w:val="1"/>
    <w:link w:val="845"/>
    <w:autoRedefine/>
    <w:qFormat/>
    <w:uiPriority w:val="0"/>
    <w:pPr>
      <w:spacing w:line="240" w:lineRule="auto"/>
      <w:jc w:val="center"/>
    </w:pPr>
    <w:rPr>
      <w:kern w:val="2"/>
      <w:sz w:val="21"/>
    </w:rPr>
  </w:style>
  <w:style w:type="paragraph" w:customStyle="1" w:styleId="549">
    <w:name w:val="前言、引言标题"/>
    <w:next w:val="1"/>
    <w:qFormat/>
    <w:uiPriority w:val="99"/>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550">
    <w:name w:val="附录标识"/>
    <w:basedOn w:val="549"/>
    <w:qFormat/>
    <w:uiPriority w:val="99"/>
    <w:pPr>
      <w:tabs>
        <w:tab w:val="left" w:pos="6405"/>
        <w:tab w:val="clear" w:pos="903"/>
      </w:tabs>
      <w:spacing w:after="200"/>
      <w:ind w:left="0" w:firstLine="0"/>
    </w:pPr>
    <w:rPr>
      <w:sz w:val="21"/>
    </w:rPr>
  </w:style>
  <w:style w:type="paragraph" w:customStyle="1" w:styleId="551">
    <w:name w:val="二级无标题条"/>
    <w:basedOn w:val="1"/>
    <w:qFormat/>
    <w:uiPriority w:val="0"/>
    <w:pPr>
      <w:spacing w:line="240" w:lineRule="auto"/>
    </w:pPr>
    <w:rPr>
      <w:kern w:val="2"/>
      <w:sz w:val="21"/>
    </w:rPr>
  </w:style>
  <w:style w:type="paragraph" w:customStyle="1" w:styleId="552">
    <w:name w:val="列项·"/>
    <w:qFormat/>
    <w:uiPriority w:val="99"/>
    <w:pPr>
      <w:tabs>
        <w:tab w:val="left" w:pos="840"/>
      </w:tabs>
      <w:ind w:left="840" w:leftChars="200" w:hanging="420" w:hangingChars="200"/>
      <w:jc w:val="both"/>
    </w:pPr>
    <w:rPr>
      <w:rFonts w:ascii="宋体" w:hAnsi="Times New Roman" w:eastAsia="宋体" w:cs="Times New Roman"/>
      <w:sz w:val="21"/>
      <w:lang w:val="en-US" w:eastAsia="zh-CN" w:bidi="ar-SA"/>
    </w:rPr>
  </w:style>
  <w:style w:type="paragraph" w:customStyle="1" w:styleId="553">
    <w:name w:val="正文-叶"/>
    <w:basedOn w:val="1"/>
    <w:qFormat/>
    <w:uiPriority w:val="99"/>
    <w:pPr>
      <w:topLinePunct/>
      <w:spacing w:line="312" w:lineRule="auto"/>
      <w:ind w:firstLine="465"/>
    </w:pPr>
    <w:rPr>
      <w:kern w:val="2"/>
      <w:szCs w:val="20"/>
    </w:rPr>
  </w:style>
  <w:style w:type="paragraph" w:customStyle="1" w:styleId="554">
    <w:name w:val="Item1"/>
    <w:basedOn w:val="1"/>
    <w:qFormat/>
    <w:uiPriority w:val="99"/>
    <w:pPr>
      <w:spacing w:line="240" w:lineRule="auto"/>
    </w:pPr>
    <w:rPr>
      <w:kern w:val="2"/>
      <w:sz w:val="21"/>
    </w:rPr>
  </w:style>
  <w:style w:type="paragraph" w:customStyle="1" w:styleId="555">
    <w:name w:val="hangju"/>
    <w:basedOn w:val="1"/>
    <w:qFormat/>
    <w:uiPriority w:val="99"/>
    <w:pPr>
      <w:widowControl/>
      <w:spacing w:before="100" w:beforeAutospacing="1" w:after="100" w:afterAutospacing="1" w:line="400" w:lineRule="atLeast"/>
      <w:jc w:val="left"/>
    </w:pPr>
    <w:rPr>
      <w:rFonts w:ascii="宋体" w:hAnsi="宋体"/>
    </w:rPr>
  </w:style>
  <w:style w:type="character" w:customStyle="1" w:styleId="556">
    <w:name w:val="a2"/>
    <w:basedOn w:val="67"/>
    <w:qFormat/>
    <w:uiPriority w:val="0"/>
  </w:style>
  <w:style w:type="character" w:customStyle="1" w:styleId="557">
    <w:name w:val="white"/>
    <w:basedOn w:val="67"/>
    <w:qFormat/>
    <w:uiPriority w:val="0"/>
  </w:style>
  <w:style w:type="paragraph" w:customStyle="1" w:styleId="558">
    <w:name w:val="ourfont3"/>
    <w:basedOn w:val="1"/>
    <w:qFormat/>
    <w:uiPriority w:val="99"/>
    <w:pPr>
      <w:widowControl/>
      <w:spacing w:before="100" w:beforeAutospacing="1" w:after="100" w:afterAutospacing="1" w:line="240" w:lineRule="auto"/>
      <w:jc w:val="left"/>
    </w:pPr>
    <w:rPr>
      <w:rFonts w:ascii="宋体" w:hAnsi="宋体" w:cs="宋体"/>
    </w:rPr>
  </w:style>
  <w:style w:type="paragraph" w:customStyle="1" w:styleId="559">
    <w:name w:val="封面正文"/>
    <w:qFormat/>
    <w:uiPriority w:val="99"/>
    <w:pPr>
      <w:jc w:val="both"/>
    </w:pPr>
    <w:rPr>
      <w:rFonts w:ascii="Times New Roman" w:hAnsi="Times New Roman" w:eastAsia="宋体" w:cs="Times New Roman"/>
      <w:lang w:val="en-US" w:eastAsia="zh-CN" w:bidi="ar-SA"/>
    </w:rPr>
  </w:style>
  <w:style w:type="character" w:customStyle="1" w:styleId="560">
    <w:name w:val="postbody1"/>
    <w:qFormat/>
    <w:uiPriority w:val="0"/>
    <w:rPr>
      <w:sz w:val="21"/>
      <w:szCs w:val="21"/>
    </w:rPr>
  </w:style>
  <w:style w:type="paragraph" w:customStyle="1" w:styleId="561">
    <w:name w:val="indent"/>
    <w:basedOn w:val="1"/>
    <w:qFormat/>
    <w:uiPriority w:val="99"/>
    <w:pPr>
      <w:widowControl/>
      <w:spacing w:before="100" w:beforeAutospacing="1" w:after="100" w:afterAutospacing="1" w:line="240" w:lineRule="auto"/>
      <w:ind w:firstLine="525"/>
      <w:jc w:val="left"/>
    </w:pPr>
    <w:rPr>
      <w:rFonts w:ascii="宋体" w:hAnsi="宋体" w:cs="宋体"/>
    </w:rPr>
  </w:style>
  <w:style w:type="paragraph" w:customStyle="1" w:styleId="562">
    <w:name w:val="文-7"/>
    <w:basedOn w:val="1"/>
    <w:qFormat/>
    <w:uiPriority w:val="99"/>
    <w:pPr>
      <w:tabs>
        <w:tab w:val="right" w:leader="dot" w:pos="8789"/>
      </w:tabs>
      <w:spacing w:before="120" w:line="240" w:lineRule="auto"/>
      <w:ind w:left="1701" w:firstLine="482"/>
    </w:pPr>
    <w:rPr>
      <w:kern w:val="2"/>
    </w:rPr>
  </w:style>
  <w:style w:type="character" w:customStyle="1" w:styleId="563">
    <w:name w:val="p_red_bold1"/>
    <w:qFormat/>
    <w:uiPriority w:val="0"/>
    <w:rPr>
      <w:b/>
      <w:bCs/>
      <w:color w:val="FF3333"/>
    </w:rPr>
  </w:style>
  <w:style w:type="paragraph" w:customStyle="1" w:styleId="564">
    <w:name w:val="1表格头"/>
    <w:basedOn w:val="1"/>
    <w:qFormat/>
    <w:uiPriority w:val="99"/>
    <w:pPr>
      <w:snapToGrid w:val="0"/>
      <w:spacing w:line="160" w:lineRule="atLeast"/>
      <w:jc w:val="center"/>
    </w:pPr>
    <w:rPr>
      <w:rFonts w:eastAsia="仿宋_GB2312"/>
      <w:kern w:val="2"/>
      <w:szCs w:val="20"/>
    </w:rPr>
  </w:style>
  <w:style w:type="paragraph" w:customStyle="1" w:styleId="565">
    <w:name w:val="表"/>
    <w:basedOn w:val="1"/>
    <w:qFormat/>
    <w:uiPriority w:val="0"/>
    <w:pPr>
      <w:spacing w:line="320" w:lineRule="atLeast"/>
      <w:jc w:val="center"/>
    </w:pPr>
    <w:rPr>
      <w:kern w:val="2"/>
      <w:sz w:val="21"/>
      <w:szCs w:val="20"/>
    </w:rPr>
  </w:style>
  <w:style w:type="paragraph" w:customStyle="1" w:styleId="566">
    <w:name w:val="Char Char Char Char Char Char1 Char Char Char1 Char"/>
    <w:basedOn w:val="1"/>
    <w:qFormat/>
    <w:uiPriority w:val="99"/>
    <w:pPr>
      <w:spacing w:line="240" w:lineRule="auto"/>
    </w:pPr>
    <w:rPr>
      <w:kern w:val="2"/>
    </w:rPr>
  </w:style>
  <w:style w:type="paragraph" w:customStyle="1" w:styleId="567">
    <w:name w:val="简单回函地址"/>
    <w:basedOn w:val="1"/>
    <w:qFormat/>
    <w:uiPriority w:val="0"/>
    <w:pPr>
      <w:spacing w:line="240" w:lineRule="auto"/>
    </w:pPr>
    <w:rPr>
      <w:kern w:val="2"/>
      <w:sz w:val="21"/>
      <w:szCs w:val="20"/>
    </w:rPr>
  </w:style>
  <w:style w:type="paragraph" w:customStyle="1" w:styleId="568">
    <w:name w:val="xl22"/>
    <w:basedOn w:val="1"/>
    <w:qFormat/>
    <w:uiPriority w:val="99"/>
    <w:pPr>
      <w:widowControl/>
      <w:pBdr>
        <w:bottom w:val="single" w:color="auto" w:sz="4" w:space="0"/>
        <w:right w:val="single" w:color="auto" w:sz="4" w:space="0"/>
      </w:pBdr>
      <w:spacing w:before="100" w:beforeAutospacing="1" w:after="100" w:afterAutospacing="1" w:line="240" w:lineRule="auto"/>
      <w:jc w:val="center"/>
    </w:pPr>
    <w:rPr>
      <w:rFonts w:ascii="Arial Unicode MS" w:hAnsi="Arial Unicode MS"/>
      <w:sz w:val="21"/>
      <w:szCs w:val="21"/>
    </w:rPr>
  </w:style>
  <w:style w:type="paragraph" w:customStyle="1" w:styleId="569">
    <w:name w:val="Date1"/>
    <w:basedOn w:val="1"/>
    <w:next w:val="1"/>
    <w:qFormat/>
    <w:uiPriority w:val="99"/>
    <w:pPr>
      <w:adjustRightInd w:val="0"/>
      <w:spacing w:line="240" w:lineRule="auto"/>
      <w:textAlignment w:val="baseline"/>
    </w:pPr>
    <w:rPr>
      <w:kern w:val="2"/>
      <w:sz w:val="21"/>
      <w:szCs w:val="20"/>
    </w:rPr>
  </w:style>
  <w:style w:type="paragraph" w:customStyle="1" w:styleId="570">
    <w:name w:val="默认段落字体 Para Char Char Char1 Char"/>
    <w:basedOn w:val="1"/>
    <w:next w:val="1"/>
    <w:autoRedefine/>
    <w:qFormat/>
    <w:uiPriority w:val="99"/>
    <w:pPr>
      <w:spacing w:line="240" w:lineRule="atLeast"/>
      <w:ind w:left="420" w:firstLine="420"/>
      <w:jc w:val="left"/>
    </w:pPr>
    <w:rPr>
      <w:sz w:val="21"/>
      <w:szCs w:val="21"/>
    </w:rPr>
  </w:style>
  <w:style w:type="paragraph" w:customStyle="1" w:styleId="571">
    <w:name w:val="样式 左侧:  1.11 厘米"/>
    <w:basedOn w:val="1"/>
    <w:qFormat/>
    <w:uiPriority w:val="99"/>
    <w:pPr>
      <w:tabs>
        <w:tab w:val="left" w:pos="0"/>
      </w:tabs>
      <w:ind w:left="629" w:firstLine="200" w:firstLineChars="200"/>
    </w:pPr>
    <w:rPr>
      <w:rFonts w:cs="宋体"/>
      <w:kern w:val="2"/>
      <w:szCs w:val="20"/>
    </w:rPr>
  </w:style>
  <w:style w:type="paragraph" w:customStyle="1" w:styleId="572">
    <w:name w:val="正文_表格文字"/>
    <w:basedOn w:val="1"/>
    <w:qFormat/>
    <w:uiPriority w:val="99"/>
    <w:pPr>
      <w:spacing w:line="288" w:lineRule="auto"/>
      <w:jc w:val="center"/>
    </w:pPr>
    <w:rPr>
      <w:rFonts w:ascii="Tahoma" w:hAnsi="Tahoma" w:eastAsia="幼圆"/>
      <w:kern w:val="2"/>
      <w:sz w:val="21"/>
    </w:rPr>
  </w:style>
  <w:style w:type="paragraph" w:customStyle="1" w:styleId="573">
    <w:name w:val="0表格文字 五号 常规"/>
    <w:basedOn w:val="1"/>
    <w:qFormat/>
    <w:uiPriority w:val="99"/>
    <w:pPr>
      <w:autoSpaceDE w:val="0"/>
      <w:autoSpaceDN w:val="0"/>
      <w:adjustRightInd w:val="0"/>
      <w:spacing w:before="60" w:after="60" w:line="240" w:lineRule="auto"/>
      <w:jc w:val="center"/>
    </w:pPr>
    <w:rPr>
      <w:kern w:val="2"/>
      <w:sz w:val="21"/>
      <w:szCs w:val="20"/>
    </w:rPr>
  </w:style>
  <w:style w:type="paragraph" w:customStyle="1" w:styleId="574">
    <w:name w:val="Char Char Char Char3"/>
    <w:basedOn w:val="1"/>
    <w:qFormat/>
    <w:uiPriority w:val="0"/>
    <w:pPr>
      <w:widowControl/>
      <w:spacing w:after="160" w:line="240" w:lineRule="exact"/>
      <w:jc w:val="left"/>
    </w:pPr>
    <w:rPr>
      <w:rFonts w:ascii="Arial" w:hAnsi="Arial" w:eastAsia="Times New Roman" w:cs="Verdana"/>
      <w:b/>
      <w:szCs w:val="20"/>
      <w:lang w:eastAsia="en-US"/>
    </w:rPr>
  </w:style>
  <w:style w:type="paragraph" w:customStyle="1" w:styleId="575">
    <w:name w:val="表格标题"/>
    <w:basedOn w:val="478"/>
    <w:autoRedefine/>
    <w:qFormat/>
    <w:uiPriority w:val="0"/>
    <w:pPr>
      <w:tabs>
        <w:tab w:val="left" w:pos="1418"/>
      </w:tabs>
      <w:spacing w:line="276" w:lineRule="auto"/>
      <w:ind w:firstLine="0"/>
      <w:jc w:val="center"/>
      <w:textAlignment w:val="baseline"/>
    </w:pPr>
    <w:rPr>
      <w:rFonts w:ascii="Times New Roman" w:hAnsi="Times New Roman" w:eastAsia="黑体"/>
      <w:b/>
      <w:bCs/>
    </w:rPr>
  </w:style>
  <w:style w:type="character" w:customStyle="1" w:styleId="576">
    <w:name w:val="TOC 1 字符"/>
    <w:link w:val="39"/>
    <w:qFormat/>
    <w:uiPriority w:val="39"/>
    <w:rPr>
      <w:sz w:val="24"/>
      <w:szCs w:val="24"/>
    </w:rPr>
  </w:style>
  <w:style w:type="character" w:customStyle="1" w:styleId="577">
    <w:name w:val="表中文字 Char"/>
    <w:link w:val="488"/>
    <w:qFormat/>
    <w:uiPriority w:val="0"/>
    <w:rPr>
      <w:rFonts w:ascii="Arial" w:hAnsi="Arial" w:eastAsia="楷体_GB2312"/>
      <w:kern w:val="2"/>
      <w:sz w:val="21"/>
      <w:szCs w:val="21"/>
    </w:rPr>
  </w:style>
  <w:style w:type="paragraph" w:customStyle="1" w:styleId="578">
    <w:name w:val="Char Char1 Char Char"/>
    <w:basedOn w:val="1"/>
    <w:qFormat/>
    <w:uiPriority w:val="99"/>
    <w:pPr>
      <w:spacing w:line="240" w:lineRule="auto"/>
    </w:pPr>
    <w:rPr>
      <w:kern w:val="2"/>
      <w:sz w:val="21"/>
    </w:rPr>
  </w:style>
  <w:style w:type="paragraph" w:customStyle="1" w:styleId="579">
    <w:name w:val="Char Char Char Char Char Char Char Char Char Char Char Char Char Char Char Char"/>
    <w:basedOn w:val="1"/>
    <w:qFormat/>
    <w:uiPriority w:val="0"/>
    <w:pPr>
      <w:spacing w:line="240" w:lineRule="auto"/>
    </w:pPr>
    <w:rPr>
      <w:kern w:val="2"/>
      <w:sz w:val="21"/>
    </w:rPr>
  </w:style>
  <w:style w:type="character" w:customStyle="1" w:styleId="580">
    <w:name w:val="表头 Char"/>
    <w:link w:val="444"/>
    <w:qFormat/>
    <w:uiPriority w:val="0"/>
    <w:rPr>
      <w:rFonts w:eastAsia="黑体"/>
      <w:bCs/>
      <w:color w:val="000000"/>
      <w:sz w:val="21"/>
      <w:szCs w:val="24"/>
    </w:rPr>
  </w:style>
  <w:style w:type="character" w:customStyle="1" w:styleId="581">
    <w:name w:val="题注 字符"/>
    <w:link w:val="15"/>
    <w:qFormat/>
    <w:uiPriority w:val="0"/>
    <w:rPr>
      <w:rFonts w:ascii="Arial" w:hAnsi="Arial" w:eastAsia="黑体" w:cs="Arial"/>
    </w:rPr>
  </w:style>
  <w:style w:type="paragraph" w:customStyle="1" w:styleId="582">
    <w:name w:val="reader-word-layer reader-word-s2-1"/>
    <w:basedOn w:val="1"/>
    <w:qFormat/>
    <w:uiPriority w:val="99"/>
    <w:pPr>
      <w:widowControl/>
      <w:spacing w:before="100" w:beforeAutospacing="1" w:after="100" w:afterAutospacing="1" w:line="240" w:lineRule="auto"/>
      <w:jc w:val="left"/>
    </w:pPr>
    <w:rPr>
      <w:rFonts w:ascii="宋体" w:hAnsi="宋体" w:cs="宋体"/>
    </w:rPr>
  </w:style>
  <w:style w:type="paragraph" w:customStyle="1" w:styleId="583">
    <w:name w:val="reader-word-layer reader-word-s2-3"/>
    <w:basedOn w:val="1"/>
    <w:qFormat/>
    <w:uiPriority w:val="99"/>
    <w:pPr>
      <w:widowControl/>
      <w:spacing w:before="100" w:beforeAutospacing="1" w:after="100" w:afterAutospacing="1" w:line="240" w:lineRule="auto"/>
      <w:jc w:val="left"/>
    </w:pPr>
    <w:rPr>
      <w:rFonts w:ascii="宋体" w:hAnsi="宋体" w:cs="宋体"/>
    </w:rPr>
  </w:style>
  <w:style w:type="paragraph" w:customStyle="1" w:styleId="584">
    <w:name w:val="reader-word-layer reader-word-s2-6"/>
    <w:basedOn w:val="1"/>
    <w:qFormat/>
    <w:uiPriority w:val="99"/>
    <w:pPr>
      <w:widowControl/>
      <w:spacing w:before="100" w:beforeAutospacing="1" w:after="100" w:afterAutospacing="1" w:line="240" w:lineRule="auto"/>
      <w:jc w:val="left"/>
    </w:pPr>
    <w:rPr>
      <w:rFonts w:ascii="宋体" w:hAnsi="宋体" w:cs="宋体"/>
    </w:rPr>
  </w:style>
  <w:style w:type="paragraph" w:customStyle="1" w:styleId="585">
    <w:name w:val="reader-word-layer reader-word-s2-8"/>
    <w:basedOn w:val="1"/>
    <w:qFormat/>
    <w:uiPriority w:val="99"/>
    <w:pPr>
      <w:widowControl/>
      <w:spacing w:before="100" w:beforeAutospacing="1" w:after="100" w:afterAutospacing="1" w:line="240" w:lineRule="auto"/>
      <w:jc w:val="left"/>
    </w:pPr>
    <w:rPr>
      <w:rFonts w:ascii="宋体" w:hAnsi="宋体" w:cs="宋体"/>
    </w:rPr>
  </w:style>
  <w:style w:type="paragraph" w:customStyle="1" w:styleId="586">
    <w:name w:val="reader-word-layer reader-word-s2-11"/>
    <w:basedOn w:val="1"/>
    <w:qFormat/>
    <w:uiPriority w:val="99"/>
    <w:pPr>
      <w:widowControl/>
      <w:spacing w:before="100" w:beforeAutospacing="1" w:after="100" w:afterAutospacing="1" w:line="240" w:lineRule="auto"/>
      <w:jc w:val="left"/>
    </w:pPr>
    <w:rPr>
      <w:rFonts w:ascii="宋体" w:hAnsi="宋体" w:cs="宋体"/>
    </w:rPr>
  </w:style>
  <w:style w:type="paragraph" w:customStyle="1" w:styleId="587">
    <w:name w:val="reader-word-layer reader-word-s2-16"/>
    <w:basedOn w:val="1"/>
    <w:qFormat/>
    <w:uiPriority w:val="99"/>
    <w:pPr>
      <w:widowControl/>
      <w:spacing w:before="100" w:beforeAutospacing="1" w:after="100" w:afterAutospacing="1" w:line="240" w:lineRule="auto"/>
      <w:jc w:val="left"/>
    </w:pPr>
    <w:rPr>
      <w:rFonts w:ascii="宋体" w:hAnsi="宋体" w:cs="宋体"/>
    </w:rPr>
  </w:style>
  <w:style w:type="paragraph" w:customStyle="1" w:styleId="588">
    <w:name w:val="Char Char13"/>
    <w:basedOn w:val="1"/>
    <w:qFormat/>
    <w:uiPriority w:val="0"/>
    <w:pPr>
      <w:spacing w:line="240" w:lineRule="auto"/>
    </w:pPr>
    <w:rPr>
      <w:kern w:val="2"/>
      <w:sz w:val="21"/>
    </w:rPr>
  </w:style>
  <w:style w:type="character" w:customStyle="1" w:styleId="589">
    <w:name w:val="Char Char9"/>
    <w:qFormat/>
    <w:uiPriority w:val="0"/>
    <w:rPr>
      <w:rFonts w:ascii="Times New Roman" w:hAnsi="Times New Roman"/>
      <w:kern w:val="2"/>
      <w:sz w:val="18"/>
      <w:szCs w:val="18"/>
    </w:rPr>
  </w:style>
  <w:style w:type="paragraph" w:customStyle="1" w:styleId="590">
    <w:name w:val="样式（ 表格 ）"/>
    <w:basedOn w:val="1"/>
    <w:qFormat/>
    <w:uiPriority w:val="99"/>
    <w:pPr>
      <w:adjustRightInd w:val="0"/>
      <w:snapToGrid w:val="0"/>
      <w:spacing w:before="100" w:beforeAutospacing="1" w:after="100" w:afterAutospacing="1" w:line="240" w:lineRule="auto"/>
      <w:jc w:val="center"/>
    </w:pPr>
    <w:rPr>
      <w:rFonts w:ascii="Arial" w:hAnsi="Arial" w:cs="宋体"/>
      <w:snapToGrid w:val="0"/>
      <w:color w:val="0000FF"/>
      <w:sz w:val="21"/>
      <w:szCs w:val="20"/>
    </w:rPr>
  </w:style>
  <w:style w:type="character" w:customStyle="1" w:styleId="591">
    <w:name w:val="标题12"/>
    <w:qFormat/>
    <w:uiPriority w:val="0"/>
  </w:style>
  <w:style w:type="character" w:customStyle="1" w:styleId="592">
    <w:name w:val="style51"/>
    <w:qFormat/>
    <w:uiPriority w:val="0"/>
    <w:rPr>
      <w:b/>
      <w:bCs/>
      <w:sz w:val="27"/>
      <w:szCs w:val="27"/>
    </w:rPr>
  </w:style>
  <w:style w:type="character" w:customStyle="1" w:styleId="593">
    <w:name w:val="表内文字 Char2"/>
    <w:qFormat/>
    <w:uiPriority w:val="0"/>
    <w:rPr>
      <w:rFonts w:ascii="宋体" w:hAnsi="Courier New" w:cs="Courier New"/>
      <w:kern w:val="2"/>
      <w:sz w:val="21"/>
      <w:szCs w:val="21"/>
    </w:rPr>
  </w:style>
  <w:style w:type="character" w:customStyle="1" w:styleId="594">
    <w:name w:val="headline-content"/>
    <w:qFormat/>
    <w:uiPriority w:val="0"/>
  </w:style>
  <w:style w:type="character" w:customStyle="1" w:styleId="595">
    <w:name w:val="normal1"/>
    <w:qFormat/>
    <w:uiPriority w:val="0"/>
  </w:style>
  <w:style w:type="character" w:customStyle="1" w:styleId="596">
    <w:name w:val="text11"/>
    <w:qFormat/>
    <w:uiPriority w:val="0"/>
    <w:rPr>
      <w:sz w:val="18"/>
      <w:u w:val="none"/>
    </w:rPr>
  </w:style>
  <w:style w:type="character" w:customStyle="1" w:styleId="597">
    <w:name w:val="3zw1"/>
    <w:qFormat/>
    <w:uiPriority w:val="0"/>
    <w:rPr>
      <w:color w:val="000000"/>
      <w:sz w:val="21"/>
    </w:rPr>
  </w:style>
  <w:style w:type="character" w:customStyle="1" w:styleId="598">
    <w:name w:val="a004"/>
    <w:qFormat/>
    <w:uiPriority w:val="0"/>
  </w:style>
  <w:style w:type="paragraph" w:customStyle="1" w:styleId="599">
    <w:name w:val="Char Char Char Char Char Char Char Char Char Char Char Char Char3"/>
    <w:basedOn w:val="1"/>
    <w:qFormat/>
    <w:uiPriority w:val="0"/>
    <w:pPr>
      <w:spacing w:line="240" w:lineRule="auto"/>
    </w:pPr>
    <w:rPr>
      <w:kern w:val="2"/>
      <w:sz w:val="21"/>
    </w:rPr>
  </w:style>
  <w:style w:type="paragraph" w:customStyle="1" w:styleId="600">
    <w:name w:val="reader-word-layer reader-word-s1-18"/>
    <w:basedOn w:val="1"/>
    <w:qFormat/>
    <w:uiPriority w:val="99"/>
    <w:pPr>
      <w:widowControl/>
      <w:spacing w:before="100" w:beforeAutospacing="1" w:after="100" w:afterAutospacing="1" w:line="240" w:lineRule="auto"/>
      <w:jc w:val="left"/>
    </w:pPr>
    <w:rPr>
      <w:rFonts w:ascii="宋体" w:hAnsi="宋体" w:cs="宋体"/>
    </w:rPr>
  </w:style>
  <w:style w:type="paragraph" w:customStyle="1" w:styleId="601">
    <w:name w:val="reader-word-layer reader-word-s1-19"/>
    <w:basedOn w:val="1"/>
    <w:qFormat/>
    <w:uiPriority w:val="99"/>
    <w:pPr>
      <w:widowControl/>
      <w:spacing w:before="100" w:beforeAutospacing="1" w:after="100" w:afterAutospacing="1" w:line="240" w:lineRule="auto"/>
      <w:jc w:val="left"/>
    </w:pPr>
    <w:rPr>
      <w:rFonts w:ascii="宋体" w:hAnsi="宋体" w:cs="宋体"/>
    </w:rPr>
  </w:style>
  <w:style w:type="paragraph" w:customStyle="1" w:styleId="602">
    <w:name w:val="Char Char Char Char Char Char Char Char Char Char Char Char Char Char Char Char Char Char Char Char Char Char"/>
    <w:basedOn w:val="1"/>
    <w:qFormat/>
    <w:uiPriority w:val="99"/>
    <w:pPr>
      <w:ind w:firstLine="200" w:firstLineChars="200"/>
    </w:pPr>
    <w:rPr>
      <w:kern w:val="2"/>
      <w:sz w:val="21"/>
    </w:rPr>
  </w:style>
  <w:style w:type="paragraph" w:customStyle="1" w:styleId="603">
    <w:name w:val="reader-word-layer reader-word-s1-20"/>
    <w:basedOn w:val="1"/>
    <w:qFormat/>
    <w:uiPriority w:val="99"/>
    <w:pPr>
      <w:widowControl/>
      <w:spacing w:before="100" w:beforeAutospacing="1" w:after="100" w:afterAutospacing="1" w:line="240" w:lineRule="auto"/>
      <w:jc w:val="left"/>
    </w:pPr>
    <w:rPr>
      <w:rFonts w:ascii="宋体" w:hAnsi="宋体" w:cs="宋体"/>
    </w:rPr>
  </w:style>
  <w:style w:type="paragraph" w:customStyle="1" w:styleId="604">
    <w:name w:val="Char Char Char1 Char"/>
    <w:basedOn w:val="1"/>
    <w:qFormat/>
    <w:uiPriority w:val="99"/>
    <w:pPr>
      <w:ind w:firstLine="200" w:firstLineChars="200"/>
    </w:pPr>
    <w:rPr>
      <w:kern w:val="2"/>
      <w:sz w:val="21"/>
    </w:rPr>
  </w:style>
  <w:style w:type="paragraph" w:customStyle="1" w:styleId="605">
    <w:name w:val="TOC 标题4"/>
    <w:basedOn w:val="2"/>
    <w:next w:val="1"/>
    <w:qFormat/>
    <w:uiPriority w:val="39"/>
    <w:pPr>
      <w:widowControl/>
      <w:spacing w:after="0" w:line="276" w:lineRule="auto"/>
      <w:jc w:val="left"/>
      <w:outlineLvl w:val="9"/>
    </w:pPr>
    <w:rPr>
      <w:rFonts w:ascii="Cambria" w:hAnsi="Cambria" w:eastAsia="宋体" w:cs="Times New Roman"/>
      <w:b/>
      <w:bCs/>
      <w:color w:val="365F91"/>
      <w:sz w:val="28"/>
      <w:szCs w:val="28"/>
      <w:lang w:val="zh-CN"/>
    </w:rPr>
  </w:style>
  <w:style w:type="paragraph" w:customStyle="1" w:styleId="606">
    <w:name w:val="Char Char Char Char Char Char1"/>
    <w:basedOn w:val="1"/>
    <w:qFormat/>
    <w:uiPriority w:val="99"/>
    <w:pPr>
      <w:spacing w:line="240" w:lineRule="auto"/>
    </w:pPr>
    <w:rPr>
      <w:kern w:val="2"/>
      <w:sz w:val="21"/>
    </w:rPr>
  </w:style>
  <w:style w:type="paragraph" w:customStyle="1" w:styleId="607">
    <w:name w:val="reader-word-layer reader-word-s3-6"/>
    <w:basedOn w:val="1"/>
    <w:qFormat/>
    <w:uiPriority w:val="99"/>
    <w:pPr>
      <w:widowControl/>
      <w:spacing w:before="100" w:beforeAutospacing="1" w:after="100" w:afterAutospacing="1" w:line="240" w:lineRule="auto"/>
      <w:jc w:val="left"/>
    </w:pPr>
    <w:rPr>
      <w:rFonts w:ascii="宋体" w:hAnsi="宋体" w:cs="宋体"/>
    </w:rPr>
  </w:style>
  <w:style w:type="paragraph" w:customStyle="1" w:styleId="608">
    <w:name w:val="Char Char Char Char Char Char Char Char Char Char Char Char Char Char Char Char2"/>
    <w:basedOn w:val="1"/>
    <w:qFormat/>
    <w:uiPriority w:val="0"/>
    <w:pPr>
      <w:ind w:firstLine="200" w:firstLineChars="200"/>
    </w:pPr>
    <w:rPr>
      <w:rFonts w:ascii="宋体" w:hAnsi="宋体" w:cs="宋体"/>
      <w:kern w:val="2"/>
    </w:rPr>
  </w:style>
  <w:style w:type="paragraph" w:customStyle="1" w:styleId="609">
    <w:name w:val="reader-word-layer reader-word-s3-4"/>
    <w:basedOn w:val="1"/>
    <w:qFormat/>
    <w:uiPriority w:val="99"/>
    <w:pPr>
      <w:widowControl/>
      <w:spacing w:before="100" w:beforeAutospacing="1" w:after="100" w:afterAutospacing="1" w:line="240" w:lineRule="auto"/>
      <w:jc w:val="left"/>
    </w:pPr>
    <w:rPr>
      <w:rFonts w:ascii="宋体" w:hAnsi="宋体" w:cs="宋体"/>
    </w:rPr>
  </w:style>
  <w:style w:type="paragraph" w:customStyle="1" w:styleId="610">
    <w:name w:val="reader-word-layer reader-word-s1-22"/>
    <w:basedOn w:val="1"/>
    <w:qFormat/>
    <w:uiPriority w:val="99"/>
    <w:pPr>
      <w:widowControl/>
      <w:spacing w:before="100" w:beforeAutospacing="1" w:after="100" w:afterAutospacing="1" w:line="240" w:lineRule="auto"/>
      <w:jc w:val="left"/>
    </w:pPr>
    <w:rPr>
      <w:rFonts w:ascii="宋体" w:hAnsi="宋体" w:cs="宋体"/>
    </w:rPr>
  </w:style>
  <w:style w:type="paragraph" w:customStyle="1" w:styleId="611">
    <w:name w:val="reader-word-layer reader-word-s1-12"/>
    <w:basedOn w:val="1"/>
    <w:qFormat/>
    <w:uiPriority w:val="99"/>
    <w:pPr>
      <w:widowControl/>
      <w:spacing w:before="100" w:beforeAutospacing="1" w:after="100" w:afterAutospacing="1" w:line="240" w:lineRule="auto"/>
      <w:jc w:val="left"/>
    </w:pPr>
    <w:rPr>
      <w:rFonts w:ascii="宋体" w:hAnsi="宋体" w:cs="宋体"/>
    </w:rPr>
  </w:style>
  <w:style w:type="paragraph" w:customStyle="1" w:styleId="612">
    <w:name w:val="reader-word-layer reader-word-s1-8"/>
    <w:basedOn w:val="1"/>
    <w:qFormat/>
    <w:uiPriority w:val="99"/>
    <w:pPr>
      <w:widowControl/>
      <w:spacing w:before="100" w:beforeAutospacing="1" w:after="100" w:afterAutospacing="1" w:line="240" w:lineRule="auto"/>
      <w:jc w:val="left"/>
    </w:pPr>
    <w:rPr>
      <w:rFonts w:ascii="宋体" w:hAnsi="宋体" w:cs="宋体"/>
    </w:rPr>
  </w:style>
  <w:style w:type="paragraph" w:customStyle="1" w:styleId="613">
    <w:name w:val="reader-word-layer reader-word-s1-10"/>
    <w:basedOn w:val="1"/>
    <w:qFormat/>
    <w:uiPriority w:val="99"/>
    <w:pPr>
      <w:widowControl/>
      <w:spacing w:before="100" w:beforeAutospacing="1" w:after="100" w:afterAutospacing="1" w:line="240" w:lineRule="auto"/>
      <w:jc w:val="left"/>
    </w:pPr>
    <w:rPr>
      <w:rFonts w:ascii="宋体" w:hAnsi="宋体" w:cs="宋体"/>
    </w:rPr>
  </w:style>
  <w:style w:type="paragraph" w:customStyle="1" w:styleId="614">
    <w:name w:val="reader-word-layer reader-word-s3-5"/>
    <w:basedOn w:val="1"/>
    <w:qFormat/>
    <w:uiPriority w:val="99"/>
    <w:pPr>
      <w:widowControl/>
      <w:spacing w:before="100" w:beforeAutospacing="1" w:after="100" w:afterAutospacing="1" w:line="240" w:lineRule="auto"/>
      <w:jc w:val="left"/>
    </w:pPr>
    <w:rPr>
      <w:rFonts w:ascii="宋体" w:hAnsi="宋体" w:cs="宋体"/>
    </w:rPr>
  </w:style>
  <w:style w:type="paragraph" w:customStyle="1" w:styleId="615">
    <w:name w:val="Normal_0"/>
    <w:qFormat/>
    <w:uiPriority w:val="0"/>
    <w:pPr>
      <w:spacing w:before="120" w:after="240"/>
      <w:jc w:val="both"/>
    </w:pPr>
    <w:rPr>
      <w:rFonts w:ascii="Calibri" w:hAnsi="Calibri" w:eastAsia="Calibri" w:cs="Times New Roman"/>
      <w:sz w:val="22"/>
      <w:szCs w:val="22"/>
      <w:lang w:val="ru-RU" w:eastAsia="en-US" w:bidi="ar-SA"/>
    </w:rPr>
  </w:style>
  <w:style w:type="paragraph" w:customStyle="1" w:styleId="616">
    <w:name w:val="reader-word-layer reader-word-s1-21"/>
    <w:basedOn w:val="1"/>
    <w:qFormat/>
    <w:uiPriority w:val="99"/>
    <w:pPr>
      <w:widowControl/>
      <w:spacing w:before="100" w:beforeAutospacing="1" w:after="100" w:afterAutospacing="1" w:line="240" w:lineRule="auto"/>
      <w:jc w:val="left"/>
    </w:pPr>
    <w:rPr>
      <w:rFonts w:ascii="宋体" w:hAnsi="宋体" w:cs="宋体"/>
    </w:rPr>
  </w:style>
  <w:style w:type="paragraph" w:customStyle="1" w:styleId="617">
    <w:name w:val="0"/>
    <w:basedOn w:val="1"/>
    <w:qFormat/>
    <w:uiPriority w:val="99"/>
    <w:pPr>
      <w:widowControl/>
      <w:snapToGrid w:val="0"/>
      <w:spacing w:line="240" w:lineRule="auto"/>
    </w:pPr>
    <w:rPr>
      <w:sz w:val="21"/>
      <w:szCs w:val="21"/>
    </w:rPr>
  </w:style>
  <w:style w:type="table" w:customStyle="1" w:styleId="618">
    <w:name w:val="典雅型2"/>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619">
    <w:name w:val="典雅型1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620">
    <w:name w:val="网格型11"/>
    <w:basedOn w:val="5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1">
    <w:name w:val="网格型11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2">
    <w:name w:val="表格主题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3">
    <w:name w:val="典雅型3"/>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paragraph" w:customStyle="1" w:styleId="624">
    <w:name w:val="修订2"/>
    <w:hidden/>
    <w:unhideWhenUsed/>
    <w:qFormat/>
    <w:uiPriority w:val="99"/>
    <w:rPr>
      <w:rFonts w:ascii="Times New Roman" w:hAnsi="Times New Roman" w:eastAsia="宋体" w:cs="Times New Roman"/>
      <w:kern w:val="2"/>
      <w:sz w:val="24"/>
      <w:szCs w:val="24"/>
      <w:lang w:val="en-US" w:eastAsia="zh-CN" w:bidi="ar-SA"/>
    </w:rPr>
  </w:style>
  <w:style w:type="table" w:customStyle="1" w:styleId="625">
    <w:name w:val="样式11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eastAsia="宋体"/>
        <w:b/>
        <w:sz w:val="21"/>
      </w:rPr>
      <w:tcPr>
        <w:tcBorders>
          <w:top w:val="single" w:color="auto" w:sz="8" w:space="0"/>
          <w:left w:val="nil"/>
          <w:bottom w:val="single" w:color="auto" w:sz="8" w:space="0"/>
          <w:right w:val="nil"/>
        </w:tcBorders>
      </w:tcPr>
    </w:tblStylePr>
    <w:tblStylePr w:type="lastRow">
      <w:rPr>
        <w:rFonts w:eastAsia="宋体"/>
      </w:rPr>
      <w:tcPr>
        <w:tcBorders>
          <w:bottom w:val="single" w:color="auto" w:sz="8" w:space="0"/>
        </w:tcBorders>
      </w:tcPr>
    </w:tblStylePr>
  </w:style>
  <w:style w:type="table" w:customStyle="1" w:styleId="626">
    <w:name w:val="浅色底纹 - 强调文字颜色 11"/>
    <w:basedOn w:val="57"/>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627">
    <w:name w:val="样式1111"/>
    <w:basedOn w:val="57"/>
    <w:qFormat/>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628">
    <w:name w:val="网格型12"/>
    <w:basedOn w:val="5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29">
    <w:name w:val="标题 Char1"/>
    <w:qFormat/>
    <w:uiPriority w:val="10"/>
    <w:rPr>
      <w:rFonts w:ascii="Cambria" w:hAnsi="Cambria" w:eastAsia="宋体" w:cs="Times New Roman"/>
      <w:b/>
      <w:bCs/>
      <w:sz w:val="32"/>
      <w:szCs w:val="32"/>
    </w:rPr>
  </w:style>
  <w:style w:type="character" w:customStyle="1" w:styleId="630">
    <w:name w:val="正文文本缩进 Char1"/>
    <w:semiHidden/>
    <w:qFormat/>
    <w:uiPriority w:val="0"/>
  </w:style>
  <w:style w:type="character" w:customStyle="1" w:styleId="631">
    <w:name w:val="正文文本 Char2"/>
    <w:semiHidden/>
    <w:qFormat/>
    <w:uiPriority w:val="99"/>
  </w:style>
  <w:style w:type="character" w:customStyle="1" w:styleId="632">
    <w:name w:val="批注文字 Char1"/>
    <w:qFormat/>
    <w:uiPriority w:val="99"/>
  </w:style>
  <w:style w:type="character" w:customStyle="1" w:styleId="633">
    <w:name w:val="日期 Char1"/>
    <w:semiHidden/>
    <w:qFormat/>
    <w:uiPriority w:val="99"/>
  </w:style>
  <w:style w:type="character" w:customStyle="1" w:styleId="634">
    <w:name w:val="文档结构图 Char1"/>
    <w:semiHidden/>
    <w:qFormat/>
    <w:uiPriority w:val="99"/>
    <w:rPr>
      <w:rFonts w:ascii="宋体" w:eastAsia="宋体"/>
      <w:sz w:val="18"/>
      <w:szCs w:val="18"/>
    </w:rPr>
  </w:style>
  <w:style w:type="character" w:customStyle="1" w:styleId="635">
    <w:name w:val="批注主题 Char1"/>
    <w:semiHidden/>
    <w:qFormat/>
    <w:uiPriority w:val="99"/>
    <w:rPr>
      <w:b/>
      <w:bCs/>
    </w:rPr>
  </w:style>
  <w:style w:type="character" w:customStyle="1" w:styleId="636">
    <w:name w:val="页眉 Char1"/>
    <w:semiHidden/>
    <w:qFormat/>
    <w:uiPriority w:val="99"/>
    <w:rPr>
      <w:sz w:val="18"/>
      <w:szCs w:val="18"/>
    </w:rPr>
  </w:style>
  <w:style w:type="character" w:customStyle="1" w:styleId="637">
    <w:name w:val="批注框文本 Char1"/>
    <w:semiHidden/>
    <w:qFormat/>
    <w:uiPriority w:val="99"/>
    <w:rPr>
      <w:sz w:val="18"/>
      <w:szCs w:val="18"/>
    </w:rPr>
  </w:style>
  <w:style w:type="character" w:customStyle="1" w:styleId="638">
    <w:name w:val="页脚 Char1"/>
    <w:semiHidden/>
    <w:qFormat/>
    <w:uiPriority w:val="99"/>
    <w:rPr>
      <w:sz w:val="18"/>
      <w:szCs w:val="18"/>
    </w:rPr>
  </w:style>
  <w:style w:type="table" w:customStyle="1" w:styleId="639">
    <w:name w:val="网格型7"/>
    <w:basedOn w:val="5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0">
    <w:name w:val="网格型13"/>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1">
    <w:name w:val="样式112"/>
    <w:basedOn w:val="57"/>
    <w:qFormat/>
    <w:uiPriority w:val="99"/>
    <w:pPr>
      <w:jc w:val="center"/>
    </w:pPr>
    <w:rPr>
      <w:sz w:val="21"/>
    </w:rPr>
    <w:tblPr>
      <w:tblBorders>
        <w:top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nil"/>
          <w:right w:val="nil"/>
          <w:insideH w:val="nil"/>
          <w:insideV w:val="nil"/>
          <w:tl2br w:val="nil"/>
          <w:tr2bl w:val="nil"/>
        </w:tcBorders>
      </w:tcPr>
    </w:tblStylePr>
    <w:tblStylePr w:type="lastRow">
      <w:tcPr>
        <w:tcBorders>
          <w:top w:val="nil"/>
          <w:left w:val="nil"/>
          <w:bottom w:val="single" w:color="auto" w:sz="8" w:space="0"/>
          <w:right w:val="nil"/>
          <w:insideH w:val="nil"/>
          <w:insideV w:val="nil"/>
          <w:tl2br w:val="nil"/>
          <w:tr2bl w:val="nil"/>
        </w:tcBorders>
      </w:tcPr>
    </w:tblStylePr>
    <w:tblStylePr w:type="firstCol">
      <w:tcPr>
        <w:tcBorders>
          <w:top w:val="single" w:color="auto" w:sz="8" w:space="0"/>
          <w:left w:val="nil"/>
          <w:bottom w:val="nil"/>
          <w:right w:val="nil"/>
          <w:insideH w:val="nil"/>
          <w:insideV w:val="nil"/>
          <w:tl2br w:val="nil"/>
          <w:tr2bl w:val="nil"/>
        </w:tcBorders>
      </w:tcPr>
    </w:tblStylePr>
  </w:style>
  <w:style w:type="table" w:customStyle="1" w:styleId="642">
    <w:name w:val="表格主题2"/>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3">
    <w:name w:val="典雅型4"/>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644">
    <w:name w:val="网格型21"/>
    <w:basedOn w:val="5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5">
    <w:name w:val="表框11"/>
    <w:basedOn w:val="5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6">
    <w:name w:val="网格型31"/>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7">
    <w:name w:val="典雅型12"/>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648">
    <w:name w:val="样式1111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eastAsia="宋体"/>
        <w:b/>
        <w:sz w:val="21"/>
      </w:rPr>
      <w:tcPr>
        <w:tcBorders>
          <w:top w:val="single" w:color="auto" w:sz="8" w:space="0"/>
          <w:left w:val="nil"/>
          <w:bottom w:val="single" w:color="auto" w:sz="8" w:space="0"/>
          <w:right w:val="nil"/>
        </w:tcBorders>
      </w:tcPr>
    </w:tblStylePr>
    <w:tblStylePr w:type="lastRow">
      <w:rPr>
        <w:rFonts w:eastAsia="宋体"/>
      </w:rPr>
      <w:tcPr>
        <w:tcBorders>
          <w:bottom w:val="single" w:color="auto" w:sz="8" w:space="0"/>
        </w:tcBorders>
      </w:tcPr>
    </w:tblStylePr>
  </w:style>
  <w:style w:type="table" w:customStyle="1" w:styleId="649">
    <w:name w:val="浅色底纹1"/>
    <w:basedOn w:val="57"/>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650">
    <w:name w:val="浅色底纹 - 强调文字颜色 113"/>
    <w:basedOn w:val="57"/>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paragraph" w:customStyle="1" w:styleId="65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5">
    <w:name w:val="xl67"/>
    <w:basedOn w:val="1"/>
    <w:qFormat/>
    <w:uiPriority w:val="99"/>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6">
    <w:name w:val="xl68"/>
    <w:basedOn w:val="1"/>
    <w:qFormat/>
    <w:uiPriority w:val="99"/>
    <w:pPr>
      <w:widowControl/>
      <w:pBdr>
        <w:left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7">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8">
    <w:name w:val="xl70"/>
    <w:basedOn w:val="1"/>
    <w:qFormat/>
    <w:uiPriority w:val="99"/>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59">
    <w:name w:val="xl71"/>
    <w:basedOn w:val="1"/>
    <w:qFormat/>
    <w:uiPriority w:val="99"/>
    <w:pPr>
      <w:widowControl/>
      <w:pBdr>
        <w:left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60">
    <w:name w:val="xl72"/>
    <w:basedOn w:val="1"/>
    <w:qFormat/>
    <w:uiPriority w:val="99"/>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rPr>
  </w:style>
  <w:style w:type="paragraph" w:customStyle="1" w:styleId="661">
    <w:name w:val="xl73"/>
    <w:basedOn w:val="1"/>
    <w:qFormat/>
    <w:uiPriority w:val="99"/>
    <w:pPr>
      <w:widowControl/>
      <w:pBdr>
        <w:top w:val="single" w:color="000000" w:sz="8" w:space="0"/>
        <w:left w:val="single" w:color="000000" w:sz="8" w:space="0"/>
        <w:right w:val="single" w:color="000000" w:sz="8" w:space="0"/>
      </w:pBdr>
      <w:spacing w:before="100" w:beforeAutospacing="1" w:after="100" w:afterAutospacing="1" w:line="240" w:lineRule="auto"/>
      <w:jc w:val="center"/>
    </w:pPr>
    <w:rPr>
      <w:rFonts w:ascii="宋体" w:hAnsi="宋体" w:cs="宋体"/>
      <w:b/>
      <w:bCs/>
      <w:sz w:val="21"/>
      <w:szCs w:val="21"/>
    </w:rPr>
  </w:style>
  <w:style w:type="paragraph" w:customStyle="1" w:styleId="662">
    <w:name w:val="xl74"/>
    <w:basedOn w:val="1"/>
    <w:qFormat/>
    <w:uiPriority w:val="99"/>
    <w:pPr>
      <w:widowControl/>
      <w:pBdr>
        <w:top w:val="single" w:color="000000" w:sz="8" w:space="0"/>
        <w:left w:val="single" w:color="000000" w:sz="8" w:space="0"/>
        <w:right w:val="single" w:color="auto" w:sz="8" w:space="0"/>
      </w:pBdr>
      <w:spacing w:before="100" w:beforeAutospacing="1" w:after="100" w:afterAutospacing="1" w:line="240" w:lineRule="auto"/>
      <w:jc w:val="center"/>
    </w:pPr>
    <w:rPr>
      <w:rFonts w:ascii="宋体" w:hAnsi="宋体" w:cs="宋体"/>
      <w:b/>
      <w:bCs/>
      <w:sz w:val="21"/>
      <w:szCs w:val="21"/>
    </w:rPr>
  </w:style>
  <w:style w:type="character" w:customStyle="1" w:styleId="663">
    <w:name w:val="num1"/>
    <w:basedOn w:val="67"/>
    <w:qFormat/>
    <w:uiPriority w:val="0"/>
  </w:style>
  <w:style w:type="character" w:customStyle="1" w:styleId="664">
    <w:name w:val="content1"/>
    <w:qFormat/>
    <w:uiPriority w:val="0"/>
    <w:rPr>
      <w:rFonts w:hint="default" w:ascii="Arial" w:hAnsi="Arial" w:cs="Arial"/>
      <w:color w:val="000000"/>
      <w:sz w:val="18"/>
      <w:szCs w:val="18"/>
    </w:rPr>
  </w:style>
  <w:style w:type="character" w:customStyle="1" w:styleId="665">
    <w:name w:val="正文1 Char"/>
    <w:link w:val="666"/>
    <w:qFormat/>
    <w:uiPriority w:val="0"/>
    <w:rPr>
      <w:sz w:val="24"/>
      <w:szCs w:val="24"/>
    </w:rPr>
  </w:style>
  <w:style w:type="paragraph" w:customStyle="1" w:styleId="666">
    <w:name w:val="正文1"/>
    <w:basedOn w:val="1"/>
    <w:link w:val="665"/>
    <w:qFormat/>
    <w:uiPriority w:val="0"/>
    <w:pPr>
      <w:spacing w:beforeLines="50" w:afterLines="50"/>
      <w:ind w:firstLine="480" w:firstLineChars="200"/>
    </w:pPr>
  </w:style>
  <w:style w:type="character" w:customStyle="1" w:styleId="667">
    <w:name w:val="txt"/>
    <w:qFormat/>
    <w:uiPriority w:val="0"/>
    <w:rPr>
      <w:color w:val="C0C0C0"/>
    </w:rPr>
  </w:style>
  <w:style w:type="character" w:customStyle="1" w:styleId="668">
    <w:name w:val="issue"/>
    <w:basedOn w:val="67"/>
    <w:qFormat/>
    <w:uiPriority w:val="0"/>
  </w:style>
  <w:style w:type="character" w:customStyle="1" w:styleId="669">
    <w:name w:val="issue1"/>
    <w:basedOn w:val="67"/>
    <w:qFormat/>
    <w:uiPriority w:val="0"/>
  </w:style>
  <w:style w:type="character" w:customStyle="1" w:styleId="670">
    <w:name w:val="bds_nopic1"/>
    <w:basedOn w:val="67"/>
    <w:qFormat/>
    <w:uiPriority w:val="0"/>
  </w:style>
  <w:style w:type="character" w:customStyle="1" w:styleId="671">
    <w:name w:val="表中内容 Char"/>
    <w:link w:val="672"/>
    <w:qFormat/>
    <w:uiPriority w:val="0"/>
    <w:rPr>
      <w:szCs w:val="21"/>
    </w:rPr>
  </w:style>
  <w:style w:type="paragraph" w:customStyle="1" w:styleId="672">
    <w:name w:val="表中内容"/>
    <w:basedOn w:val="1"/>
    <w:link w:val="671"/>
    <w:qFormat/>
    <w:uiPriority w:val="0"/>
    <w:pPr>
      <w:jc w:val="left"/>
    </w:pPr>
    <w:rPr>
      <w:sz w:val="20"/>
      <w:szCs w:val="21"/>
    </w:rPr>
  </w:style>
  <w:style w:type="character" w:customStyle="1" w:styleId="673">
    <w:name w:val="bds_nopic2"/>
    <w:basedOn w:val="67"/>
    <w:qFormat/>
    <w:uiPriority w:val="0"/>
  </w:style>
  <w:style w:type="character" w:customStyle="1" w:styleId="674">
    <w:name w:val="name"/>
    <w:basedOn w:val="67"/>
    <w:qFormat/>
    <w:uiPriority w:val="0"/>
  </w:style>
  <w:style w:type="character" w:customStyle="1" w:styleId="675">
    <w:name w:val="中文报告书样式 Char"/>
    <w:link w:val="676"/>
    <w:qFormat/>
    <w:locked/>
    <w:uiPriority w:val="0"/>
    <w:rPr>
      <w:kern w:val="24"/>
      <w:sz w:val="24"/>
    </w:rPr>
  </w:style>
  <w:style w:type="paragraph" w:customStyle="1" w:styleId="676">
    <w:name w:val="中文报告书样式"/>
    <w:basedOn w:val="1"/>
    <w:link w:val="675"/>
    <w:qFormat/>
    <w:uiPriority w:val="0"/>
    <w:pPr>
      <w:adjustRightInd w:val="0"/>
      <w:ind w:firstLine="482"/>
      <w:textAlignment w:val="baseline"/>
    </w:pPr>
    <w:rPr>
      <w:kern w:val="24"/>
      <w:szCs w:val="20"/>
    </w:rPr>
  </w:style>
  <w:style w:type="character" w:customStyle="1" w:styleId="677">
    <w:name w:val="bds_more"/>
    <w:qFormat/>
    <w:uiPriority w:val="0"/>
    <w:rPr>
      <w:rFonts w:hint="eastAsia" w:ascii="宋体" w:hAnsi="宋体" w:eastAsia="宋体" w:cs="宋体"/>
    </w:rPr>
  </w:style>
  <w:style w:type="character" w:customStyle="1" w:styleId="678">
    <w:name w:val="size"/>
    <w:basedOn w:val="67"/>
    <w:qFormat/>
    <w:uiPriority w:val="0"/>
  </w:style>
  <w:style w:type="character" w:customStyle="1" w:styleId="679">
    <w:name w:val="bds_nopic"/>
    <w:basedOn w:val="67"/>
    <w:qFormat/>
    <w:uiPriority w:val="0"/>
  </w:style>
  <w:style w:type="character" w:customStyle="1" w:styleId="680">
    <w:name w:val="无间隔 字符"/>
    <w:link w:val="90"/>
    <w:qFormat/>
    <w:uiPriority w:val="0"/>
  </w:style>
  <w:style w:type="character" w:customStyle="1" w:styleId="681">
    <w:name w:val="size1"/>
    <w:basedOn w:val="67"/>
    <w:qFormat/>
    <w:uiPriority w:val="0"/>
  </w:style>
  <w:style w:type="character" w:customStyle="1" w:styleId="682">
    <w:name w:val="报告表正文 Char"/>
    <w:link w:val="418"/>
    <w:qFormat/>
    <w:uiPriority w:val="0"/>
    <w:rPr>
      <w:b/>
      <w:sz w:val="24"/>
      <w:szCs w:val="24"/>
    </w:rPr>
  </w:style>
  <w:style w:type="character" w:customStyle="1" w:styleId="683">
    <w:name w:val="bds_more2"/>
    <w:basedOn w:val="67"/>
    <w:qFormat/>
    <w:uiPriority w:val="0"/>
  </w:style>
  <w:style w:type="character" w:customStyle="1" w:styleId="684">
    <w:name w:val="君邦正文 Char"/>
    <w:link w:val="685"/>
    <w:qFormat/>
    <w:uiPriority w:val="0"/>
    <w:rPr>
      <w:rFonts w:ascii="宋体" w:hAnsi="宋体"/>
      <w:bCs/>
      <w:snapToGrid w:val="0"/>
      <w:sz w:val="24"/>
    </w:rPr>
  </w:style>
  <w:style w:type="paragraph" w:customStyle="1" w:styleId="685">
    <w:name w:val="君邦正文"/>
    <w:link w:val="684"/>
    <w:qFormat/>
    <w:uiPriority w:val="0"/>
    <w:pPr>
      <w:spacing w:after="60" w:line="360" w:lineRule="auto"/>
      <w:ind w:firstLine="480" w:firstLineChars="200"/>
      <w:jc w:val="both"/>
    </w:pPr>
    <w:rPr>
      <w:rFonts w:ascii="宋体" w:hAnsi="宋体" w:eastAsia="宋体" w:cs="Times New Roman"/>
      <w:bCs/>
      <w:snapToGrid w:val="0"/>
      <w:sz w:val="24"/>
      <w:lang w:val="en-US" w:eastAsia="zh-CN" w:bidi="ar-SA"/>
    </w:rPr>
  </w:style>
  <w:style w:type="character" w:customStyle="1" w:styleId="686">
    <w:name w:val="nums1"/>
    <w:basedOn w:val="67"/>
    <w:qFormat/>
    <w:uiPriority w:val="0"/>
  </w:style>
  <w:style w:type="character" w:customStyle="1" w:styleId="687">
    <w:name w:val="环评正文 Char Char"/>
    <w:qFormat/>
    <w:uiPriority w:val="0"/>
    <w:rPr>
      <w:rFonts w:ascii="宋体" w:hAnsi="宋体"/>
      <w:color w:val="000000"/>
      <w:sz w:val="24"/>
      <w:szCs w:val="24"/>
    </w:rPr>
  </w:style>
  <w:style w:type="character" w:customStyle="1" w:styleId="688">
    <w:name w:val="图位置 Char"/>
    <w:link w:val="689"/>
    <w:qFormat/>
    <w:uiPriority w:val="0"/>
    <w:rPr>
      <w:rFonts w:ascii="宋体" w:hAnsi="Courier New" w:cs="Courier New"/>
      <w:sz w:val="24"/>
      <w:szCs w:val="24"/>
    </w:rPr>
  </w:style>
  <w:style w:type="paragraph" w:customStyle="1" w:styleId="689">
    <w:name w:val="图位置"/>
    <w:basedOn w:val="31"/>
    <w:link w:val="688"/>
    <w:qFormat/>
    <w:uiPriority w:val="0"/>
    <w:pPr>
      <w:jc w:val="center"/>
    </w:pPr>
    <w:rPr>
      <w:rFonts w:cs="Courier New"/>
      <w:sz w:val="24"/>
      <w:szCs w:val="24"/>
    </w:rPr>
  </w:style>
  <w:style w:type="character" w:customStyle="1" w:styleId="690">
    <w:name w:val="正文（陈1） Char"/>
    <w:link w:val="691"/>
    <w:qFormat/>
    <w:uiPriority w:val="0"/>
    <w:rPr>
      <w:rFonts w:cs="宋体"/>
      <w:sz w:val="28"/>
    </w:rPr>
  </w:style>
  <w:style w:type="paragraph" w:customStyle="1" w:styleId="691">
    <w:name w:val="正文（陈1）"/>
    <w:basedOn w:val="1"/>
    <w:link w:val="690"/>
    <w:qFormat/>
    <w:uiPriority w:val="0"/>
    <w:pPr>
      <w:ind w:firstLine="561"/>
    </w:pPr>
    <w:rPr>
      <w:rFonts w:cs="宋体"/>
      <w:sz w:val="28"/>
      <w:szCs w:val="20"/>
    </w:rPr>
  </w:style>
  <w:style w:type="character" w:customStyle="1" w:styleId="692">
    <w:name w:val="nums"/>
    <w:basedOn w:val="67"/>
    <w:qFormat/>
    <w:uiPriority w:val="0"/>
  </w:style>
  <w:style w:type="character" w:customStyle="1" w:styleId="693">
    <w:name w:val="样式 题注 + (西文)小四 Char Char1"/>
    <w:link w:val="694"/>
    <w:qFormat/>
    <w:uiPriority w:val="0"/>
    <w:rPr>
      <w:rFonts w:eastAsia="黑体"/>
      <w:bCs/>
      <w:sz w:val="24"/>
    </w:rPr>
  </w:style>
  <w:style w:type="paragraph" w:customStyle="1" w:styleId="694">
    <w:name w:val="样式 题注 + (西文)小四 Char"/>
    <w:link w:val="693"/>
    <w:qFormat/>
    <w:uiPriority w:val="0"/>
    <w:pPr>
      <w:spacing w:before="340" w:after="330" w:afterLines="50" w:line="360" w:lineRule="auto"/>
      <w:jc w:val="center"/>
    </w:pPr>
    <w:rPr>
      <w:rFonts w:ascii="Times New Roman" w:hAnsi="Times New Roman" w:eastAsia="黑体" w:cs="Times New Roman"/>
      <w:bCs/>
      <w:sz w:val="24"/>
      <w:lang w:val="en-US" w:eastAsia="zh-CN" w:bidi="ar-SA"/>
    </w:rPr>
  </w:style>
  <w:style w:type="character" w:customStyle="1" w:styleId="695">
    <w:name w:val="标题2 Char1"/>
    <w:qFormat/>
    <w:uiPriority w:val="0"/>
    <w:rPr>
      <w:rFonts w:eastAsia="宋体"/>
      <w:b/>
      <w:bCs/>
      <w:kern w:val="2"/>
      <w:sz w:val="28"/>
      <w:szCs w:val="28"/>
      <w:lang w:val="en-US" w:eastAsia="zh-CN" w:bidi="ar-SA"/>
    </w:rPr>
  </w:style>
  <w:style w:type="character" w:customStyle="1" w:styleId="696">
    <w:name w:val="bds_more1"/>
    <w:basedOn w:val="67"/>
    <w:qFormat/>
    <w:uiPriority w:val="0"/>
  </w:style>
  <w:style w:type="character" w:customStyle="1" w:styleId="697">
    <w:name w:val="name1"/>
    <w:basedOn w:val="67"/>
    <w:qFormat/>
    <w:uiPriority w:val="0"/>
  </w:style>
  <w:style w:type="character" w:customStyle="1" w:styleId="698">
    <w:name w:val="表头样式 Char"/>
    <w:link w:val="699"/>
    <w:qFormat/>
    <w:uiPriority w:val="0"/>
    <w:rPr>
      <w:rFonts w:eastAsia="楷体_GB2312"/>
      <w:b/>
      <w:sz w:val="24"/>
      <w:szCs w:val="24"/>
    </w:rPr>
  </w:style>
  <w:style w:type="paragraph" w:customStyle="1" w:styleId="699">
    <w:name w:val="表头样式"/>
    <w:basedOn w:val="1"/>
    <w:next w:val="1"/>
    <w:link w:val="698"/>
    <w:qFormat/>
    <w:uiPriority w:val="0"/>
    <w:pPr>
      <w:snapToGrid w:val="0"/>
      <w:spacing w:line="240" w:lineRule="auto"/>
      <w:jc w:val="center"/>
    </w:pPr>
    <w:rPr>
      <w:rFonts w:eastAsia="楷体_GB2312"/>
      <w:b/>
    </w:rPr>
  </w:style>
  <w:style w:type="character" w:customStyle="1" w:styleId="700">
    <w:name w:val="样式 题注 + 小四 首行缩进:  2 字符 Char"/>
    <w:link w:val="701"/>
    <w:qFormat/>
    <w:uiPriority w:val="0"/>
    <w:rPr>
      <w:rFonts w:ascii="Arial" w:hAnsi="Arial" w:cs="宋体"/>
      <w:sz w:val="24"/>
    </w:rPr>
  </w:style>
  <w:style w:type="paragraph" w:customStyle="1" w:styleId="701">
    <w:name w:val="样式 题注 + 小四 首行缩进:  2 字符"/>
    <w:basedOn w:val="15"/>
    <w:link w:val="700"/>
    <w:qFormat/>
    <w:uiPriority w:val="0"/>
    <w:pPr>
      <w:spacing w:before="156" w:beforeLines="50" w:after="156" w:afterLines="50"/>
      <w:ind w:right="-57" w:rightChars="-27"/>
      <w:jc w:val="center"/>
    </w:pPr>
    <w:rPr>
      <w:rFonts w:eastAsia="宋体" w:cs="宋体"/>
      <w:sz w:val="24"/>
    </w:rPr>
  </w:style>
  <w:style w:type="character" w:customStyle="1" w:styleId="702">
    <w:name w:val="备注 Char"/>
    <w:link w:val="703"/>
    <w:qFormat/>
    <w:uiPriority w:val="0"/>
    <w:rPr>
      <w:sz w:val="18"/>
      <w:szCs w:val="18"/>
    </w:rPr>
  </w:style>
  <w:style w:type="paragraph" w:customStyle="1" w:styleId="703">
    <w:name w:val="备注"/>
    <w:basedOn w:val="1"/>
    <w:link w:val="702"/>
    <w:qFormat/>
    <w:uiPriority w:val="0"/>
    <w:rPr>
      <w:sz w:val="18"/>
      <w:szCs w:val="18"/>
    </w:rPr>
  </w:style>
  <w:style w:type="character" w:customStyle="1" w:styleId="704">
    <w:name w:val="Char Char"/>
    <w:qFormat/>
    <w:uiPriority w:val="0"/>
    <w:rPr>
      <w:rFonts w:ascii="Calibri" w:hAnsi="Calibri" w:eastAsia="宋体"/>
      <w:kern w:val="2"/>
      <w:sz w:val="28"/>
      <w:szCs w:val="28"/>
      <w:lang w:val="en-US" w:eastAsia="zh-CN" w:bidi="ar-SA"/>
    </w:rPr>
  </w:style>
  <w:style w:type="character" w:customStyle="1" w:styleId="705">
    <w:name w:val="正文111 Char1"/>
    <w:qFormat/>
    <w:uiPriority w:val="0"/>
    <w:rPr>
      <w:rFonts w:ascii="Calibri" w:hAnsi="Calibri" w:eastAsia="宋体"/>
      <w:kern w:val="2"/>
      <w:sz w:val="28"/>
      <w:szCs w:val="28"/>
      <w:lang w:val="en-US" w:eastAsia="zh-CN" w:bidi="ar-SA"/>
    </w:rPr>
  </w:style>
  <w:style w:type="paragraph" w:customStyle="1" w:styleId="706">
    <w:name w:val="HP正文"/>
    <w:basedOn w:val="1"/>
    <w:qFormat/>
    <w:uiPriority w:val="99"/>
    <w:pPr>
      <w:ind w:firstLine="480" w:firstLineChars="200"/>
    </w:pPr>
    <w:rPr>
      <w:kern w:val="2"/>
      <w:sz w:val="21"/>
    </w:rPr>
  </w:style>
  <w:style w:type="character" w:customStyle="1" w:styleId="707">
    <w:name w:val="正文首行缩进 2 Char1"/>
    <w:basedOn w:val="250"/>
    <w:qFormat/>
    <w:uiPriority w:val="0"/>
    <w:rPr>
      <w:rFonts w:ascii="Times New Roman" w:hAnsi="Times New Roman" w:eastAsia="宋体" w:cs="Times New Roman"/>
      <w:sz w:val="28"/>
      <w:szCs w:val="28"/>
      <w:lang w:val="zh-CN" w:eastAsia="zh-CN"/>
    </w:rPr>
  </w:style>
  <w:style w:type="paragraph" w:customStyle="1" w:styleId="708">
    <w:name w:val="Char Char Char Char Char Char Char Char1 Char Char Char Char Char Char Char"/>
    <w:basedOn w:val="1"/>
    <w:qFormat/>
    <w:uiPriority w:val="99"/>
    <w:pPr>
      <w:snapToGrid w:val="0"/>
      <w:ind w:firstLine="200" w:firstLineChars="200"/>
    </w:pPr>
    <w:rPr>
      <w:kern w:val="2"/>
      <w:sz w:val="21"/>
      <w:szCs w:val="20"/>
    </w:rPr>
  </w:style>
  <w:style w:type="character" w:customStyle="1" w:styleId="709">
    <w:name w:val="脚注文本 Char1"/>
    <w:basedOn w:val="67"/>
    <w:qFormat/>
    <w:uiPriority w:val="0"/>
    <w:rPr>
      <w:sz w:val="18"/>
      <w:szCs w:val="18"/>
    </w:rPr>
  </w:style>
  <w:style w:type="paragraph" w:customStyle="1" w:styleId="710">
    <w:name w:val="1 Char"/>
    <w:basedOn w:val="1"/>
    <w:qFormat/>
    <w:uiPriority w:val="99"/>
    <w:pPr>
      <w:spacing w:line="240" w:lineRule="auto"/>
    </w:pPr>
    <w:rPr>
      <w:kern w:val="2"/>
    </w:rPr>
  </w:style>
  <w:style w:type="paragraph" w:customStyle="1" w:styleId="711">
    <w:name w:val="样式 样式 标题 1 + 宋体 小四 非加粗 段前: 0 磅 段后: 0 磅 行距: 1.5 倍行距 + 行距: 1.5 倍行距"/>
    <w:basedOn w:val="1"/>
    <w:qFormat/>
    <w:uiPriority w:val="99"/>
    <w:pPr>
      <w:keepNext/>
      <w:keepLines/>
      <w:spacing w:before="100" w:beforeAutospacing="1" w:after="100" w:afterAutospacing="1" w:line="240" w:lineRule="auto"/>
      <w:outlineLvl w:val="0"/>
    </w:pPr>
    <w:rPr>
      <w:rFonts w:hAnsi="宋体" w:cs="宋体"/>
      <w:kern w:val="44"/>
      <w:sz w:val="21"/>
    </w:rPr>
  </w:style>
  <w:style w:type="paragraph" w:customStyle="1" w:styleId="712">
    <w:name w:val="正文111"/>
    <w:basedOn w:val="23"/>
    <w:qFormat/>
    <w:uiPriority w:val="99"/>
    <w:pPr>
      <w:spacing w:after="0"/>
      <w:ind w:firstLine="200" w:firstLineChars="200"/>
    </w:pPr>
    <w:rPr>
      <w:rFonts w:ascii="Calibri" w:hAnsi="Calibri"/>
      <w:kern w:val="2"/>
      <w:sz w:val="28"/>
      <w:szCs w:val="28"/>
      <w:lang w:val="zh-CN"/>
    </w:rPr>
  </w:style>
  <w:style w:type="paragraph" w:customStyle="1" w:styleId="713">
    <w:name w:val="_Style 6"/>
    <w:basedOn w:val="1"/>
    <w:qFormat/>
    <w:uiPriority w:val="34"/>
    <w:pPr>
      <w:widowControl/>
      <w:spacing w:after="200" w:line="276" w:lineRule="auto"/>
      <w:ind w:left="150" w:firstLine="420" w:firstLineChars="200"/>
      <w:jc w:val="left"/>
    </w:pPr>
    <w:rPr>
      <w:rFonts w:ascii="Calibri" w:hAnsi="Calibri"/>
      <w:sz w:val="28"/>
      <w:szCs w:val="21"/>
      <w:lang w:eastAsia="en-US" w:bidi="en-US"/>
    </w:rPr>
  </w:style>
  <w:style w:type="paragraph" w:customStyle="1" w:styleId="714">
    <w:name w:val="亳州样式 HP正文"/>
    <w:basedOn w:val="706"/>
    <w:qFormat/>
    <w:uiPriority w:val="99"/>
    <w:rPr>
      <w:color w:val="000000"/>
      <w:kern w:val="0"/>
    </w:rPr>
  </w:style>
  <w:style w:type="paragraph" w:customStyle="1" w:styleId="715">
    <w:name w:val="亳州样式 正文"/>
    <w:basedOn w:val="14"/>
    <w:qFormat/>
    <w:uiPriority w:val="99"/>
    <w:pPr>
      <w:ind w:firstLine="470" w:firstLineChars="196"/>
    </w:pPr>
    <w:rPr>
      <w:rFonts w:eastAsia="宋体"/>
    </w:rPr>
  </w:style>
  <w:style w:type="paragraph" w:customStyle="1" w:styleId="716">
    <w:name w:val="_Style 5"/>
    <w:qFormat/>
    <w:uiPriority w:val="99"/>
    <w:pPr>
      <w:widowControl w:val="0"/>
      <w:jc w:val="both"/>
    </w:pPr>
    <w:rPr>
      <w:rFonts w:ascii="黑体" w:hAnsi="Times New Roman" w:eastAsia="宋体" w:cs="Times New Roman"/>
      <w:kern w:val="2"/>
      <w:sz w:val="21"/>
      <w:szCs w:val="24"/>
      <w:lang w:val="en-US" w:eastAsia="zh-CN" w:bidi="ar-SA"/>
    </w:rPr>
  </w:style>
  <w:style w:type="paragraph" w:customStyle="1" w:styleId="717">
    <w:name w:val="Char Char Char Char Char Char Char1 Char Char Char"/>
    <w:basedOn w:val="1"/>
    <w:qFormat/>
    <w:uiPriority w:val="99"/>
    <w:pPr>
      <w:widowControl/>
      <w:jc w:val="left"/>
    </w:pPr>
    <w:rPr>
      <w:rFonts w:ascii="宋体" w:hAnsi="宋体" w:cs="宋体"/>
      <w:szCs w:val="21"/>
    </w:rPr>
  </w:style>
  <w:style w:type="paragraph" w:customStyle="1" w:styleId="718">
    <w:name w:val="亳州表文字"/>
    <w:basedOn w:val="1"/>
    <w:qFormat/>
    <w:uiPriority w:val="99"/>
    <w:pPr>
      <w:tabs>
        <w:tab w:val="left" w:pos="945"/>
        <w:tab w:val="right" w:leader="dot" w:pos="1155"/>
        <w:tab w:val="left" w:pos="8715"/>
      </w:tabs>
      <w:snapToGrid w:val="0"/>
      <w:spacing w:line="240" w:lineRule="auto"/>
      <w:jc w:val="center"/>
    </w:pPr>
    <w:rPr>
      <w:rFonts w:cs="宋体"/>
      <w:snapToGrid w:val="0"/>
      <w:sz w:val="21"/>
      <w:szCs w:val="21"/>
    </w:rPr>
  </w:style>
  <w:style w:type="paragraph" w:customStyle="1" w:styleId="719">
    <w:name w:val="样式 样式 标题 2 + 宋体 小四 非加粗 行距: 固定值 24 磅 + 行距: 1.5 倍行距"/>
    <w:basedOn w:val="1"/>
    <w:qFormat/>
    <w:uiPriority w:val="99"/>
    <w:pPr>
      <w:keepNext/>
      <w:keepLines/>
      <w:spacing w:before="100" w:beforeAutospacing="1" w:after="100" w:afterAutospacing="1" w:line="240" w:lineRule="auto"/>
      <w:outlineLvl w:val="1"/>
    </w:pPr>
    <w:rPr>
      <w:rFonts w:ascii="宋体" w:hAnsi="宋体" w:cs="宋体"/>
      <w:kern w:val="2"/>
    </w:rPr>
  </w:style>
  <w:style w:type="paragraph" w:customStyle="1" w:styleId="720">
    <w:name w:val="公式"/>
    <w:basedOn w:val="391"/>
    <w:qFormat/>
    <w:uiPriority w:val="99"/>
    <w:pPr>
      <w:spacing w:before="50" w:beforeLines="50" w:after="50" w:afterLines="50"/>
      <w:ind w:firstLine="0"/>
      <w:jc w:val="center"/>
    </w:pPr>
    <w:rPr>
      <w:rFonts w:ascii="宋体" w:hAnsi="宋体"/>
      <w:bCs w:val="0"/>
      <w:color w:val="FF0000"/>
      <w:kern w:val="2"/>
      <w:szCs w:val="24"/>
    </w:rPr>
  </w:style>
  <w:style w:type="paragraph" w:customStyle="1" w:styleId="721">
    <w:name w:val="24磅正文"/>
    <w:basedOn w:val="1"/>
    <w:qFormat/>
    <w:uiPriority w:val="99"/>
    <w:pPr>
      <w:spacing w:line="480" w:lineRule="exact"/>
      <w:ind w:firstLine="480" w:firstLineChars="200"/>
    </w:pPr>
    <w:rPr>
      <w:sz w:val="20"/>
      <w:szCs w:val="20"/>
    </w:rPr>
  </w:style>
  <w:style w:type="paragraph" w:customStyle="1" w:styleId="722">
    <w:name w:val="表内容"/>
    <w:basedOn w:val="721"/>
    <w:qFormat/>
    <w:uiPriority w:val="99"/>
    <w:pPr>
      <w:spacing w:line="360" w:lineRule="exact"/>
      <w:ind w:firstLine="0" w:firstLineChars="0"/>
      <w:jc w:val="center"/>
    </w:pPr>
    <w:rPr>
      <w:sz w:val="21"/>
      <w:szCs w:val="21"/>
    </w:rPr>
  </w:style>
  <w:style w:type="paragraph" w:customStyle="1" w:styleId="723">
    <w:name w:val="表格正文"/>
    <w:basedOn w:val="1"/>
    <w:semiHidden/>
    <w:qFormat/>
    <w:uiPriority w:val="99"/>
    <w:pPr>
      <w:widowControl/>
      <w:spacing w:line="240" w:lineRule="auto"/>
      <w:jc w:val="left"/>
    </w:pPr>
    <w:rPr>
      <w:rFonts w:ascii="Calibri" w:hAnsi="Calibri"/>
      <w:szCs w:val="21"/>
      <w:lang w:eastAsia="en-US" w:bidi="en-US"/>
    </w:rPr>
  </w:style>
  <w:style w:type="table" w:customStyle="1" w:styleId="724">
    <w:name w:val="表格主题3"/>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25">
    <w:name w:val="表格内容 Char Char"/>
    <w:link w:val="406"/>
    <w:qFormat/>
    <w:uiPriority w:val="0"/>
    <w:rPr>
      <w:rFonts w:eastAsia="仿宋"/>
      <w:sz w:val="21"/>
      <w:szCs w:val="24"/>
    </w:rPr>
  </w:style>
  <w:style w:type="character" w:customStyle="1" w:styleId="726">
    <w:name w:val="表格名称 Char"/>
    <w:link w:val="727"/>
    <w:qFormat/>
    <w:uiPriority w:val="0"/>
    <w:rPr>
      <w:rFonts w:hAnsi="宋体"/>
      <w:b/>
      <w:bCs/>
      <w:color w:val="000000"/>
      <w:szCs w:val="21"/>
    </w:rPr>
  </w:style>
  <w:style w:type="paragraph" w:customStyle="1" w:styleId="727">
    <w:name w:val="表格名称"/>
    <w:basedOn w:val="24"/>
    <w:link w:val="726"/>
    <w:qFormat/>
    <w:uiPriority w:val="0"/>
    <w:pPr>
      <w:adjustRightInd w:val="0"/>
      <w:spacing w:after="0"/>
      <w:ind w:left="0" w:firstLine="422" w:firstLineChars="200"/>
      <w:jc w:val="center"/>
    </w:pPr>
    <w:rPr>
      <w:rFonts w:hAnsi="宋体"/>
      <w:b/>
      <w:bCs/>
      <w:color w:val="000000"/>
      <w:sz w:val="20"/>
      <w:szCs w:val="21"/>
    </w:rPr>
  </w:style>
  <w:style w:type="character" w:customStyle="1" w:styleId="728">
    <w:name w:val="【正文】 Char Char"/>
    <w:link w:val="729"/>
    <w:qFormat/>
    <w:uiPriority w:val="0"/>
    <w:rPr>
      <w:color w:val="000000"/>
      <w:sz w:val="24"/>
      <w:szCs w:val="24"/>
    </w:rPr>
  </w:style>
  <w:style w:type="paragraph" w:customStyle="1" w:styleId="729">
    <w:name w:val="【正文】"/>
    <w:basedOn w:val="1"/>
    <w:link w:val="728"/>
    <w:qFormat/>
    <w:uiPriority w:val="0"/>
    <w:pPr>
      <w:snapToGrid w:val="0"/>
      <w:ind w:firstLine="200" w:firstLineChars="200"/>
    </w:pPr>
    <w:rPr>
      <w:color w:val="000000"/>
    </w:rPr>
  </w:style>
  <w:style w:type="paragraph" w:customStyle="1" w:styleId="730">
    <w:name w:val="表格标题行"/>
    <w:basedOn w:val="1"/>
    <w:link w:val="731"/>
    <w:qFormat/>
    <w:uiPriority w:val="0"/>
    <w:pPr>
      <w:adjustRightInd w:val="0"/>
      <w:snapToGrid w:val="0"/>
      <w:spacing w:line="240" w:lineRule="auto"/>
      <w:jc w:val="center"/>
    </w:pPr>
    <w:rPr>
      <w:rFonts w:hAnsi="宋体"/>
      <w:b/>
      <w:bCs/>
      <w:color w:val="000000"/>
      <w:kern w:val="2"/>
      <w:sz w:val="21"/>
      <w:szCs w:val="21"/>
      <w:lang w:val="zh-CN"/>
    </w:rPr>
  </w:style>
  <w:style w:type="character" w:customStyle="1" w:styleId="731">
    <w:name w:val="表格标题行 字符"/>
    <w:link w:val="730"/>
    <w:qFormat/>
    <w:uiPriority w:val="0"/>
    <w:rPr>
      <w:rFonts w:hAnsi="宋体"/>
      <w:b/>
      <w:bCs/>
      <w:color w:val="000000"/>
      <w:kern w:val="2"/>
      <w:sz w:val="21"/>
      <w:szCs w:val="21"/>
      <w:lang w:val="zh-CN" w:eastAsia="zh-CN"/>
    </w:rPr>
  </w:style>
  <w:style w:type="paragraph" w:customStyle="1" w:styleId="732">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33">
    <w:name w:val="xl76"/>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3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3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3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37">
    <w:name w:val="xl80"/>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38">
    <w:name w:val="xl81"/>
    <w:basedOn w:val="1"/>
    <w:qFormat/>
    <w:uiPriority w:val="0"/>
    <w:pPr>
      <w:widowControl/>
      <w:pBdr>
        <w:top w:val="double" w:color="auto" w:sz="6" w:space="0"/>
        <w:right w:val="single" w:color="auto" w:sz="4" w:space="0"/>
      </w:pBdr>
      <w:spacing w:before="100" w:beforeAutospacing="1" w:after="100" w:afterAutospacing="1" w:line="240" w:lineRule="auto"/>
      <w:jc w:val="center"/>
      <w:textAlignment w:val="center"/>
    </w:pPr>
  </w:style>
  <w:style w:type="paragraph" w:customStyle="1" w:styleId="739">
    <w:name w:val="xl82"/>
    <w:basedOn w:val="1"/>
    <w:qFormat/>
    <w:uiPriority w:val="0"/>
    <w:pPr>
      <w:widowControl/>
      <w:spacing w:before="100" w:beforeAutospacing="1" w:after="100" w:afterAutospacing="1" w:line="240" w:lineRule="auto"/>
      <w:jc w:val="center"/>
      <w:textAlignment w:val="center"/>
    </w:pPr>
    <w:rPr>
      <w:sz w:val="21"/>
      <w:szCs w:val="21"/>
    </w:rPr>
  </w:style>
  <w:style w:type="paragraph" w:customStyle="1" w:styleId="74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41">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42">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4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44">
    <w:name w:val="xl87"/>
    <w:basedOn w:val="1"/>
    <w:qFormat/>
    <w:uiPriority w:val="0"/>
    <w:pPr>
      <w:widowControl/>
      <w:pBdr>
        <w:right w:val="single" w:color="auto" w:sz="4" w:space="0"/>
      </w:pBdr>
      <w:spacing w:before="100" w:beforeAutospacing="1" w:after="100" w:afterAutospacing="1" w:line="240" w:lineRule="auto"/>
      <w:jc w:val="center"/>
      <w:textAlignment w:val="center"/>
    </w:pPr>
  </w:style>
  <w:style w:type="paragraph" w:customStyle="1" w:styleId="745">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color w:val="000000"/>
      <w:sz w:val="21"/>
      <w:szCs w:val="21"/>
    </w:rPr>
  </w:style>
  <w:style w:type="paragraph" w:customStyle="1" w:styleId="746">
    <w:name w:val="xl89"/>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47">
    <w:name w:val="xl90"/>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48">
    <w:name w:val="xl91"/>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49">
    <w:name w:val="xl92"/>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50">
    <w:name w:val="xl93"/>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51">
    <w:name w:val="xl94"/>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52">
    <w:name w:val="xl95"/>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53">
    <w:name w:val="xl96"/>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54">
    <w:name w:val="xl97"/>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55">
    <w:name w:val="xl9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56">
    <w:name w:val="xl99"/>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57">
    <w:name w:val="xl100"/>
    <w:basedOn w:val="1"/>
    <w:qFormat/>
    <w:uiPriority w:val="0"/>
    <w:pPr>
      <w:widowControl/>
      <w:pBdr>
        <w:top w:val="double" w:color="auto" w:sz="6" w:space="0"/>
        <w:left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58">
    <w:name w:val="xl101"/>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759">
    <w:name w:val="xl102"/>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60">
    <w:name w:val="xl103"/>
    <w:basedOn w:val="1"/>
    <w:qFormat/>
    <w:uiPriority w:val="0"/>
    <w:pPr>
      <w:widowControl/>
      <w:pBdr>
        <w:top w:val="double" w:color="auto" w:sz="6"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61">
    <w:name w:val="xl104"/>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62">
    <w:name w:val="xl105"/>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63">
    <w:name w:val="xl106"/>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64">
    <w:name w:val="xl107"/>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65">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66">
    <w:name w:val="xl109"/>
    <w:basedOn w:val="1"/>
    <w:qFormat/>
    <w:uiPriority w:val="0"/>
    <w:pPr>
      <w:widowControl/>
      <w:pBdr>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67">
    <w:name w:val="xl110"/>
    <w:basedOn w:val="1"/>
    <w:qFormat/>
    <w:uiPriority w:val="0"/>
    <w:pPr>
      <w:widowControl/>
      <w:pBdr>
        <w:top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68">
    <w:name w:val="xl111"/>
    <w:basedOn w:val="1"/>
    <w:qFormat/>
    <w:uiPriority w:val="0"/>
    <w:pPr>
      <w:widowControl/>
      <w:pBdr>
        <w:top w:val="double" w:color="auto" w:sz="6" w:space="0"/>
        <w:left w:val="single" w:color="auto" w:sz="4"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769">
    <w:name w:val="xl112"/>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70">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71">
    <w:name w:val="xl114"/>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72">
    <w:name w:val="xl115"/>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73">
    <w:name w:val="xl116"/>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774">
    <w:name w:val="xl117"/>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75">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76">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777">
    <w:name w:val="xl120"/>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78">
    <w:name w:val="xl121"/>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79">
    <w:name w:val="xl122"/>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80">
    <w:name w:val="xl123"/>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81">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82">
    <w:name w:val="xl125"/>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83">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84">
    <w:name w:val="xl127"/>
    <w:basedOn w:val="1"/>
    <w:qFormat/>
    <w:uiPriority w:val="0"/>
    <w:pPr>
      <w:widowControl/>
      <w:pBdr>
        <w:top w:val="single" w:color="auto" w:sz="4" w:space="0"/>
        <w:bottom w:val="double" w:color="auto" w:sz="6" w:space="0"/>
      </w:pBdr>
      <w:spacing w:before="100" w:beforeAutospacing="1" w:after="100" w:afterAutospacing="1" w:line="240" w:lineRule="auto"/>
      <w:jc w:val="center"/>
      <w:textAlignment w:val="center"/>
    </w:pPr>
  </w:style>
  <w:style w:type="paragraph" w:customStyle="1" w:styleId="785">
    <w:name w:val="xl128"/>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86">
    <w:name w:val="xl129"/>
    <w:basedOn w:val="1"/>
    <w:qFormat/>
    <w:uiPriority w:val="0"/>
    <w:pPr>
      <w:widowControl/>
      <w:pBdr>
        <w:right w:val="single" w:color="auto" w:sz="4" w:space="0"/>
      </w:pBdr>
      <w:spacing w:before="100" w:beforeAutospacing="1" w:after="100" w:afterAutospacing="1" w:line="240" w:lineRule="auto"/>
      <w:jc w:val="center"/>
      <w:textAlignment w:val="center"/>
    </w:pPr>
    <w:rPr>
      <w:sz w:val="21"/>
      <w:szCs w:val="21"/>
    </w:rPr>
  </w:style>
  <w:style w:type="paragraph" w:customStyle="1" w:styleId="787">
    <w:name w:val="xl130"/>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88">
    <w:name w:val="xl131"/>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89">
    <w:name w:val="xl132"/>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790">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91">
    <w:name w:val="xl134"/>
    <w:basedOn w:val="1"/>
    <w:qFormat/>
    <w:uiPriority w:val="0"/>
    <w:pPr>
      <w:widowControl/>
      <w:pBdr>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92">
    <w:name w:val="xl135"/>
    <w:basedOn w:val="1"/>
    <w:qFormat/>
    <w:uiPriority w:val="0"/>
    <w:pPr>
      <w:widowControl/>
      <w:pBdr>
        <w:top w:val="double" w:color="auto" w:sz="6"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793">
    <w:name w:val="xl136"/>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794">
    <w:name w:val="xl137"/>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95">
    <w:name w:val="xl138"/>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796">
    <w:name w:val="xl139"/>
    <w:basedOn w:val="1"/>
    <w:qFormat/>
    <w:uiPriority w:val="0"/>
    <w:pPr>
      <w:widowControl/>
      <w:pBdr>
        <w:top w:val="double" w:color="auto" w:sz="6"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97">
    <w:name w:val="xl140"/>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798">
    <w:name w:val="xl141"/>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799">
    <w:name w:val="xl142"/>
    <w:basedOn w:val="1"/>
    <w:qFormat/>
    <w:uiPriority w:val="0"/>
    <w:pPr>
      <w:widowControl/>
      <w:pBdr>
        <w:top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00">
    <w:name w:val="xl143"/>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sz w:val="21"/>
      <w:szCs w:val="21"/>
    </w:rPr>
  </w:style>
  <w:style w:type="paragraph" w:customStyle="1" w:styleId="801">
    <w:name w:val="xl144"/>
    <w:basedOn w:val="1"/>
    <w:qFormat/>
    <w:uiPriority w:val="0"/>
    <w:pPr>
      <w:widowControl/>
      <w:pBdr>
        <w:left w:val="single" w:color="auto" w:sz="4" w:space="0"/>
        <w:bottom w:val="double" w:color="auto" w:sz="6" w:space="0"/>
      </w:pBdr>
      <w:spacing w:before="100" w:beforeAutospacing="1" w:after="100" w:afterAutospacing="1" w:line="240" w:lineRule="auto"/>
      <w:jc w:val="center"/>
      <w:textAlignment w:val="center"/>
    </w:pPr>
    <w:rPr>
      <w:sz w:val="21"/>
      <w:szCs w:val="21"/>
    </w:rPr>
  </w:style>
  <w:style w:type="paragraph" w:customStyle="1" w:styleId="802">
    <w:name w:val="xl145"/>
    <w:basedOn w:val="1"/>
    <w:qFormat/>
    <w:uiPriority w:val="0"/>
    <w:pPr>
      <w:widowControl/>
      <w:pBdr>
        <w:top w:val="single" w:color="auto" w:sz="4" w:space="0"/>
        <w:bottom w:val="double" w:color="auto" w:sz="6" w:space="0"/>
      </w:pBdr>
      <w:spacing w:before="100" w:beforeAutospacing="1" w:after="100" w:afterAutospacing="1" w:line="240" w:lineRule="auto"/>
      <w:jc w:val="center"/>
      <w:textAlignment w:val="center"/>
    </w:pPr>
    <w:rPr>
      <w:sz w:val="21"/>
      <w:szCs w:val="21"/>
    </w:rPr>
  </w:style>
  <w:style w:type="paragraph" w:customStyle="1" w:styleId="803">
    <w:name w:val="xl146"/>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04">
    <w:name w:val="xl147"/>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style>
  <w:style w:type="paragraph" w:customStyle="1" w:styleId="805">
    <w:name w:val="xl148"/>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style>
  <w:style w:type="paragraph" w:customStyle="1" w:styleId="806">
    <w:name w:val="xl149"/>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07">
    <w:name w:val="xl150"/>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style>
  <w:style w:type="paragraph" w:customStyle="1" w:styleId="808">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809">
    <w:name w:val="xl152"/>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10">
    <w:name w:val="xl153"/>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style>
  <w:style w:type="paragraph" w:customStyle="1" w:styleId="811">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12">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style>
  <w:style w:type="paragraph" w:customStyle="1" w:styleId="813">
    <w:name w:val="xl1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814">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815">
    <w:name w:val="xl158"/>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816">
    <w:name w:val="xl159"/>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817">
    <w:name w:val="xl160"/>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18">
    <w:name w:val="xl161"/>
    <w:basedOn w:val="1"/>
    <w:qFormat/>
    <w:uiPriority w:val="0"/>
    <w:pPr>
      <w:widowControl/>
      <w:pBdr>
        <w:right w:val="single" w:color="auto" w:sz="4" w:space="0"/>
      </w:pBdr>
      <w:spacing w:before="100" w:beforeAutospacing="1" w:after="100" w:afterAutospacing="1" w:line="240" w:lineRule="auto"/>
      <w:jc w:val="center"/>
      <w:textAlignment w:val="center"/>
    </w:pPr>
  </w:style>
  <w:style w:type="paragraph" w:customStyle="1" w:styleId="819">
    <w:name w:val="xl162"/>
    <w:basedOn w:val="1"/>
    <w:qFormat/>
    <w:uiPriority w:val="0"/>
    <w:pPr>
      <w:widowControl/>
      <w:pBdr>
        <w:bottom w:val="double" w:color="auto" w:sz="6" w:space="0"/>
      </w:pBdr>
      <w:spacing w:before="100" w:beforeAutospacing="1" w:after="100" w:afterAutospacing="1" w:line="240" w:lineRule="auto"/>
      <w:jc w:val="center"/>
      <w:textAlignment w:val="center"/>
    </w:pPr>
    <w:rPr>
      <w:sz w:val="21"/>
      <w:szCs w:val="21"/>
    </w:rPr>
  </w:style>
  <w:style w:type="paragraph" w:customStyle="1" w:styleId="820">
    <w:name w:val="xl163"/>
    <w:basedOn w:val="1"/>
    <w:qFormat/>
    <w:uiPriority w:val="0"/>
    <w:pPr>
      <w:widowControl/>
      <w:pBdr>
        <w:bottom w:val="double" w:color="auto" w:sz="6" w:space="0"/>
      </w:pBdr>
      <w:spacing w:before="100" w:beforeAutospacing="1" w:after="100" w:afterAutospacing="1" w:line="240" w:lineRule="auto"/>
      <w:jc w:val="center"/>
      <w:textAlignment w:val="center"/>
    </w:pPr>
    <w:rPr>
      <w:sz w:val="21"/>
      <w:szCs w:val="21"/>
    </w:rPr>
  </w:style>
  <w:style w:type="paragraph" w:customStyle="1" w:styleId="821">
    <w:name w:val="xl164"/>
    <w:basedOn w:val="1"/>
    <w:qFormat/>
    <w:uiPriority w:val="0"/>
    <w:pPr>
      <w:widowControl/>
      <w:pBdr>
        <w:bottom w:val="double" w:color="auto" w:sz="6"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822">
    <w:name w:val="xl16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sz w:val="21"/>
      <w:szCs w:val="21"/>
    </w:rPr>
  </w:style>
  <w:style w:type="paragraph" w:customStyle="1" w:styleId="823">
    <w:name w:val="xl166"/>
    <w:basedOn w:val="1"/>
    <w:qFormat/>
    <w:uiPriority w:val="0"/>
    <w:pPr>
      <w:widowControl/>
      <w:shd w:val="clear" w:color="000000" w:fill="FFFF00"/>
      <w:spacing w:before="100" w:beforeAutospacing="1" w:after="100" w:afterAutospacing="1" w:line="240" w:lineRule="auto"/>
      <w:jc w:val="center"/>
      <w:textAlignment w:val="center"/>
    </w:pPr>
    <w:rPr>
      <w:rFonts w:ascii="宋体" w:hAnsi="宋体" w:cs="宋体"/>
    </w:rPr>
  </w:style>
  <w:style w:type="paragraph" w:customStyle="1" w:styleId="824">
    <w:name w:val="xl167"/>
    <w:basedOn w:val="1"/>
    <w:qFormat/>
    <w:uiPriority w:val="0"/>
    <w:pPr>
      <w:widowControl/>
      <w:shd w:val="clear" w:color="000000" w:fill="FFFF00"/>
      <w:spacing w:before="100" w:beforeAutospacing="1" w:after="100" w:afterAutospacing="1" w:line="240" w:lineRule="auto"/>
      <w:jc w:val="center"/>
      <w:textAlignment w:val="center"/>
    </w:pPr>
  </w:style>
  <w:style w:type="paragraph" w:customStyle="1" w:styleId="825">
    <w:name w:val="xl168"/>
    <w:basedOn w:val="1"/>
    <w:qFormat/>
    <w:uiPriority w:val="0"/>
    <w:pPr>
      <w:widowControl/>
      <w:pBdr>
        <w:top w:val="single" w:color="auto" w:sz="4" w:space="0"/>
        <w:left w:val="single" w:color="auto" w:sz="4" w:space="0"/>
        <w:bottom w:val="double" w:color="auto" w:sz="6" w:space="0"/>
      </w:pBdr>
      <w:shd w:val="clear" w:color="000000" w:fill="FFFF00"/>
      <w:spacing w:before="100" w:beforeAutospacing="1" w:after="100" w:afterAutospacing="1" w:line="240" w:lineRule="auto"/>
      <w:jc w:val="center"/>
      <w:textAlignment w:val="center"/>
    </w:pPr>
    <w:rPr>
      <w:sz w:val="21"/>
      <w:szCs w:val="21"/>
    </w:rPr>
  </w:style>
  <w:style w:type="paragraph" w:customStyle="1" w:styleId="826">
    <w:name w:val="xl169"/>
    <w:basedOn w:val="1"/>
    <w:qFormat/>
    <w:uiPriority w:val="0"/>
    <w:pPr>
      <w:widowControl/>
      <w:pBdr>
        <w:left w:val="single" w:color="auto" w:sz="4" w:space="0"/>
        <w:bottom w:val="double" w:color="auto" w:sz="6" w:space="0"/>
      </w:pBdr>
      <w:shd w:val="clear" w:color="000000" w:fill="FFFF00"/>
      <w:spacing w:before="100" w:beforeAutospacing="1" w:after="100" w:afterAutospacing="1" w:line="240" w:lineRule="auto"/>
      <w:jc w:val="center"/>
      <w:textAlignment w:val="center"/>
    </w:pPr>
    <w:rPr>
      <w:sz w:val="21"/>
      <w:szCs w:val="21"/>
    </w:rPr>
  </w:style>
  <w:style w:type="paragraph" w:customStyle="1" w:styleId="827">
    <w:name w:val="xl170"/>
    <w:basedOn w:val="1"/>
    <w:qFormat/>
    <w:uiPriority w:val="0"/>
    <w:pPr>
      <w:widowControl/>
      <w:pBdr>
        <w:left w:val="single" w:color="auto" w:sz="4" w:space="0"/>
        <w:bottom w:val="double" w:color="auto" w:sz="6" w:space="0"/>
        <w:right w:val="single" w:color="auto" w:sz="4" w:space="0"/>
      </w:pBdr>
      <w:shd w:val="clear" w:color="000000" w:fill="FFFF00"/>
      <w:spacing w:before="100" w:beforeAutospacing="1" w:after="100" w:afterAutospacing="1" w:line="240" w:lineRule="auto"/>
      <w:jc w:val="center"/>
      <w:textAlignment w:val="center"/>
    </w:pPr>
    <w:rPr>
      <w:sz w:val="21"/>
      <w:szCs w:val="21"/>
    </w:rPr>
  </w:style>
  <w:style w:type="paragraph" w:customStyle="1" w:styleId="828">
    <w:name w:val="xl171"/>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829">
    <w:name w:val="xl172"/>
    <w:basedOn w:val="1"/>
    <w:qFormat/>
    <w:uiPriority w:val="0"/>
    <w:pPr>
      <w:widowControl/>
      <w:pBdr>
        <w:top w:val="single" w:color="auto" w:sz="4" w:space="0"/>
        <w:right w:val="single" w:color="auto" w:sz="4" w:space="0"/>
      </w:pBdr>
      <w:spacing w:before="100" w:beforeAutospacing="1" w:after="100" w:afterAutospacing="1" w:line="240" w:lineRule="auto"/>
      <w:jc w:val="center"/>
      <w:textAlignment w:val="center"/>
    </w:pPr>
    <w:rPr>
      <w:sz w:val="21"/>
      <w:szCs w:val="21"/>
    </w:rPr>
  </w:style>
  <w:style w:type="paragraph" w:customStyle="1" w:styleId="830">
    <w:name w:val="xl173"/>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style>
  <w:style w:type="paragraph" w:customStyle="1" w:styleId="831">
    <w:name w:val="xl174"/>
    <w:basedOn w:val="1"/>
    <w:qFormat/>
    <w:uiPriority w:val="0"/>
    <w:pPr>
      <w:widowControl/>
      <w:pBdr>
        <w:top w:val="double" w:color="auto" w:sz="6" w:space="0"/>
        <w:bottom w:val="double" w:color="auto" w:sz="6" w:space="0"/>
      </w:pBdr>
      <w:spacing w:before="100" w:beforeAutospacing="1" w:after="100" w:afterAutospacing="1" w:line="240" w:lineRule="auto"/>
      <w:jc w:val="center"/>
      <w:textAlignment w:val="center"/>
    </w:pPr>
  </w:style>
  <w:style w:type="paragraph" w:customStyle="1" w:styleId="832">
    <w:name w:val="xl175"/>
    <w:basedOn w:val="1"/>
    <w:qFormat/>
    <w:uiPriority w:val="0"/>
    <w:pPr>
      <w:widowControl/>
      <w:pBdr>
        <w:top w:val="single" w:color="auto" w:sz="4" w:space="0"/>
        <w:left w:val="single" w:color="auto" w:sz="4" w:space="0"/>
        <w:bottom w:val="double" w:color="auto" w:sz="6" w:space="0"/>
      </w:pBdr>
      <w:spacing w:before="100" w:beforeAutospacing="1" w:after="100" w:afterAutospacing="1" w:line="240" w:lineRule="auto"/>
      <w:jc w:val="center"/>
      <w:textAlignment w:val="center"/>
    </w:pPr>
    <w:rPr>
      <w:sz w:val="21"/>
      <w:szCs w:val="21"/>
    </w:rPr>
  </w:style>
  <w:style w:type="paragraph" w:customStyle="1" w:styleId="833">
    <w:name w:val="xl176"/>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sz w:val="21"/>
      <w:szCs w:val="21"/>
    </w:rPr>
  </w:style>
  <w:style w:type="paragraph" w:customStyle="1" w:styleId="834">
    <w:name w:val="xl177"/>
    <w:basedOn w:val="1"/>
    <w:qFormat/>
    <w:uiPriority w:val="0"/>
    <w:pPr>
      <w:widowControl/>
      <w:pBdr>
        <w:top w:val="single" w:color="auto" w:sz="4" w:space="0"/>
        <w:bottom w:val="single" w:color="auto" w:sz="4" w:space="0"/>
      </w:pBdr>
      <w:spacing w:before="100" w:beforeAutospacing="1" w:after="100" w:afterAutospacing="1" w:line="240" w:lineRule="auto"/>
      <w:jc w:val="center"/>
      <w:textAlignment w:val="center"/>
    </w:pPr>
    <w:rPr>
      <w:sz w:val="21"/>
      <w:szCs w:val="21"/>
    </w:rPr>
  </w:style>
  <w:style w:type="paragraph" w:customStyle="1" w:styleId="835">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36">
    <w:name w:val="xl179"/>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宋体" w:hAnsi="宋体" w:cs="宋体"/>
      <w:sz w:val="21"/>
      <w:szCs w:val="21"/>
    </w:rPr>
  </w:style>
  <w:style w:type="paragraph" w:customStyle="1" w:styleId="837">
    <w:name w:val="xl180"/>
    <w:basedOn w:val="1"/>
    <w:qFormat/>
    <w:uiPriority w:val="0"/>
    <w:pPr>
      <w:widowControl/>
      <w:pBdr>
        <w:left w:val="single" w:color="auto" w:sz="4" w:space="0"/>
        <w:bottom w:val="double" w:color="auto" w:sz="6"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38">
    <w:name w:val="xl181"/>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宋体" w:hAnsi="宋体" w:cs="宋体"/>
    </w:rPr>
  </w:style>
  <w:style w:type="paragraph" w:customStyle="1" w:styleId="839">
    <w:name w:val="xl182"/>
    <w:basedOn w:val="1"/>
    <w:qFormat/>
    <w:uiPriority w:val="0"/>
    <w:pPr>
      <w:widowControl/>
      <w:pBdr>
        <w:left w:val="single" w:color="auto" w:sz="4" w:space="0"/>
        <w:bottom w:val="double" w:color="auto" w:sz="6" w:space="0"/>
      </w:pBdr>
      <w:spacing w:before="100" w:beforeAutospacing="1" w:after="100" w:afterAutospacing="1" w:line="240" w:lineRule="auto"/>
      <w:jc w:val="center"/>
      <w:textAlignment w:val="center"/>
    </w:pPr>
    <w:rPr>
      <w:sz w:val="21"/>
      <w:szCs w:val="21"/>
    </w:rPr>
  </w:style>
  <w:style w:type="character" w:customStyle="1" w:styleId="840">
    <w:name w:val="注释标题 字符"/>
    <w:basedOn w:val="67"/>
    <w:link w:val="12"/>
    <w:qFormat/>
    <w:uiPriority w:val="0"/>
    <w:rPr>
      <w:rFonts w:ascii="宋体" w:hAnsi="宋体"/>
      <w:snapToGrid w:val="0"/>
      <w:sz w:val="28"/>
      <w:szCs w:val="24"/>
    </w:rPr>
  </w:style>
  <w:style w:type="character" w:customStyle="1" w:styleId="841">
    <w:name w:val="正文(首行缩进) Char1"/>
    <w:link w:val="842"/>
    <w:qFormat/>
    <w:uiPriority w:val="0"/>
    <w:rPr>
      <w:snapToGrid w:val="0"/>
      <w:color w:val="000000"/>
      <w:sz w:val="24"/>
      <w:szCs w:val="24"/>
    </w:rPr>
  </w:style>
  <w:style w:type="paragraph" w:customStyle="1" w:styleId="842">
    <w:name w:val="正文(首行缩进)"/>
    <w:basedOn w:val="1"/>
    <w:link w:val="841"/>
    <w:qFormat/>
    <w:uiPriority w:val="0"/>
    <w:pPr>
      <w:ind w:firstLine="540" w:firstLineChars="225"/>
    </w:pPr>
    <w:rPr>
      <w:snapToGrid w:val="0"/>
      <w:color w:val="000000"/>
    </w:rPr>
  </w:style>
  <w:style w:type="character" w:customStyle="1" w:styleId="843">
    <w:name w:val="表、图名 Char"/>
    <w:link w:val="844"/>
    <w:qFormat/>
    <w:uiPriority w:val="0"/>
    <w:rPr>
      <w:b/>
      <w:szCs w:val="21"/>
    </w:rPr>
  </w:style>
  <w:style w:type="paragraph" w:customStyle="1" w:styleId="844">
    <w:name w:val="表、图名"/>
    <w:basedOn w:val="1"/>
    <w:link w:val="843"/>
    <w:qFormat/>
    <w:uiPriority w:val="0"/>
    <w:pPr>
      <w:jc w:val="center"/>
    </w:pPr>
    <w:rPr>
      <w:b/>
      <w:sz w:val="20"/>
      <w:szCs w:val="21"/>
    </w:rPr>
  </w:style>
  <w:style w:type="character" w:customStyle="1" w:styleId="845">
    <w:name w:val="表格文字 Char"/>
    <w:link w:val="548"/>
    <w:qFormat/>
    <w:uiPriority w:val="0"/>
    <w:rPr>
      <w:kern w:val="2"/>
      <w:sz w:val="21"/>
      <w:szCs w:val="24"/>
    </w:rPr>
  </w:style>
  <w:style w:type="character" w:customStyle="1" w:styleId="846">
    <w:name w:val="hongse381"/>
    <w:qFormat/>
    <w:uiPriority w:val="0"/>
    <w:rPr>
      <w:sz w:val="19"/>
      <w:szCs w:val="19"/>
    </w:rPr>
  </w:style>
  <w:style w:type="character" w:customStyle="1" w:styleId="847">
    <w:name w:val="表头 Char2"/>
    <w:qFormat/>
    <w:uiPriority w:val="0"/>
    <w:rPr>
      <w:rFonts w:eastAsia="黑体"/>
      <w:spacing w:val="-10"/>
    </w:rPr>
  </w:style>
  <w:style w:type="character" w:customStyle="1" w:styleId="848">
    <w:name w:val="插图 Char"/>
    <w:link w:val="849"/>
    <w:qFormat/>
    <w:uiPriority w:val="0"/>
  </w:style>
  <w:style w:type="paragraph" w:customStyle="1" w:styleId="849">
    <w:name w:val="插图"/>
    <w:basedOn w:val="1"/>
    <w:link w:val="848"/>
    <w:qFormat/>
    <w:uiPriority w:val="0"/>
    <w:pPr>
      <w:widowControl/>
      <w:spacing w:line="240" w:lineRule="auto"/>
      <w:jc w:val="center"/>
    </w:pPr>
    <w:rPr>
      <w:sz w:val="20"/>
      <w:szCs w:val="20"/>
    </w:rPr>
  </w:style>
  <w:style w:type="character" w:customStyle="1" w:styleId="850">
    <w:name w:val="正文 Char"/>
    <w:qFormat/>
    <w:uiPriority w:val="0"/>
    <w:rPr>
      <w:rFonts w:eastAsia="宋体"/>
      <w:kern w:val="2"/>
      <w:sz w:val="24"/>
      <w:szCs w:val="28"/>
      <w:lang w:val="en-US" w:eastAsia="zh-CN" w:bidi="ar-SA"/>
    </w:rPr>
  </w:style>
  <w:style w:type="character" w:customStyle="1" w:styleId="851">
    <w:name w:val="表头1 Char"/>
    <w:link w:val="852"/>
    <w:qFormat/>
    <w:uiPriority w:val="0"/>
    <w:rPr>
      <w:rFonts w:eastAsia="黑体"/>
      <w:szCs w:val="21"/>
    </w:rPr>
  </w:style>
  <w:style w:type="paragraph" w:customStyle="1" w:styleId="852">
    <w:name w:val="表头1"/>
    <w:basedOn w:val="1"/>
    <w:next w:val="1"/>
    <w:link w:val="851"/>
    <w:qFormat/>
    <w:uiPriority w:val="0"/>
    <w:pPr>
      <w:tabs>
        <w:tab w:val="left" w:pos="605"/>
      </w:tabs>
      <w:adjustRightInd w:val="0"/>
      <w:snapToGrid w:val="0"/>
      <w:spacing w:line="240" w:lineRule="auto"/>
      <w:jc w:val="center"/>
    </w:pPr>
    <w:rPr>
      <w:rFonts w:eastAsia="黑体"/>
      <w:sz w:val="20"/>
      <w:szCs w:val="21"/>
    </w:rPr>
  </w:style>
  <w:style w:type="character" w:customStyle="1" w:styleId="853">
    <w:name w:val="Ò³Ã¼ Char Char"/>
    <w:qFormat/>
    <w:uiPriority w:val="0"/>
    <w:rPr>
      <w:rFonts w:eastAsia="宋体"/>
      <w:kern w:val="2"/>
      <w:sz w:val="18"/>
      <w:szCs w:val="18"/>
      <w:lang w:val="en-US" w:eastAsia="zh-CN" w:bidi="ar-SA"/>
    </w:rPr>
  </w:style>
  <w:style w:type="character" w:customStyle="1" w:styleId="854">
    <w:name w:val="正文(首行缩进) Char"/>
    <w:qFormat/>
    <w:uiPriority w:val="0"/>
    <w:rPr>
      <w:rFonts w:eastAsia="宋体"/>
      <w:snapToGrid w:val="0"/>
      <w:color w:val="000000"/>
      <w:sz w:val="24"/>
      <w:szCs w:val="24"/>
      <w:lang w:val="en-US" w:eastAsia="zh-CN" w:bidi="ar-SA"/>
    </w:rPr>
  </w:style>
  <w:style w:type="character" w:customStyle="1" w:styleId="855">
    <w:name w:val="标准正文 Char Char"/>
    <w:qFormat/>
    <w:uiPriority w:val="0"/>
    <w:rPr>
      <w:rFonts w:eastAsia="宋体"/>
      <w:sz w:val="28"/>
      <w:szCs w:val="28"/>
    </w:rPr>
  </w:style>
  <w:style w:type="character" w:customStyle="1" w:styleId="856">
    <w:name w:val="标准正文 Char Char Char Char"/>
    <w:link w:val="857"/>
    <w:qFormat/>
    <w:uiPriority w:val="0"/>
    <w:rPr>
      <w:rFonts w:cs="宋体"/>
      <w:sz w:val="28"/>
      <w:szCs w:val="28"/>
    </w:rPr>
  </w:style>
  <w:style w:type="paragraph" w:customStyle="1" w:styleId="857">
    <w:name w:val="标准正文 Char Char Char"/>
    <w:basedOn w:val="1"/>
    <w:link w:val="856"/>
    <w:qFormat/>
    <w:uiPriority w:val="0"/>
    <w:pPr>
      <w:spacing w:line="240" w:lineRule="auto"/>
      <w:ind w:firstLine="200" w:firstLineChars="200"/>
      <w:jc w:val="left"/>
    </w:pPr>
    <w:rPr>
      <w:rFonts w:cs="宋体"/>
      <w:sz w:val="28"/>
      <w:szCs w:val="28"/>
    </w:rPr>
  </w:style>
  <w:style w:type="character" w:customStyle="1" w:styleId="858">
    <w:name w:val="表体 Char"/>
    <w:link w:val="859"/>
    <w:qFormat/>
    <w:uiPriority w:val="0"/>
    <w:rPr>
      <w:rFonts w:eastAsia="仿宋_GB2312"/>
    </w:rPr>
  </w:style>
  <w:style w:type="paragraph" w:customStyle="1" w:styleId="859">
    <w:name w:val="表体"/>
    <w:basedOn w:val="1"/>
    <w:link w:val="858"/>
    <w:qFormat/>
    <w:uiPriority w:val="0"/>
    <w:pPr>
      <w:widowControl/>
      <w:snapToGrid w:val="0"/>
      <w:spacing w:line="240" w:lineRule="atLeast"/>
      <w:jc w:val="center"/>
    </w:pPr>
    <w:rPr>
      <w:rFonts w:eastAsia="仿宋_GB2312"/>
      <w:sz w:val="20"/>
      <w:szCs w:val="20"/>
    </w:rPr>
  </w:style>
  <w:style w:type="character" w:customStyle="1" w:styleId="860">
    <w:name w:val="表格 Char Char"/>
    <w:link w:val="861"/>
    <w:qFormat/>
    <w:uiPriority w:val="0"/>
    <w:rPr>
      <w:rFonts w:eastAsia="仿宋_GB2312"/>
      <w:snapToGrid w:val="0"/>
      <w:sz w:val="24"/>
      <w:szCs w:val="24"/>
    </w:rPr>
  </w:style>
  <w:style w:type="paragraph" w:customStyle="1" w:styleId="861">
    <w:name w:val="表格 Char"/>
    <w:basedOn w:val="1"/>
    <w:link w:val="860"/>
    <w:qFormat/>
    <w:uiPriority w:val="0"/>
    <w:pPr>
      <w:adjustRightInd w:val="0"/>
      <w:snapToGrid w:val="0"/>
      <w:spacing w:line="240" w:lineRule="auto"/>
      <w:jc w:val="center"/>
    </w:pPr>
    <w:rPr>
      <w:rFonts w:eastAsia="仿宋_GB2312"/>
      <w:snapToGrid w:val="0"/>
    </w:rPr>
  </w:style>
  <w:style w:type="character" w:customStyle="1" w:styleId="862">
    <w:name w:val="正缩1 Char"/>
    <w:link w:val="863"/>
    <w:qFormat/>
    <w:uiPriority w:val="0"/>
    <w:rPr>
      <w:rFonts w:eastAsia="仿宋_GB2312"/>
      <w:snapToGrid w:val="0"/>
      <w:color w:val="000000"/>
      <w:sz w:val="28"/>
    </w:rPr>
  </w:style>
  <w:style w:type="paragraph" w:customStyle="1" w:styleId="863">
    <w:name w:val="正缩1"/>
    <w:basedOn w:val="1"/>
    <w:link w:val="862"/>
    <w:qFormat/>
    <w:uiPriority w:val="0"/>
    <w:pPr>
      <w:adjustRightInd w:val="0"/>
      <w:snapToGrid w:val="0"/>
      <w:spacing w:line="500" w:lineRule="exact"/>
      <w:ind w:firstLine="567"/>
    </w:pPr>
    <w:rPr>
      <w:rFonts w:eastAsia="仿宋_GB2312"/>
      <w:snapToGrid w:val="0"/>
      <w:color w:val="000000"/>
      <w:sz w:val="28"/>
      <w:szCs w:val="20"/>
    </w:rPr>
  </w:style>
  <w:style w:type="character" w:customStyle="1" w:styleId="864">
    <w:name w:val="报告 Char"/>
    <w:link w:val="478"/>
    <w:qFormat/>
    <w:uiPriority w:val="0"/>
    <w:rPr>
      <w:rFonts w:ascii="TimesNewRoman" w:hAnsi="TimesNewRoman"/>
      <w:sz w:val="24"/>
    </w:rPr>
  </w:style>
  <w:style w:type="character" w:customStyle="1" w:styleId="865">
    <w:name w:val="bt_content1"/>
    <w:qFormat/>
    <w:uiPriority w:val="0"/>
    <w:rPr>
      <w:sz w:val="21"/>
      <w:szCs w:val="21"/>
      <w:u w:val="none"/>
    </w:rPr>
  </w:style>
  <w:style w:type="character" w:customStyle="1" w:styleId="866">
    <w:name w:val="px14"/>
    <w:qFormat/>
    <w:uiPriority w:val="0"/>
  </w:style>
  <w:style w:type="character" w:customStyle="1" w:styleId="867">
    <w:name w:val="grame"/>
    <w:qFormat/>
    <w:uiPriority w:val="0"/>
  </w:style>
  <w:style w:type="character" w:customStyle="1" w:styleId="868">
    <w:name w:val="at_2"/>
    <w:qFormat/>
    <w:uiPriority w:val="0"/>
  </w:style>
  <w:style w:type="character" w:customStyle="1" w:styleId="869">
    <w:name w:val="超链接1"/>
    <w:qFormat/>
    <w:uiPriority w:val="0"/>
    <w:rPr>
      <w:rFonts w:hint="default" w:ascii="ˎ̥" w:hAnsi="ˎ̥"/>
      <w:color w:val="333333"/>
      <w:sz w:val="21"/>
      <w:szCs w:val="21"/>
      <w:u w:val="none"/>
    </w:rPr>
  </w:style>
  <w:style w:type="character" w:customStyle="1" w:styleId="870">
    <w:name w:val="td3"/>
    <w:qFormat/>
    <w:uiPriority w:val="0"/>
  </w:style>
  <w:style w:type="character" w:customStyle="1" w:styleId="871">
    <w:name w:val="duanluo2"/>
    <w:qFormat/>
    <w:uiPriority w:val="0"/>
    <w:rPr>
      <w:rFonts w:hint="default" w:ascii="_GB2312" w:hAnsi="_GB2312"/>
      <w:color w:val="000000"/>
      <w:spacing w:val="432"/>
      <w:sz w:val="21"/>
      <w:szCs w:val="21"/>
    </w:rPr>
  </w:style>
  <w:style w:type="character" w:customStyle="1" w:styleId="872">
    <w:name w:val="s021"/>
    <w:qFormat/>
    <w:uiPriority w:val="0"/>
    <w:rPr>
      <w:color w:val="000000"/>
    </w:rPr>
  </w:style>
  <w:style w:type="character" w:customStyle="1" w:styleId="873">
    <w:name w:val="小标题样式"/>
    <w:qFormat/>
    <w:uiPriority w:val="0"/>
    <w:rPr>
      <w:rFonts w:ascii="Times New Roman" w:hAnsi="Times New Roman" w:eastAsia="宋体"/>
      <w:kern w:val="2"/>
      <w:sz w:val="28"/>
      <w:szCs w:val="28"/>
      <w:lang w:val="en-US" w:eastAsia="zh-CN" w:bidi="ar-SA"/>
    </w:rPr>
  </w:style>
  <w:style w:type="character" w:customStyle="1" w:styleId="874">
    <w:name w:val="表格小四 Char"/>
    <w:link w:val="875"/>
    <w:qFormat/>
    <w:uiPriority w:val="0"/>
    <w:rPr>
      <w:sz w:val="24"/>
    </w:rPr>
  </w:style>
  <w:style w:type="paragraph" w:customStyle="1" w:styleId="875">
    <w:name w:val="表格小四"/>
    <w:basedOn w:val="1"/>
    <w:link w:val="874"/>
    <w:qFormat/>
    <w:uiPriority w:val="0"/>
    <w:pPr>
      <w:spacing w:beforeLines="30" w:afterLines="20" w:line="240" w:lineRule="auto"/>
      <w:jc w:val="center"/>
    </w:pPr>
    <w:rPr>
      <w:szCs w:val="20"/>
    </w:rPr>
  </w:style>
  <w:style w:type="character" w:customStyle="1" w:styleId="876">
    <w:name w:val="黑点 Char"/>
    <w:link w:val="877"/>
    <w:qFormat/>
    <w:uiPriority w:val="0"/>
    <w:rPr>
      <w:rFonts w:ascii="宋体" w:hAnsi="宋体"/>
      <w:color w:val="000000"/>
      <w:sz w:val="24"/>
    </w:rPr>
  </w:style>
  <w:style w:type="paragraph" w:customStyle="1" w:styleId="877">
    <w:name w:val="黑点"/>
    <w:basedOn w:val="1"/>
    <w:link w:val="876"/>
    <w:qFormat/>
    <w:uiPriority w:val="0"/>
    <w:pPr>
      <w:tabs>
        <w:tab w:val="left" w:pos="600"/>
        <w:tab w:val="left" w:pos="2100"/>
      </w:tabs>
      <w:adjustRightInd w:val="0"/>
      <w:ind w:left="2100" w:hanging="420"/>
      <w:jc w:val="left"/>
      <w:textAlignment w:val="baseline"/>
    </w:pPr>
    <w:rPr>
      <w:rFonts w:ascii="宋体" w:hAnsi="宋体"/>
      <w:color w:val="000000"/>
      <w:szCs w:val="20"/>
    </w:rPr>
  </w:style>
  <w:style w:type="character" w:customStyle="1" w:styleId="878">
    <w:name w:val="样式 正文文本 + 红色 Char Char Char Char"/>
    <w:link w:val="879"/>
    <w:qFormat/>
    <w:uiPriority w:val="0"/>
    <w:rPr>
      <w:rFonts w:eastAsia="仿宋_GB2312"/>
      <w:snapToGrid w:val="0"/>
      <w:color w:val="FF0000"/>
      <w:sz w:val="24"/>
      <w:szCs w:val="24"/>
    </w:rPr>
  </w:style>
  <w:style w:type="paragraph" w:customStyle="1" w:styleId="879">
    <w:name w:val="样式 正文文本 + 红色 Char Char Char"/>
    <w:basedOn w:val="1"/>
    <w:link w:val="878"/>
    <w:qFormat/>
    <w:uiPriority w:val="0"/>
    <w:pPr>
      <w:adjustRightInd w:val="0"/>
      <w:snapToGrid w:val="0"/>
      <w:spacing w:before="60" w:after="60" w:line="264" w:lineRule="auto"/>
      <w:ind w:firstLine="200" w:firstLineChars="200"/>
      <w:textAlignment w:val="baseline"/>
    </w:pPr>
    <w:rPr>
      <w:rFonts w:eastAsia="仿宋_GB2312"/>
      <w:snapToGrid w:val="0"/>
      <w:color w:val="FF0000"/>
    </w:rPr>
  </w:style>
  <w:style w:type="paragraph" w:customStyle="1" w:styleId="880">
    <w:name w:val="表文字"/>
    <w:basedOn w:val="1"/>
    <w:qFormat/>
    <w:uiPriority w:val="0"/>
    <w:pPr>
      <w:topLinePunct/>
      <w:adjustRightInd w:val="0"/>
      <w:spacing w:line="240" w:lineRule="exact"/>
      <w:jc w:val="center"/>
      <w:textAlignment w:val="baseline"/>
    </w:pPr>
    <w:rPr>
      <w:kern w:val="2"/>
      <w:sz w:val="21"/>
      <w:szCs w:val="21"/>
    </w:rPr>
  </w:style>
  <w:style w:type="paragraph" w:customStyle="1" w:styleId="881">
    <w:name w:val="样式7"/>
    <w:basedOn w:val="3"/>
    <w:qFormat/>
    <w:uiPriority w:val="0"/>
    <w:pPr>
      <w:tabs>
        <w:tab w:val="left" w:pos="576"/>
        <w:tab w:val="left" w:pos="860"/>
      </w:tabs>
      <w:spacing w:before="260" w:beforeLines="30" w:after="260" w:afterLines="30"/>
      <w:ind w:left="794"/>
    </w:pPr>
    <w:rPr>
      <w:rFonts w:ascii="Times New Roman" w:hAnsi="Times New Roman" w:eastAsia="黑体" w:cs="Times New Roman"/>
      <w:color w:val="auto"/>
      <w:kern w:val="2"/>
      <w:sz w:val="28"/>
      <w:szCs w:val="24"/>
    </w:rPr>
  </w:style>
  <w:style w:type="paragraph" w:customStyle="1" w:styleId="882">
    <w:name w:val="1正文段落"/>
    <w:basedOn w:val="1"/>
    <w:qFormat/>
    <w:uiPriority w:val="0"/>
    <w:pPr>
      <w:spacing w:line="240" w:lineRule="auto"/>
      <w:ind w:firstLine="480" w:firstLineChars="200"/>
      <w:jc w:val="left"/>
    </w:pPr>
    <w:rPr>
      <w:snapToGrid w:val="0"/>
      <w:sz w:val="21"/>
    </w:rPr>
  </w:style>
  <w:style w:type="paragraph" w:customStyle="1" w:styleId="883">
    <w:name w:val="段落1"/>
    <w:basedOn w:val="1"/>
    <w:qFormat/>
    <w:uiPriority w:val="0"/>
    <w:pPr>
      <w:spacing w:line="480" w:lineRule="exact"/>
      <w:ind w:firstLine="584" w:firstLineChars="200"/>
    </w:pPr>
    <w:rPr>
      <w:spacing w:val="6"/>
      <w:kern w:val="2"/>
      <w:sz w:val="28"/>
    </w:rPr>
  </w:style>
  <w:style w:type="paragraph" w:customStyle="1" w:styleId="884">
    <w:name w:val="表左"/>
    <w:basedOn w:val="1"/>
    <w:next w:val="1"/>
    <w:qFormat/>
    <w:uiPriority w:val="0"/>
    <w:pPr>
      <w:adjustRightInd w:val="0"/>
      <w:spacing w:line="240" w:lineRule="auto"/>
      <w:jc w:val="center"/>
      <w:textAlignment w:val="baseline"/>
    </w:pPr>
    <w:rPr>
      <w:rFonts w:ascii="仿宋_GB2312" w:eastAsia="仿宋_GB2312"/>
      <w:color w:val="000000"/>
      <w:kern w:val="2"/>
      <w:sz w:val="21"/>
      <w:szCs w:val="21"/>
    </w:rPr>
  </w:style>
  <w:style w:type="paragraph" w:customStyle="1" w:styleId="885">
    <w:name w:val="报告表格"/>
    <w:basedOn w:val="1"/>
    <w:next w:val="886"/>
    <w:qFormat/>
    <w:uiPriority w:val="0"/>
    <w:pPr>
      <w:autoSpaceDE w:val="0"/>
      <w:autoSpaceDN w:val="0"/>
      <w:adjustRightInd w:val="0"/>
      <w:spacing w:line="318" w:lineRule="atLeast"/>
      <w:jc w:val="center"/>
      <w:textAlignment w:val="bottom"/>
    </w:pPr>
    <w:rPr>
      <w:szCs w:val="20"/>
    </w:rPr>
  </w:style>
  <w:style w:type="paragraph" w:customStyle="1" w:styleId="886">
    <w:name w:val="报告书"/>
    <w:basedOn w:val="1"/>
    <w:link w:val="887"/>
    <w:qFormat/>
    <w:uiPriority w:val="0"/>
    <w:pPr>
      <w:autoSpaceDE w:val="0"/>
      <w:autoSpaceDN w:val="0"/>
      <w:adjustRightInd w:val="0"/>
      <w:ind w:firstLine="505"/>
      <w:jc w:val="left"/>
      <w:textAlignment w:val="bottom"/>
    </w:pPr>
    <w:rPr>
      <w:szCs w:val="20"/>
    </w:rPr>
  </w:style>
  <w:style w:type="character" w:customStyle="1" w:styleId="887">
    <w:name w:val="报告书 Char"/>
    <w:link w:val="886"/>
    <w:qFormat/>
    <w:uiPriority w:val="0"/>
    <w:rPr>
      <w:sz w:val="24"/>
    </w:rPr>
  </w:style>
  <w:style w:type="paragraph" w:customStyle="1" w:styleId="888">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889">
    <w:name w:val="xl23"/>
    <w:basedOn w:val="1"/>
    <w:qFormat/>
    <w:uiPriority w:val="0"/>
    <w:pPr>
      <w:widowControl/>
      <w:pBdr>
        <w:left w:val="single" w:color="auto" w:sz="4" w:space="0"/>
        <w:right w:val="single" w:color="auto" w:sz="4" w:space="0"/>
      </w:pBdr>
      <w:spacing w:before="100" w:beforeAutospacing="1" w:after="100" w:afterAutospacing="1" w:line="240" w:lineRule="auto"/>
      <w:jc w:val="center"/>
    </w:pPr>
    <w:rPr>
      <w:rFonts w:ascii="Arial Unicode MS" w:hAnsi="Arial Unicode MS" w:eastAsia="Arial Unicode MS" w:cs="Arial Unicode MS"/>
      <w:sz w:val="21"/>
      <w:szCs w:val="21"/>
    </w:rPr>
  </w:style>
  <w:style w:type="paragraph" w:customStyle="1" w:styleId="890">
    <w:name w:val="样式 标题 3H3条标题1.1.11.1.1标题 3H31H32H33u3标题 3 Char Char Char...1"/>
    <w:basedOn w:val="4"/>
    <w:qFormat/>
    <w:uiPriority w:val="0"/>
    <w:pPr>
      <w:widowControl/>
      <w:tabs>
        <w:tab w:val="left" w:pos="720"/>
        <w:tab w:val="left" w:pos="2280"/>
      </w:tabs>
      <w:spacing w:before="0" w:after="0"/>
      <w:ind w:left="1740"/>
      <w:jc w:val="left"/>
    </w:pPr>
    <w:rPr>
      <w:rFonts w:ascii="Times New Roman" w:hAnsi="Times New Roman" w:eastAsia="宋体" w:cs="Times New Roman"/>
      <w:b/>
      <w:bCs/>
      <w:color w:val="auto"/>
      <w:kern w:val="28"/>
      <w:sz w:val="24"/>
      <w:szCs w:val="24"/>
    </w:rPr>
  </w:style>
  <w:style w:type="paragraph" w:customStyle="1" w:styleId="891">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892">
    <w:name w:val="xl4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pPr>
    <w:rPr>
      <w:rFonts w:ascii="宋体" w:hAnsi="宋体"/>
      <w:color w:val="000000"/>
      <w:sz w:val="48"/>
      <w:szCs w:val="48"/>
    </w:rPr>
  </w:style>
  <w:style w:type="paragraph" w:customStyle="1" w:styleId="893">
    <w:name w:val="xl4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pPr>
    <w:rPr>
      <w:rFonts w:ascii="宋体" w:hAnsi="宋体"/>
      <w:color w:val="000000"/>
      <w:sz w:val="48"/>
      <w:szCs w:val="48"/>
    </w:rPr>
  </w:style>
  <w:style w:type="paragraph" w:customStyle="1" w:styleId="894">
    <w:name w:val="xl4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jc w:val="left"/>
    </w:pPr>
    <w:rPr>
      <w:rFonts w:ascii="宋体" w:hAnsi="宋体"/>
      <w:color w:val="000000"/>
      <w:sz w:val="48"/>
      <w:szCs w:val="48"/>
    </w:rPr>
  </w:style>
  <w:style w:type="paragraph" w:customStyle="1" w:styleId="895">
    <w:name w:val="xl4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line="240" w:lineRule="auto"/>
      <w:jc w:val="center"/>
    </w:pPr>
    <w:rPr>
      <w:color w:val="000000"/>
      <w:sz w:val="48"/>
      <w:szCs w:val="48"/>
    </w:rPr>
  </w:style>
  <w:style w:type="paragraph" w:customStyle="1" w:styleId="896">
    <w:name w:val="xl44"/>
    <w:basedOn w:val="1"/>
    <w:qFormat/>
    <w:uiPriority w:val="0"/>
    <w:pPr>
      <w:widowControl/>
      <w:pBdr>
        <w:left w:val="single" w:color="auto" w:sz="8" w:space="0"/>
        <w:bottom w:val="single" w:color="auto" w:sz="4" w:space="0"/>
        <w:right w:val="single" w:color="auto" w:sz="4" w:space="0"/>
      </w:pBdr>
      <w:spacing w:before="100" w:beforeAutospacing="1" w:after="100" w:afterAutospacing="1" w:line="240" w:lineRule="auto"/>
      <w:jc w:val="center"/>
    </w:pPr>
    <w:rPr>
      <w:color w:val="000000"/>
      <w:sz w:val="48"/>
      <w:szCs w:val="48"/>
    </w:rPr>
  </w:style>
  <w:style w:type="paragraph" w:customStyle="1" w:styleId="897">
    <w:name w:val="xl4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color w:val="000000"/>
      <w:sz w:val="48"/>
      <w:szCs w:val="48"/>
    </w:rPr>
  </w:style>
  <w:style w:type="paragraph" w:customStyle="1" w:styleId="898">
    <w:name w:val="xl46"/>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olor w:val="000000"/>
      <w:sz w:val="48"/>
      <w:szCs w:val="48"/>
    </w:rPr>
  </w:style>
  <w:style w:type="paragraph" w:customStyle="1" w:styleId="899">
    <w:name w:val="xl47"/>
    <w:basedOn w:val="1"/>
    <w:qFormat/>
    <w:uiPriority w:val="0"/>
    <w:pPr>
      <w:widowControl/>
      <w:pBdr>
        <w:left w:val="single" w:color="auto" w:sz="4" w:space="0"/>
        <w:bottom w:val="single" w:color="auto" w:sz="4" w:space="0"/>
        <w:right w:val="single" w:color="auto" w:sz="8" w:space="0"/>
      </w:pBdr>
      <w:spacing w:before="100" w:beforeAutospacing="1" w:after="100" w:afterAutospacing="1" w:line="240" w:lineRule="auto"/>
      <w:jc w:val="center"/>
    </w:pPr>
    <w:rPr>
      <w:rFonts w:ascii="宋体" w:hAnsi="宋体"/>
      <w:color w:val="000000"/>
      <w:sz w:val="48"/>
      <w:szCs w:val="48"/>
    </w:rPr>
  </w:style>
  <w:style w:type="paragraph" w:customStyle="1" w:styleId="900">
    <w:name w:val="xl4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olor w:val="000000"/>
      <w:sz w:val="48"/>
      <w:szCs w:val="48"/>
    </w:rPr>
  </w:style>
  <w:style w:type="paragraph" w:customStyle="1" w:styleId="90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olor w:val="000000"/>
      <w:sz w:val="48"/>
      <w:szCs w:val="48"/>
    </w:rPr>
  </w:style>
  <w:style w:type="paragraph" w:customStyle="1" w:styleId="902">
    <w:name w:val="xl5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jc w:val="left"/>
      <w:textAlignment w:val="center"/>
    </w:pPr>
    <w:rPr>
      <w:rFonts w:ascii="宋体" w:hAnsi="宋体"/>
      <w:color w:val="000000"/>
      <w:sz w:val="36"/>
      <w:szCs w:val="36"/>
    </w:rPr>
  </w:style>
  <w:style w:type="paragraph" w:customStyle="1" w:styleId="9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olor w:val="000000"/>
      <w:sz w:val="48"/>
      <w:szCs w:val="48"/>
    </w:rPr>
  </w:style>
  <w:style w:type="paragraph" w:customStyle="1" w:styleId="90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color w:val="000000"/>
      <w:sz w:val="48"/>
      <w:szCs w:val="48"/>
    </w:rPr>
  </w:style>
  <w:style w:type="paragraph" w:customStyle="1" w:styleId="905">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olor w:val="000000"/>
      <w:sz w:val="48"/>
      <w:szCs w:val="48"/>
    </w:rPr>
  </w:style>
  <w:style w:type="paragraph" w:customStyle="1" w:styleId="906">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color w:val="000000"/>
      <w:sz w:val="48"/>
      <w:szCs w:val="48"/>
    </w:rPr>
  </w:style>
  <w:style w:type="paragraph" w:customStyle="1" w:styleId="907">
    <w:name w:val="xl52"/>
    <w:basedOn w:val="1"/>
    <w:qFormat/>
    <w:uiPriority w:val="0"/>
    <w:pPr>
      <w:widowControl/>
      <w:spacing w:before="100" w:beforeAutospacing="1" w:after="100" w:afterAutospacing="1" w:line="240" w:lineRule="auto"/>
      <w:jc w:val="center"/>
    </w:pPr>
    <w:rPr>
      <w:rFonts w:ascii="宋体" w:hAnsi="宋体"/>
      <w:color w:val="000000"/>
      <w:sz w:val="48"/>
      <w:szCs w:val="48"/>
    </w:rPr>
  </w:style>
  <w:style w:type="paragraph" w:customStyle="1" w:styleId="908">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olor w:val="000000"/>
      <w:sz w:val="48"/>
      <w:szCs w:val="48"/>
    </w:rPr>
  </w:style>
  <w:style w:type="paragraph" w:customStyle="1" w:styleId="909">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olor w:val="000000"/>
      <w:sz w:val="48"/>
      <w:szCs w:val="48"/>
    </w:rPr>
  </w:style>
  <w:style w:type="paragraph" w:customStyle="1" w:styleId="910">
    <w:name w:val="xl60"/>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color w:val="000000"/>
      <w:sz w:val="48"/>
      <w:szCs w:val="48"/>
    </w:rPr>
  </w:style>
  <w:style w:type="paragraph" w:customStyle="1" w:styleId="911">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olor w:val="000000"/>
      <w:sz w:val="48"/>
      <w:szCs w:val="48"/>
    </w:rPr>
  </w:style>
  <w:style w:type="paragraph" w:customStyle="1" w:styleId="912">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olor w:val="000000"/>
      <w:sz w:val="48"/>
      <w:szCs w:val="48"/>
    </w:rPr>
  </w:style>
  <w:style w:type="paragraph" w:customStyle="1" w:styleId="913">
    <w:name w:val="xl58"/>
    <w:basedOn w:val="1"/>
    <w:qFormat/>
    <w:uiPriority w:val="0"/>
    <w:pPr>
      <w:widowControl/>
      <w:spacing w:before="100" w:beforeAutospacing="1" w:after="100" w:afterAutospacing="1" w:line="240" w:lineRule="auto"/>
      <w:jc w:val="left"/>
    </w:pPr>
    <w:rPr>
      <w:rFonts w:ascii="宋体" w:hAnsi="宋体"/>
      <w:color w:val="000000"/>
      <w:sz w:val="48"/>
      <w:szCs w:val="48"/>
    </w:rPr>
  </w:style>
  <w:style w:type="paragraph" w:customStyle="1" w:styleId="914">
    <w:name w:val="s02"/>
    <w:basedOn w:val="1"/>
    <w:qFormat/>
    <w:uiPriority w:val="0"/>
    <w:pPr>
      <w:widowControl/>
      <w:spacing w:before="100" w:beforeAutospacing="1" w:after="100" w:afterAutospacing="1"/>
      <w:jc w:val="left"/>
    </w:pPr>
    <w:rPr>
      <w:rFonts w:ascii="宋体" w:hAnsi="宋体" w:cs="宋体"/>
      <w:color w:val="000000"/>
      <w:sz w:val="16"/>
      <w:szCs w:val="16"/>
    </w:rPr>
  </w:style>
  <w:style w:type="paragraph" w:customStyle="1" w:styleId="915">
    <w:name w:val="正文 + 宋体"/>
    <w:basedOn w:val="1"/>
    <w:qFormat/>
    <w:uiPriority w:val="0"/>
    <w:pPr>
      <w:spacing w:line="600" w:lineRule="exact"/>
    </w:pPr>
    <w:rPr>
      <w:rFonts w:ascii="宋体" w:hAnsi="宋体"/>
      <w:bCs/>
      <w:kern w:val="2"/>
    </w:rPr>
  </w:style>
  <w:style w:type="paragraph" w:customStyle="1" w:styleId="916">
    <w:name w:val="Char Char11"/>
    <w:basedOn w:val="1"/>
    <w:qFormat/>
    <w:uiPriority w:val="0"/>
    <w:pPr>
      <w:widowControl/>
      <w:spacing w:before="100" w:beforeAutospacing="1" w:after="100" w:afterAutospacing="1" w:line="240" w:lineRule="auto"/>
      <w:ind w:firstLine="200" w:firstLineChars="200"/>
      <w:jc w:val="left"/>
    </w:pPr>
    <w:rPr>
      <w:rFonts w:ascii="Verdana" w:hAnsi="Verdana" w:eastAsia="仿宋_GB2312"/>
      <w:sz w:val="20"/>
      <w:szCs w:val="21"/>
      <w:lang w:eastAsia="en-US"/>
    </w:rPr>
  </w:style>
  <w:style w:type="paragraph" w:customStyle="1" w:styleId="917">
    <w:name w:val="蒲表头"/>
    <w:basedOn w:val="1"/>
    <w:qFormat/>
    <w:uiPriority w:val="0"/>
    <w:pPr>
      <w:spacing w:line="480" w:lineRule="exact"/>
      <w:jc w:val="center"/>
    </w:pPr>
    <w:rPr>
      <w:rFonts w:hAnsi="宋体"/>
      <w:b/>
      <w:kern w:val="2"/>
      <w:sz w:val="21"/>
      <w:szCs w:val="21"/>
    </w:rPr>
  </w:style>
  <w:style w:type="paragraph" w:customStyle="1" w:styleId="918">
    <w:name w:val="表内5"/>
    <w:basedOn w:val="1"/>
    <w:qFormat/>
    <w:uiPriority w:val="0"/>
    <w:pPr>
      <w:adjustRightInd w:val="0"/>
      <w:snapToGrid w:val="0"/>
      <w:spacing w:line="300" w:lineRule="auto"/>
      <w:jc w:val="left"/>
    </w:pPr>
    <w:rPr>
      <w:rFonts w:ascii="宋体"/>
      <w:kern w:val="2"/>
      <w:sz w:val="21"/>
      <w:szCs w:val="20"/>
    </w:rPr>
  </w:style>
  <w:style w:type="paragraph" w:customStyle="1" w:styleId="919">
    <w:name w:val="8"/>
    <w:basedOn w:val="1"/>
    <w:qFormat/>
    <w:uiPriority w:val="0"/>
    <w:pPr>
      <w:adjustRightInd w:val="0"/>
      <w:spacing w:before="60" w:line="240" w:lineRule="auto"/>
      <w:ind w:firstLine="480"/>
      <w:textAlignment w:val="baseline"/>
    </w:pPr>
    <w:rPr>
      <w:color w:val="FF0000"/>
      <w:kern w:val="2"/>
      <w:szCs w:val="20"/>
    </w:rPr>
  </w:style>
  <w:style w:type="paragraph" w:customStyle="1" w:styleId="920">
    <w:name w:val="1 Char Char Char Char"/>
    <w:basedOn w:val="1"/>
    <w:qFormat/>
    <w:uiPriority w:val="0"/>
    <w:pPr>
      <w:widowControl/>
      <w:spacing w:after="160" w:line="240" w:lineRule="exact"/>
      <w:jc w:val="left"/>
    </w:pPr>
    <w:rPr>
      <w:rFonts w:ascii="Verdana" w:hAnsi="Verdana" w:cs="宋体"/>
      <w:sz w:val="20"/>
      <w:szCs w:val="20"/>
      <w:lang w:eastAsia="en-US"/>
    </w:rPr>
  </w:style>
  <w:style w:type="paragraph" w:customStyle="1" w:styleId="921">
    <w:name w:val="样式2"/>
    <w:basedOn w:val="1"/>
    <w:qFormat/>
    <w:uiPriority w:val="0"/>
    <w:pPr>
      <w:ind w:firstLine="480" w:firstLineChars="200"/>
    </w:pPr>
    <w:rPr>
      <w:rFonts w:ascii="宋体" w:hAnsi="宋体" w:eastAsia="方正宋三简体"/>
      <w:kern w:val="2"/>
    </w:rPr>
  </w:style>
  <w:style w:type="paragraph" w:customStyle="1" w:styleId="922">
    <w:name w:val="流程图"/>
    <w:basedOn w:val="1"/>
    <w:qFormat/>
    <w:uiPriority w:val="0"/>
    <w:pPr>
      <w:tabs>
        <w:tab w:val="center" w:pos="0"/>
      </w:tabs>
      <w:spacing w:line="240" w:lineRule="auto"/>
    </w:pPr>
    <w:rPr>
      <w:rFonts w:eastAsia="楷体_GB2312"/>
      <w:kern w:val="2"/>
    </w:rPr>
  </w:style>
  <w:style w:type="paragraph" w:customStyle="1" w:styleId="923">
    <w:name w:val="样式 样式 首行缩进:  2 字符 + 首行缩进:  2 字符"/>
    <w:basedOn w:val="1"/>
    <w:qFormat/>
    <w:uiPriority w:val="0"/>
    <w:pPr>
      <w:spacing w:line="500" w:lineRule="exact"/>
      <w:ind w:firstLine="200" w:firstLineChars="200"/>
    </w:pPr>
    <w:rPr>
      <w:rFonts w:cs="宋体"/>
      <w:spacing w:val="30"/>
      <w:kern w:val="2"/>
      <w:sz w:val="28"/>
      <w:szCs w:val="20"/>
    </w:rPr>
  </w:style>
  <w:style w:type="paragraph" w:customStyle="1" w:styleId="924">
    <w:name w:val="表格文字2"/>
    <w:basedOn w:val="548"/>
    <w:qFormat/>
    <w:uiPriority w:val="0"/>
    <w:pPr>
      <w:adjustRightInd w:val="0"/>
      <w:spacing w:before="60"/>
      <w:textAlignment w:val="baseline"/>
    </w:pPr>
    <w:rPr>
      <w:rFonts w:ascii="宋体" w:cstheme="minorBidi"/>
      <w:kern w:val="0"/>
      <w:sz w:val="24"/>
      <w:szCs w:val="22"/>
    </w:rPr>
  </w:style>
  <w:style w:type="paragraph" w:customStyle="1" w:styleId="925">
    <w:name w:val="Char Char Char Char Char Char Char"/>
    <w:basedOn w:val="1"/>
    <w:qFormat/>
    <w:uiPriority w:val="0"/>
    <w:pPr>
      <w:spacing w:line="240" w:lineRule="auto"/>
    </w:pPr>
    <w:rPr>
      <w:kern w:val="2"/>
      <w:sz w:val="21"/>
    </w:rPr>
  </w:style>
  <w:style w:type="paragraph" w:customStyle="1" w:styleId="926">
    <w:name w:val="方程"/>
    <w:basedOn w:val="1"/>
    <w:qFormat/>
    <w:uiPriority w:val="0"/>
    <w:pPr>
      <w:widowControl/>
      <w:overflowPunct w:val="0"/>
      <w:adjustRightInd w:val="0"/>
      <w:spacing w:before="60" w:after="60" w:line="440" w:lineRule="atLeast"/>
      <w:ind w:firstLine="482"/>
      <w:jc w:val="center"/>
      <w:textAlignment w:val="bottom"/>
    </w:pPr>
    <w:rPr>
      <w:rFonts w:ascii="CG Times (W1)" w:hAnsi="CG Times (W1)"/>
      <w:sz w:val="28"/>
      <w:szCs w:val="20"/>
    </w:rPr>
  </w:style>
  <w:style w:type="paragraph" w:customStyle="1" w:styleId="927">
    <w:name w:val="已有表格"/>
    <w:basedOn w:val="1"/>
    <w:qFormat/>
    <w:uiPriority w:val="0"/>
    <w:pPr>
      <w:adjustRightInd w:val="0"/>
      <w:spacing w:before="40" w:after="40" w:line="240" w:lineRule="auto"/>
      <w:jc w:val="center"/>
      <w:textAlignment w:val="baseline"/>
    </w:pPr>
    <w:rPr>
      <w:b/>
      <w:szCs w:val="20"/>
    </w:rPr>
  </w:style>
  <w:style w:type="paragraph" w:customStyle="1" w:styleId="928">
    <w:name w:val="样式 标题 3 + 四号 段前: 0 磅 段后: 0 磅 行距: 单倍行距"/>
    <w:basedOn w:val="4"/>
    <w:qFormat/>
    <w:uiPriority w:val="0"/>
    <w:pPr>
      <w:tabs>
        <w:tab w:val="left" w:pos="720"/>
        <w:tab w:val="left" w:pos="2280"/>
      </w:tabs>
      <w:spacing w:before="0" w:after="0" w:line="240" w:lineRule="auto"/>
      <w:ind w:left="1740"/>
    </w:pPr>
    <w:rPr>
      <w:rFonts w:ascii="Times New Roman" w:hAnsi="Times New Roman" w:eastAsia="宋体" w:cs="宋体"/>
      <w:b/>
      <w:bCs/>
      <w:snapToGrid w:val="0"/>
      <w:color w:val="auto"/>
      <w:kern w:val="2"/>
      <w:sz w:val="28"/>
      <w:szCs w:val="28"/>
    </w:rPr>
  </w:style>
  <w:style w:type="paragraph" w:customStyle="1" w:styleId="929">
    <w:name w:val="Char Char1 Char Char Char Char Char Char Char Char Char Char Char Char Char Char"/>
    <w:basedOn w:val="1"/>
    <w:qFormat/>
    <w:uiPriority w:val="0"/>
    <w:pPr>
      <w:widowControl/>
      <w:spacing w:beforeLines="100" w:after="160" w:line="240" w:lineRule="exact"/>
      <w:jc w:val="left"/>
    </w:pPr>
    <w:rPr>
      <w:rFonts w:ascii="Verdana" w:hAnsi="Verdana"/>
      <w:sz w:val="32"/>
      <w:szCs w:val="32"/>
      <w:lang w:eastAsia="en-US"/>
    </w:rPr>
  </w:style>
  <w:style w:type="paragraph" w:customStyle="1" w:styleId="930">
    <w:name w:val="Char Char2"/>
    <w:basedOn w:val="1"/>
    <w:qFormat/>
    <w:uiPriority w:val="0"/>
    <w:pPr>
      <w:widowControl/>
      <w:spacing w:after="160" w:line="240" w:lineRule="exact"/>
      <w:jc w:val="left"/>
    </w:pPr>
    <w:rPr>
      <w:rFonts w:ascii="Verdana" w:hAnsi="Verdana" w:eastAsia="仿宋_GB2312"/>
      <w:szCs w:val="20"/>
      <w:lang w:eastAsia="en-US"/>
    </w:rPr>
  </w:style>
  <w:style w:type="paragraph" w:customStyle="1" w:styleId="931">
    <w:name w:val="1 Char Char Char Char Char Char Char Char Char Char Char Char Char"/>
    <w:basedOn w:val="1"/>
    <w:qFormat/>
    <w:uiPriority w:val="0"/>
    <w:pPr>
      <w:spacing w:line="240" w:lineRule="auto"/>
    </w:pPr>
    <w:rPr>
      <w:kern w:val="2"/>
      <w:sz w:val="21"/>
    </w:rPr>
  </w:style>
  <w:style w:type="paragraph" w:customStyle="1" w:styleId="932">
    <w:name w:val="样式 标题 1 + 华文中宋 两端对齐 左侧:  0 厘米"/>
    <w:basedOn w:val="2"/>
    <w:qFormat/>
    <w:uiPriority w:val="0"/>
    <w:pPr>
      <w:tabs>
        <w:tab w:val="left" w:pos="576"/>
      </w:tabs>
      <w:spacing w:before="340" w:after="330" w:line="240" w:lineRule="auto"/>
      <w:ind w:left="434" w:hanging="567"/>
    </w:pPr>
    <w:rPr>
      <w:rFonts w:ascii="华文中宋" w:hAnsi="华文中宋" w:eastAsia="华文中宋" w:cs="宋体"/>
      <w:b/>
      <w:bCs/>
      <w:color w:val="auto"/>
      <w:kern w:val="44"/>
      <w:sz w:val="44"/>
      <w:szCs w:val="44"/>
    </w:rPr>
  </w:style>
  <w:style w:type="paragraph" w:customStyle="1" w:styleId="933">
    <w:name w:val="Char1 Char Char Char"/>
    <w:basedOn w:val="1"/>
    <w:qFormat/>
    <w:uiPriority w:val="0"/>
    <w:pPr>
      <w:spacing w:line="240" w:lineRule="auto"/>
    </w:pPr>
    <w:rPr>
      <w:rFonts w:ascii="Tahoma" w:hAnsi="Tahoma"/>
      <w:kern w:val="2"/>
      <w:szCs w:val="20"/>
    </w:rPr>
  </w:style>
  <w:style w:type="paragraph" w:customStyle="1" w:styleId="934">
    <w:name w:val="样式5"/>
    <w:basedOn w:val="1"/>
    <w:qFormat/>
    <w:uiPriority w:val="0"/>
    <w:pPr>
      <w:spacing w:line="380" w:lineRule="exact"/>
      <w:ind w:firstLine="566" w:firstLineChars="202"/>
    </w:pPr>
    <w:rPr>
      <w:rFonts w:eastAsia="华文行楷"/>
      <w:kern w:val="2"/>
      <w:sz w:val="28"/>
    </w:rPr>
  </w:style>
  <w:style w:type="paragraph" w:customStyle="1" w:styleId="935">
    <w:name w:val="段落"/>
    <w:basedOn w:val="1"/>
    <w:qFormat/>
    <w:uiPriority w:val="0"/>
    <w:pPr>
      <w:ind w:firstLine="200" w:firstLineChars="200"/>
    </w:pPr>
    <w:rPr>
      <w:kern w:val="2"/>
    </w:rPr>
  </w:style>
  <w:style w:type="paragraph" w:customStyle="1" w:styleId="936">
    <w:name w:val="xl59"/>
    <w:basedOn w:val="1"/>
    <w:qFormat/>
    <w:uiPriority w:val="0"/>
    <w:pPr>
      <w:widowControl/>
      <w:pBdr>
        <w:left w:val="single" w:color="auto" w:sz="4" w:space="0"/>
        <w:bottom w:val="single" w:color="auto" w:sz="4" w:space="0"/>
      </w:pBdr>
      <w:spacing w:before="100" w:beforeAutospacing="1" w:after="100" w:afterAutospacing="1" w:line="240" w:lineRule="auto"/>
      <w:jc w:val="center"/>
    </w:pPr>
    <w:rPr>
      <w:rFonts w:ascii="Arial Unicode MS" w:hAnsi="Arial Unicode MS" w:eastAsia="Arial Unicode MS" w:cs="Arial Unicode MS"/>
      <w:sz w:val="21"/>
      <w:szCs w:val="21"/>
    </w:rPr>
  </w:style>
  <w:style w:type="paragraph" w:customStyle="1" w:styleId="937">
    <w:name w:val="Char Char6 Char Char"/>
    <w:basedOn w:val="1"/>
    <w:qFormat/>
    <w:uiPriority w:val="0"/>
    <w:pPr>
      <w:spacing w:line="240" w:lineRule="auto"/>
    </w:pPr>
    <w:rPr>
      <w:kern w:val="2"/>
      <w:sz w:val="21"/>
    </w:rPr>
  </w:style>
  <w:style w:type="paragraph" w:customStyle="1" w:styleId="938">
    <w:name w:val="正文（首行缩进）"/>
    <w:basedOn w:val="1"/>
    <w:qFormat/>
    <w:uiPriority w:val="0"/>
    <w:pPr>
      <w:widowControl/>
      <w:ind w:firstLine="200" w:firstLineChars="200"/>
      <w:jc w:val="left"/>
    </w:pPr>
    <w:rPr>
      <w:rFonts w:ascii="宋体" w:hAnsi="宋体"/>
      <w:snapToGrid w:val="0"/>
      <w:color w:val="000000"/>
      <w:kern w:val="2"/>
      <w:szCs w:val="20"/>
    </w:rPr>
  </w:style>
  <w:style w:type="paragraph" w:customStyle="1" w:styleId="939">
    <w:name w:val="正文样式"/>
    <w:basedOn w:val="1"/>
    <w:qFormat/>
    <w:uiPriority w:val="0"/>
    <w:pPr>
      <w:ind w:firstLine="480" w:firstLineChars="200"/>
    </w:pPr>
    <w:rPr>
      <w:rFonts w:ascii="宋体" w:hAnsi="宋体"/>
      <w:kern w:val="2"/>
    </w:rPr>
  </w:style>
  <w:style w:type="paragraph" w:customStyle="1" w:styleId="940">
    <w:name w:val="样式 正文缩进identication图表表正文正文非缩进Paragraph2Paragraph3Paragrap..."/>
    <w:basedOn w:val="14"/>
    <w:qFormat/>
    <w:uiPriority w:val="0"/>
    <w:pPr>
      <w:ind w:firstLine="480" w:firstLineChars="200"/>
    </w:pPr>
    <w:rPr>
      <w:rFonts w:eastAsia="Times New Roman"/>
      <w:color w:val="000000"/>
      <w:kern w:val="2"/>
      <w:szCs w:val="18"/>
    </w:rPr>
  </w:style>
  <w:style w:type="paragraph" w:customStyle="1" w:styleId="941">
    <w:name w:val="Char4 Char Char Char"/>
    <w:basedOn w:val="1"/>
    <w:qFormat/>
    <w:uiPriority w:val="0"/>
    <w:pPr>
      <w:adjustRightInd w:val="0"/>
      <w:snapToGrid w:val="0"/>
      <w:ind w:firstLine="200" w:firstLineChars="200"/>
    </w:pPr>
    <w:rPr>
      <w:kern w:val="2"/>
      <w:szCs w:val="20"/>
    </w:rPr>
  </w:style>
  <w:style w:type="character" w:customStyle="1" w:styleId="942">
    <w:name w:val="headline-content2"/>
    <w:qFormat/>
    <w:uiPriority w:val="0"/>
  </w:style>
  <w:style w:type="paragraph" w:customStyle="1" w:styleId="943">
    <w:name w:val="样式 Bt3 + 加粗1"/>
    <w:basedOn w:val="1"/>
    <w:qFormat/>
    <w:uiPriority w:val="0"/>
    <w:pPr>
      <w:keepNext/>
      <w:keepLines/>
      <w:jc w:val="left"/>
      <w:outlineLvl w:val="2"/>
    </w:pPr>
    <w:rPr>
      <w:rFonts w:eastAsia="黑体" w:cs="宋体"/>
      <w:bCs/>
      <w:snapToGrid w:val="0"/>
    </w:rPr>
  </w:style>
  <w:style w:type="paragraph" w:customStyle="1" w:styleId="944">
    <w:name w:val="char"/>
    <w:basedOn w:val="1"/>
    <w:qFormat/>
    <w:uiPriority w:val="0"/>
    <w:pPr>
      <w:widowControl/>
      <w:spacing w:after="160" w:line="240" w:lineRule="auto"/>
      <w:jc w:val="left"/>
    </w:pPr>
    <w:rPr>
      <w:rFonts w:ascii="Verdana" w:hAnsi="Verdana" w:eastAsia="仿宋_GB2312" w:cs="”“Times New Roman”“"/>
      <w:sz w:val="28"/>
      <w:szCs w:val="28"/>
      <w:lang w:eastAsia="en-US"/>
    </w:rPr>
  </w:style>
  <w:style w:type="character" w:customStyle="1" w:styleId="945">
    <w:name w:val="标题 2 Char Char"/>
    <w:qFormat/>
    <w:uiPriority w:val="0"/>
    <w:rPr>
      <w:rFonts w:ascii="Arial" w:hAnsi="Arial" w:eastAsia="黑体"/>
      <w:b/>
      <w:bCs/>
      <w:kern w:val="2"/>
      <w:sz w:val="32"/>
      <w:szCs w:val="32"/>
      <w:lang w:val="en-US" w:eastAsia="zh-CN" w:bidi="ar-SA"/>
    </w:rPr>
  </w:style>
  <w:style w:type="paragraph" w:customStyle="1" w:styleId="946">
    <w:name w:val="5正文"/>
    <w:basedOn w:val="1"/>
    <w:link w:val="947"/>
    <w:qFormat/>
    <w:uiPriority w:val="0"/>
    <w:pPr>
      <w:ind w:firstLine="480" w:firstLineChars="200"/>
    </w:pPr>
    <w:rPr>
      <w:rFonts w:cs="宋体"/>
      <w:kern w:val="2"/>
      <w:szCs w:val="20"/>
    </w:rPr>
  </w:style>
  <w:style w:type="character" w:customStyle="1" w:styleId="947">
    <w:name w:val="5正文 Char"/>
    <w:link w:val="946"/>
    <w:qFormat/>
    <w:uiPriority w:val="0"/>
    <w:rPr>
      <w:rFonts w:cs="宋体"/>
      <w:kern w:val="2"/>
      <w:sz w:val="24"/>
    </w:rPr>
  </w:style>
  <w:style w:type="character" w:customStyle="1" w:styleId="948">
    <w:name w:val="menu1"/>
    <w:qFormat/>
    <w:uiPriority w:val="0"/>
  </w:style>
  <w:style w:type="paragraph" w:customStyle="1" w:styleId="949">
    <w:name w:val="正文01"/>
    <w:basedOn w:val="1"/>
    <w:qFormat/>
    <w:uiPriority w:val="0"/>
    <w:pPr>
      <w:ind w:firstLine="482"/>
    </w:pPr>
    <w:rPr>
      <w:kern w:val="2"/>
      <w:szCs w:val="20"/>
    </w:rPr>
  </w:style>
  <w:style w:type="paragraph" w:customStyle="1" w:styleId="950">
    <w:name w:val="Bt1.1"/>
    <w:basedOn w:val="3"/>
    <w:next w:val="1"/>
    <w:qFormat/>
    <w:uiPriority w:val="0"/>
    <w:pPr>
      <w:adjustRightInd w:val="0"/>
      <w:spacing w:before="0" w:after="0"/>
      <w:jc w:val="left"/>
    </w:pPr>
    <w:rPr>
      <w:rFonts w:ascii="Times New Roman" w:hAnsi="Times New Roman" w:eastAsia="黑体" w:cs="Times New Roman"/>
      <w:snapToGrid w:val="0"/>
      <w:color w:val="auto"/>
      <w:kern w:val="2"/>
      <w:sz w:val="28"/>
      <w:szCs w:val="20"/>
    </w:rPr>
  </w:style>
  <w:style w:type="character" w:customStyle="1" w:styleId="951">
    <w:name w:val="En-tête 1.1 Char"/>
    <w:qFormat/>
    <w:uiPriority w:val="0"/>
    <w:rPr>
      <w:rFonts w:eastAsia="宋体"/>
      <w:kern w:val="2"/>
      <w:sz w:val="18"/>
      <w:szCs w:val="18"/>
      <w:lang w:val="en-US" w:eastAsia="zh-CN" w:bidi="ar-SA"/>
    </w:rPr>
  </w:style>
  <w:style w:type="character" w:customStyle="1" w:styleId="952">
    <w:name w:val="bt Char"/>
    <w:qFormat/>
    <w:uiPriority w:val="0"/>
    <w:rPr>
      <w:rFonts w:ascii="宋体" w:eastAsia="宋体"/>
      <w:color w:val="000000"/>
      <w:sz w:val="24"/>
      <w:lang w:val="en-US" w:eastAsia="zh-CN" w:bidi="ar-SA"/>
    </w:rPr>
  </w:style>
  <w:style w:type="paragraph" w:customStyle="1" w:styleId="953">
    <w:name w:val="工可正文"/>
    <w:basedOn w:val="1"/>
    <w:qFormat/>
    <w:uiPriority w:val="0"/>
    <w:pPr>
      <w:adjustRightInd w:val="0"/>
      <w:snapToGrid w:val="0"/>
      <w:ind w:firstLine="200" w:firstLineChars="200"/>
    </w:pPr>
    <w:rPr>
      <w:kern w:val="2"/>
      <w:sz w:val="28"/>
      <w:szCs w:val="22"/>
    </w:rPr>
  </w:style>
  <w:style w:type="paragraph" w:customStyle="1" w:styleId="954">
    <w:name w:val="Char1 Char Char Char Char Char Char2 Char Char Char Char Char Char Char Char Char Char Char Char Char Char Char Char Char Char"/>
    <w:basedOn w:val="1"/>
    <w:qFormat/>
    <w:uiPriority w:val="0"/>
    <w:pPr>
      <w:spacing w:line="240" w:lineRule="auto"/>
    </w:pPr>
    <w:rPr>
      <w:kern w:val="2"/>
      <w:sz w:val="21"/>
    </w:rPr>
  </w:style>
  <w:style w:type="paragraph" w:customStyle="1" w:styleId="955">
    <w:name w:val="表号"/>
    <w:basedOn w:val="1"/>
    <w:link w:val="956"/>
    <w:qFormat/>
    <w:uiPriority w:val="0"/>
    <w:pPr>
      <w:spacing w:line="240" w:lineRule="auto"/>
      <w:ind w:firstLine="200" w:firstLineChars="200"/>
      <w:outlineLvl w:val="5"/>
    </w:pPr>
    <w:rPr>
      <w:kern w:val="2"/>
      <w:sz w:val="21"/>
    </w:rPr>
  </w:style>
  <w:style w:type="character" w:customStyle="1" w:styleId="956">
    <w:name w:val="表号 Char"/>
    <w:link w:val="955"/>
    <w:qFormat/>
    <w:uiPriority w:val="0"/>
    <w:rPr>
      <w:kern w:val="2"/>
      <w:sz w:val="21"/>
      <w:szCs w:val="24"/>
    </w:rPr>
  </w:style>
  <w:style w:type="table" w:customStyle="1" w:styleId="957">
    <w:name w:val="表格样式1"/>
    <w:basedOn w:val="58"/>
    <w:qFormat/>
    <w:uiPriority w:val="0"/>
    <w:pPr>
      <w:widowControl w:val="0"/>
      <w:jc w:val="both"/>
    </w:pPr>
    <w:tblPr>
      <w:tblBorders>
        <w:top w:val="single" w:color="auto" w:sz="12" w:space="0"/>
        <w:bottom w:val="single" w:color="auto" w:sz="12" w:space="0"/>
      </w:tblBorders>
    </w:tblPr>
  </w:style>
  <w:style w:type="paragraph" w:customStyle="1" w:styleId="958">
    <w:name w:val="ENFI正文"/>
    <w:basedOn w:val="1"/>
    <w:link w:val="959"/>
    <w:qFormat/>
    <w:uiPriority w:val="0"/>
    <w:pPr>
      <w:adjustRightInd w:val="0"/>
      <w:snapToGrid w:val="0"/>
      <w:spacing w:line="500" w:lineRule="exact"/>
      <w:ind w:firstLine="567"/>
    </w:pPr>
    <w:rPr>
      <w:rFonts w:eastAsia="仿宋_GB2312"/>
      <w:snapToGrid w:val="0"/>
      <w:color w:val="000000"/>
      <w:sz w:val="28"/>
      <w:szCs w:val="20"/>
    </w:rPr>
  </w:style>
  <w:style w:type="character" w:customStyle="1" w:styleId="959">
    <w:name w:val="ENFI正文 Char Char"/>
    <w:link w:val="958"/>
    <w:qFormat/>
    <w:uiPriority w:val="0"/>
    <w:rPr>
      <w:rFonts w:eastAsia="仿宋_GB2312"/>
      <w:snapToGrid w:val="0"/>
      <w:color w:val="000000"/>
      <w:sz w:val="28"/>
    </w:rPr>
  </w:style>
  <w:style w:type="paragraph" w:customStyle="1" w:styleId="960">
    <w:name w:val="Char Char Char Char Char Char Char Char Char"/>
    <w:basedOn w:val="1"/>
    <w:qFormat/>
    <w:uiPriority w:val="0"/>
    <w:pPr>
      <w:spacing w:line="240" w:lineRule="auto"/>
    </w:pPr>
    <w:rPr>
      <w:kern w:val="2"/>
      <w:sz w:val="21"/>
    </w:rPr>
  </w:style>
  <w:style w:type="character" w:customStyle="1" w:styleId="961">
    <w:name w:val="Comment Text Char"/>
    <w:semiHidden/>
    <w:qFormat/>
    <w:locked/>
    <w:uiPriority w:val="0"/>
    <w:rPr>
      <w:rFonts w:eastAsia="宋体"/>
      <w:kern w:val="2"/>
      <w:sz w:val="21"/>
      <w:szCs w:val="24"/>
      <w:lang w:val="en-US" w:eastAsia="zh-CN" w:bidi="ar-SA"/>
    </w:rPr>
  </w:style>
  <w:style w:type="paragraph" w:customStyle="1" w:styleId="962">
    <w:name w:val="图表标题 新"/>
    <w:basedOn w:val="1"/>
    <w:next w:val="1"/>
    <w:qFormat/>
    <w:uiPriority w:val="0"/>
    <w:pPr>
      <w:spacing w:line="240" w:lineRule="auto"/>
      <w:jc w:val="center"/>
    </w:pPr>
    <w:rPr>
      <w:rFonts w:eastAsia="黑体"/>
      <w:kern w:val="2"/>
      <w:sz w:val="21"/>
      <w:szCs w:val="20"/>
    </w:rPr>
  </w:style>
  <w:style w:type="paragraph" w:customStyle="1" w:styleId="963">
    <w:name w:val="正文 加粗"/>
    <w:basedOn w:val="1"/>
    <w:next w:val="1"/>
    <w:qFormat/>
    <w:uiPriority w:val="0"/>
    <w:pPr>
      <w:spacing w:line="500" w:lineRule="exact"/>
      <w:ind w:left="20" w:leftChars="20" w:right="20" w:rightChars="20" w:firstLine="200" w:firstLineChars="200"/>
    </w:pPr>
    <w:rPr>
      <w:b/>
      <w:kern w:val="2"/>
      <w:szCs w:val="20"/>
    </w:rPr>
  </w:style>
  <w:style w:type="paragraph" w:customStyle="1" w:styleId="964">
    <w:name w:val="主要文字"/>
    <w:basedOn w:val="1"/>
    <w:link w:val="965"/>
    <w:qFormat/>
    <w:uiPriority w:val="0"/>
    <w:pPr>
      <w:spacing w:line="540" w:lineRule="exact"/>
      <w:ind w:firstLine="200" w:firstLineChars="200"/>
    </w:pPr>
    <w:rPr>
      <w:kern w:val="2"/>
      <w:sz w:val="28"/>
    </w:rPr>
  </w:style>
  <w:style w:type="character" w:customStyle="1" w:styleId="965">
    <w:name w:val="主要文字 Char"/>
    <w:link w:val="964"/>
    <w:qFormat/>
    <w:uiPriority w:val="0"/>
    <w:rPr>
      <w:kern w:val="2"/>
      <w:sz w:val="28"/>
      <w:szCs w:val="24"/>
    </w:rPr>
  </w:style>
  <w:style w:type="character" w:customStyle="1" w:styleId="966">
    <w:name w:val="安评正文 Char"/>
    <w:link w:val="967"/>
    <w:qFormat/>
    <w:uiPriority w:val="0"/>
    <w:rPr>
      <w:sz w:val="28"/>
      <w:szCs w:val="24"/>
    </w:rPr>
  </w:style>
  <w:style w:type="paragraph" w:customStyle="1" w:styleId="967">
    <w:name w:val="安评正文"/>
    <w:basedOn w:val="1"/>
    <w:link w:val="966"/>
    <w:qFormat/>
    <w:uiPriority w:val="0"/>
    <w:pPr>
      <w:tabs>
        <w:tab w:val="left" w:pos="5400"/>
      </w:tabs>
      <w:spacing w:line="460" w:lineRule="exact"/>
      <w:ind w:firstLine="200" w:firstLineChars="200"/>
      <w:jc w:val="left"/>
    </w:pPr>
    <w:rPr>
      <w:sz w:val="28"/>
      <w:shd w:val="clear" w:color="auto" w:fill="FFFFFF"/>
    </w:rPr>
  </w:style>
  <w:style w:type="character" w:customStyle="1" w:styleId="968">
    <w:name w:val="表内文字小四 Char"/>
    <w:link w:val="969"/>
    <w:qFormat/>
    <w:uiPriority w:val="0"/>
    <w:rPr>
      <w:sz w:val="24"/>
    </w:rPr>
  </w:style>
  <w:style w:type="paragraph" w:customStyle="1" w:styleId="969">
    <w:name w:val="表内文字小四"/>
    <w:basedOn w:val="1"/>
    <w:link w:val="968"/>
    <w:qFormat/>
    <w:uiPriority w:val="0"/>
    <w:pPr>
      <w:spacing w:line="240" w:lineRule="auto"/>
      <w:jc w:val="center"/>
    </w:pPr>
    <w:rPr>
      <w:szCs w:val="20"/>
    </w:rPr>
  </w:style>
  <w:style w:type="character" w:customStyle="1" w:styleId="970">
    <w:name w:val="批注文字 字符1"/>
    <w:semiHidden/>
    <w:qFormat/>
    <w:uiPriority w:val="0"/>
    <w:rPr>
      <w:kern w:val="2"/>
      <w:sz w:val="21"/>
      <w:szCs w:val="24"/>
    </w:rPr>
  </w:style>
  <w:style w:type="paragraph" w:customStyle="1" w:styleId="971">
    <w:name w:val="正文标题1，2"/>
    <w:basedOn w:val="1"/>
    <w:qFormat/>
    <w:uiPriority w:val="0"/>
    <w:pPr>
      <w:adjustRightInd w:val="0"/>
      <w:snapToGrid w:val="0"/>
    </w:pPr>
    <w:rPr>
      <w:rFonts w:eastAsia="黑体"/>
      <w:b/>
      <w:kern w:val="2"/>
      <w:szCs w:val="20"/>
    </w:rPr>
  </w:style>
  <w:style w:type="paragraph" w:customStyle="1" w:styleId="972">
    <w:name w:val="正文-蓝色"/>
    <w:basedOn w:val="1"/>
    <w:qFormat/>
    <w:uiPriority w:val="0"/>
    <w:pPr>
      <w:adjustRightInd w:val="0"/>
      <w:ind w:firstLine="480" w:firstLineChars="200"/>
    </w:pPr>
    <w:rPr>
      <w:color w:val="0000FF"/>
      <w:kern w:val="2"/>
      <w:szCs w:val="30"/>
    </w:rPr>
  </w:style>
  <w:style w:type="character" w:customStyle="1" w:styleId="973">
    <w:name w:val="fontstyle11"/>
    <w:qFormat/>
    <w:uiPriority w:val="0"/>
    <w:rPr>
      <w:rFonts w:hint="default" w:ascii="TimesNewRomanPSMT" w:hAnsi="TimesNewRomanPSMT"/>
      <w:color w:val="000000"/>
      <w:sz w:val="24"/>
      <w:szCs w:val="24"/>
    </w:rPr>
  </w:style>
  <w:style w:type="paragraph" w:customStyle="1" w:styleId="974">
    <w:name w:val="表2"/>
    <w:basedOn w:val="1"/>
    <w:qFormat/>
    <w:uiPriority w:val="0"/>
    <w:pPr>
      <w:widowControl/>
      <w:autoSpaceDE w:val="0"/>
      <w:autoSpaceDN w:val="0"/>
      <w:adjustRightInd w:val="0"/>
      <w:snapToGrid w:val="0"/>
      <w:spacing w:beforeLines="30" w:afterLines="30" w:line="240" w:lineRule="auto"/>
      <w:jc w:val="center"/>
      <w:textAlignment w:val="bottom"/>
    </w:pPr>
    <w:rPr>
      <w:rFonts w:ascii="Arial" w:hAnsi="Arial" w:cs="Arial"/>
      <w:kern w:val="2"/>
    </w:rPr>
  </w:style>
  <w:style w:type="character" w:customStyle="1" w:styleId="975">
    <w:name w:val="fontstyle31"/>
    <w:qFormat/>
    <w:uiPriority w:val="0"/>
    <w:rPr>
      <w:rFonts w:hint="default" w:ascii="MSMincho" w:hAnsi="MSMincho"/>
      <w:color w:val="000000"/>
      <w:sz w:val="24"/>
      <w:szCs w:val="24"/>
    </w:rPr>
  </w:style>
  <w:style w:type="paragraph" w:customStyle="1" w:styleId="976">
    <w:name w:val="Normal_0_0"/>
    <w:basedOn w:val="1"/>
    <w:qFormat/>
    <w:uiPriority w:val="0"/>
    <w:pPr>
      <w:ind w:firstLine="200" w:firstLineChars="200"/>
    </w:pPr>
    <w:rPr>
      <w:rFonts w:eastAsia="仿宋"/>
      <w:kern w:val="2"/>
      <w:sz w:val="28"/>
      <w:szCs w:val="21"/>
    </w:rPr>
  </w:style>
  <w:style w:type="table" w:customStyle="1" w:styleId="977">
    <w:name w:val="Table Grid_0"/>
    <w:basedOn w:val="57"/>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78">
    <w:name w:val="fontstyle41"/>
    <w:qFormat/>
    <w:uiPriority w:val="0"/>
    <w:rPr>
      <w:rFonts w:ascii="宋体" w:hAnsi="宋体" w:eastAsia="宋体" w:cs="宋体"/>
      <w:color w:val="000000"/>
      <w:sz w:val="24"/>
      <w:szCs w:val="24"/>
    </w:rPr>
  </w:style>
  <w:style w:type="table" w:customStyle="1" w:styleId="979">
    <w:name w:val="Table Normal"/>
    <w:unhideWhenUsed/>
    <w:qFormat/>
    <w:uiPriority w:val="0"/>
    <w:tblPr>
      <w:tblCellMar>
        <w:top w:w="0" w:type="dxa"/>
        <w:left w:w="0" w:type="dxa"/>
        <w:bottom w:w="0" w:type="dxa"/>
        <w:right w:w="0" w:type="dxa"/>
      </w:tblCellMar>
    </w:tblPr>
  </w:style>
  <w:style w:type="table" w:customStyle="1" w:styleId="980">
    <w:name w:val="网格型14"/>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81">
    <w:name w:val="标题 2 Char1"/>
    <w:basedOn w:val="67"/>
    <w:semiHidden/>
    <w:qFormat/>
    <w:uiPriority w:val="0"/>
    <w:rPr>
      <w:rFonts w:asciiTheme="majorHAnsi" w:hAnsiTheme="majorHAnsi" w:eastAsiaTheme="majorEastAsia" w:cstheme="majorBidi"/>
      <w:b/>
      <w:bCs/>
      <w:kern w:val="2"/>
      <w:sz w:val="32"/>
      <w:szCs w:val="32"/>
    </w:rPr>
  </w:style>
  <w:style w:type="character" w:customStyle="1" w:styleId="982">
    <w:name w:val="标题 4 Char1"/>
    <w:basedOn w:val="67"/>
    <w:semiHidden/>
    <w:qFormat/>
    <w:uiPriority w:val="0"/>
    <w:rPr>
      <w:rFonts w:asciiTheme="majorHAnsi" w:hAnsiTheme="majorHAnsi" w:eastAsiaTheme="majorEastAsia" w:cstheme="majorBidi"/>
      <w:b/>
      <w:bCs/>
      <w:kern w:val="2"/>
      <w:sz w:val="28"/>
      <w:szCs w:val="28"/>
    </w:rPr>
  </w:style>
  <w:style w:type="character" w:customStyle="1" w:styleId="983">
    <w:name w:val="标题 5 Char1"/>
    <w:basedOn w:val="67"/>
    <w:semiHidden/>
    <w:qFormat/>
    <w:uiPriority w:val="0"/>
    <w:rPr>
      <w:rFonts w:ascii="Times New Roman" w:hAnsi="Times New Roman" w:eastAsia="宋体"/>
      <w:b/>
      <w:bCs/>
      <w:kern w:val="2"/>
      <w:sz w:val="28"/>
      <w:szCs w:val="28"/>
    </w:rPr>
  </w:style>
  <w:style w:type="paragraph" w:customStyle="1" w:styleId="984">
    <w:name w:val="Char Char Char Char Char Char Char Char Char Char Char Char Char Char Char Char1"/>
    <w:basedOn w:val="1"/>
    <w:qFormat/>
    <w:uiPriority w:val="99"/>
    <w:pPr>
      <w:ind w:firstLine="200" w:firstLineChars="200"/>
    </w:pPr>
    <w:rPr>
      <w:rFonts w:ascii="宋体" w:hAnsi="宋体" w:cs="宋体"/>
      <w:kern w:val="2"/>
    </w:rPr>
  </w:style>
  <w:style w:type="table" w:customStyle="1" w:styleId="985">
    <w:name w:val="简明型 11"/>
    <w:basedOn w:val="57"/>
    <w:semiHidden/>
    <w:unhideWhenUsed/>
    <w:qFormat/>
    <w:uiPriority w:val="0"/>
    <w:pPr>
      <w:widowControl w:val="0"/>
      <w:jc w:val="both"/>
    </w:pPr>
    <w:tblPr>
      <w:tblBorders>
        <w:top w:val="single" w:color="008000" w:sz="12" w:space="0"/>
        <w:bottom w:val="single" w:color="008000" w:sz="12" w:space="0"/>
      </w:tblBorders>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986">
    <w:name w:val="古典型 11"/>
    <w:basedOn w:val="57"/>
    <w:semiHidden/>
    <w:unhideWhenUsed/>
    <w:qFormat/>
    <w:uiPriority w:val="0"/>
    <w:pPr>
      <w:widowControl w:val="0"/>
      <w:jc w:val="both"/>
    </w:pPr>
    <w:tblPr>
      <w:tblBorders>
        <w:top w:val="single" w:color="000000" w:sz="12" w:space="0"/>
        <w:bottom w:val="single" w:color="000000" w:sz="12" w:space="0"/>
      </w:tblBorders>
    </w:tbl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987">
    <w:name w:val="网格型 11"/>
    <w:basedOn w:val="57"/>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988">
    <w:name w:val="列表型 21"/>
    <w:basedOn w:val="57"/>
    <w:semiHidden/>
    <w:unhideWhenUsed/>
    <w:qFormat/>
    <w:uiPriority w:val="0"/>
    <w:pPr>
      <w:widowControl w:val="0"/>
      <w:jc w:val="both"/>
    </w:pPr>
    <w:tblPr>
      <w:tblBorders>
        <w:bottom w:val="single" w:color="808080" w:sz="12" w:space="0"/>
      </w:tblBorders>
    </w:tblPr>
    <w:tblStylePr w:type="firstRow">
      <w:rPr>
        <w:b/>
        <w:bCs/>
        <w:color w:val="FFFFFF"/>
      </w:rPr>
      <w:tcPr>
        <w:tcBorders>
          <w:bottom w:val="single" w:color="000000" w:sz="6" w:space="0"/>
          <w:tl2br w:val="nil"/>
          <w:tr2bl w:val="nil"/>
        </w:tcBorders>
        <w:shd w:val="pct75" w:color="008080" w:fill="008000"/>
      </w:tcPr>
    </w:tblStylePr>
    <w:tblStylePr w:type="lastRow">
      <w:tcPr>
        <w:tcBorders>
          <w:top w:val="single" w:color="000000" w:sz="6" w:space="0"/>
          <w:tl2br w:val="nil"/>
          <w:tr2bl w:val="nil"/>
        </w:tcBorders>
      </w:tcPr>
    </w:tblStyle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swCell">
      <w:rPr>
        <w:b/>
        <w:bCs/>
      </w:rPr>
      <w:tcPr>
        <w:tcBorders>
          <w:tl2br w:val="nil"/>
          <w:tr2bl w:val="nil"/>
        </w:tcBorders>
      </w:tcPr>
    </w:tblStylePr>
  </w:style>
  <w:style w:type="table" w:customStyle="1" w:styleId="989">
    <w:name w:val="典雅型5"/>
    <w:basedOn w:val="57"/>
    <w:semiHidden/>
    <w:unhideWhenUsed/>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990">
    <w:name w:val="浅色底纹2"/>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991">
    <w:name w:val="样式12"/>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992">
    <w:name w:val="典雅型13"/>
    <w:basedOn w:val="57"/>
    <w:qFormat/>
    <w:uiPriority w:val="0"/>
    <w:pPr>
      <w:widowControl w:val="0"/>
      <w:jc w:val="both"/>
    </w:pPr>
    <w:rPr>
      <w:rFonts w:eastAsia="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993">
    <w:name w:val="典雅型2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994">
    <w:name w:val="典雅型11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995">
    <w:name w:val="典雅型3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996">
    <w:name w:val="样式113"/>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997">
    <w:name w:val="浅色底纹 - 强调文字颜色 111"/>
    <w:basedOn w:val="57"/>
    <w:qFormat/>
    <w:uiPriority w:val="60"/>
    <w:rPr>
      <w:color w:val="365F91"/>
    </w:rPr>
    <w:tblPr>
      <w:tblBorders>
        <w:top w:val="single" w:color="4F81BD" w:sz="8" w:space="0"/>
        <w:bottom w:val="single" w:color="4F81BD" w:sz="8" w:space="0"/>
      </w:tblBorders>
    </w:tblPr>
    <w:tblStylePr w:type="fir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998">
    <w:name w:val="样式1112"/>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999">
    <w:name w:val="样式1121"/>
    <w:basedOn w:val="57"/>
    <w:qFormat/>
    <w:uiPriority w:val="99"/>
    <w:pPr>
      <w:jc w:val="center"/>
    </w:pPr>
    <w:rPr>
      <w:sz w:val="21"/>
    </w:rPr>
    <w:tblPr>
      <w:tblBorders>
        <w:top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nil"/>
          <w:right w:val="nil"/>
          <w:insideH w:val="nil"/>
          <w:insideV w:val="nil"/>
          <w:tl2br w:val="nil"/>
          <w:tr2bl w:val="nil"/>
        </w:tcBorders>
      </w:tcPr>
    </w:tblStylePr>
    <w:tblStylePr w:type="lastRow">
      <w:tcPr>
        <w:tcBorders>
          <w:top w:val="nil"/>
          <w:left w:val="nil"/>
          <w:bottom w:val="single" w:color="auto" w:sz="8" w:space="0"/>
          <w:right w:val="nil"/>
          <w:insideH w:val="nil"/>
          <w:insideV w:val="nil"/>
          <w:tl2br w:val="nil"/>
          <w:tr2bl w:val="nil"/>
        </w:tcBorders>
      </w:tcPr>
    </w:tblStylePr>
    <w:tblStylePr w:type="firstCol">
      <w:tcPr>
        <w:tcBorders>
          <w:top w:val="single" w:color="auto" w:sz="8" w:space="0"/>
          <w:left w:val="nil"/>
          <w:bottom w:val="nil"/>
          <w:right w:val="nil"/>
          <w:insideH w:val="nil"/>
          <w:insideV w:val="nil"/>
          <w:tl2br w:val="nil"/>
          <w:tr2bl w:val="nil"/>
        </w:tcBorders>
      </w:tcPr>
    </w:tblStylePr>
  </w:style>
  <w:style w:type="table" w:customStyle="1" w:styleId="1000">
    <w:name w:val="典雅型4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01">
    <w:name w:val="典雅型12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02">
    <w:name w:val="样式11111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003">
    <w:name w:val="浅色底纹11"/>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004">
    <w:name w:val="简明型 12"/>
    <w:basedOn w:val="57"/>
    <w:semiHidden/>
    <w:unhideWhenUsed/>
    <w:qFormat/>
    <w:uiPriority w:val="0"/>
    <w:pPr>
      <w:widowControl w:val="0"/>
      <w:jc w:val="both"/>
    </w:pPr>
    <w:tblPr>
      <w:tblBorders>
        <w:top w:val="single" w:color="008000" w:sz="12" w:space="0"/>
        <w:bottom w:val="single" w:color="008000" w:sz="12" w:space="0"/>
      </w:tblBorders>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005">
    <w:name w:val="古典型 12"/>
    <w:basedOn w:val="57"/>
    <w:semiHidden/>
    <w:unhideWhenUsed/>
    <w:qFormat/>
    <w:uiPriority w:val="0"/>
    <w:pPr>
      <w:widowControl w:val="0"/>
      <w:jc w:val="both"/>
    </w:pPr>
    <w:tblPr>
      <w:tblBorders>
        <w:top w:val="single" w:color="000000" w:sz="12" w:space="0"/>
        <w:bottom w:val="single" w:color="000000" w:sz="12" w:space="0"/>
      </w:tblBorders>
    </w:tbl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006">
    <w:name w:val="网格型 12"/>
    <w:basedOn w:val="57"/>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007">
    <w:name w:val="列表型 22"/>
    <w:basedOn w:val="57"/>
    <w:semiHidden/>
    <w:unhideWhenUsed/>
    <w:qFormat/>
    <w:uiPriority w:val="0"/>
    <w:pPr>
      <w:widowControl w:val="0"/>
      <w:jc w:val="both"/>
    </w:pPr>
    <w:tblPr>
      <w:tblBorders>
        <w:bottom w:val="single" w:color="808080" w:sz="12" w:space="0"/>
      </w:tblBorders>
    </w:tblPr>
    <w:tblStylePr w:type="firstRow">
      <w:rPr>
        <w:b/>
        <w:bCs/>
        <w:color w:val="FFFFFF"/>
      </w:rPr>
      <w:tcPr>
        <w:tcBorders>
          <w:bottom w:val="single" w:color="000000" w:sz="6" w:space="0"/>
          <w:tl2br w:val="nil"/>
          <w:tr2bl w:val="nil"/>
        </w:tcBorders>
        <w:shd w:val="pct75" w:color="008080" w:fill="008000"/>
      </w:tcPr>
    </w:tblStylePr>
    <w:tblStylePr w:type="lastRow">
      <w:tcPr>
        <w:tcBorders>
          <w:top w:val="single" w:color="000000" w:sz="6" w:space="0"/>
          <w:tl2br w:val="nil"/>
          <w:tr2bl w:val="nil"/>
        </w:tcBorders>
      </w:tcPr>
    </w:tblStyle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swCell">
      <w:rPr>
        <w:b/>
        <w:bCs/>
      </w:rPr>
      <w:tcPr>
        <w:tcBorders>
          <w:tl2br w:val="nil"/>
          <w:tr2bl w:val="nil"/>
        </w:tcBorders>
      </w:tcPr>
    </w:tblStylePr>
  </w:style>
  <w:style w:type="table" w:customStyle="1" w:styleId="1008">
    <w:name w:val="典雅型6"/>
    <w:basedOn w:val="57"/>
    <w:semiHidden/>
    <w:unhideWhenUsed/>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009">
    <w:name w:val="浅色底纹3"/>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010">
    <w:name w:val="样式13"/>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011">
    <w:name w:val="典雅型14"/>
    <w:basedOn w:val="57"/>
    <w:qFormat/>
    <w:uiPriority w:val="0"/>
    <w:pPr>
      <w:widowControl w:val="0"/>
      <w:jc w:val="both"/>
    </w:pPr>
    <w:rPr>
      <w:rFonts w:eastAsia="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12">
    <w:name w:val="典雅型22"/>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13">
    <w:name w:val="典雅型112"/>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14">
    <w:name w:val="典雅型32"/>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15">
    <w:name w:val="样式114"/>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016">
    <w:name w:val="浅色底纹 - 强调文字颜色 112"/>
    <w:basedOn w:val="57"/>
    <w:qFormat/>
    <w:uiPriority w:val="60"/>
    <w:rPr>
      <w:color w:val="365F91"/>
    </w:rPr>
    <w:tblPr>
      <w:tblBorders>
        <w:top w:val="single" w:color="4F81BD" w:sz="8" w:space="0"/>
        <w:bottom w:val="single" w:color="4F81BD" w:sz="8" w:space="0"/>
      </w:tblBorders>
    </w:tblPr>
    <w:tblStylePr w:type="fir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1017">
    <w:name w:val="样式1113"/>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018">
    <w:name w:val="样式1122"/>
    <w:basedOn w:val="57"/>
    <w:qFormat/>
    <w:uiPriority w:val="99"/>
    <w:pPr>
      <w:jc w:val="center"/>
    </w:pPr>
    <w:rPr>
      <w:sz w:val="21"/>
    </w:rPr>
    <w:tblPr>
      <w:tblBorders>
        <w:top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nil"/>
          <w:right w:val="nil"/>
          <w:insideH w:val="nil"/>
          <w:insideV w:val="nil"/>
          <w:tl2br w:val="nil"/>
          <w:tr2bl w:val="nil"/>
        </w:tcBorders>
      </w:tcPr>
    </w:tblStylePr>
    <w:tblStylePr w:type="lastRow">
      <w:tcPr>
        <w:tcBorders>
          <w:top w:val="nil"/>
          <w:left w:val="nil"/>
          <w:bottom w:val="single" w:color="auto" w:sz="8" w:space="0"/>
          <w:right w:val="nil"/>
          <w:insideH w:val="nil"/>
          <w:insideV w:val="nil"/>
          <w:tl2br w:val="nil"/>
          <w:tr2bl w:val="nil"/>
        </w:tcBorders>
      </w:tcPr>
    </w:tblStylePr>
    <w:tblStylePr w:type="firstCol">
      <w:tcPr>
        <w:tcBorders>
          <w:top w:val="single" w:color="auto" w:sz="8" w:space="0"/>
          <w:left w:val="nil"/>
          <w:bottom w:val="nil"/>
          <w:right w:val="nil"/>
          <w:insideH w:val="nil"/>
          <w:insideV w:val="nil"/>
          <w:tl2br w:val="nil"/>
          <w:tr2bl w:val="nil"/>
        </w:tcBorders>
      </w:tcPr>
    </w:tblStylePr>
  </w:style>
  <w:style w:type="table" w:customStyle="1" w:styleId="1019">
    <w:name w:val="典雅型42"/>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20">
    <w:name w:val="典雅型122"/>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021">
    <w:name w:val="样式11112"/>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022">
    <w:name w:val="浅色底纹12"/>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character" w:customStyle="1" w:styleId="1023">
    <w:name w:val="标题 1 Char1"/>
    <w:qFormat/>
    <w:uiPriority w:val="0"/>
    <w:rPr>
      <w:rFonts w:hint="eastAsia" w:ascii="宋体" w:hAnsi="宋体" w:eastAsia="宋体"/>
      <w:b/>
      <w:bCs/>
      <w:kern w:val="44"/>
      <w:sz w:val="44"/>
      <w:szCs w:val="44"/>
      <w:lang w:val="en-US" w:eastAsia="zh-CN" w:bidi="ar-SA"/>
    </w:rPr>
  </w:style>
  <w:style w:type="character" w:customStyle="1" w:styleId="1024">
    <w:name w:val="TOC 2 字符"/>
    <w:basedOn w:val="67"/>
    <w:link w:val="47"/>
    <w:qFormat/>
    <w:locked/>
    <w:uiPriority w:val="39"/>
    <w:rPr>
      <w:sz w:val="24"/>
      <w:szCs w:val="24"/>
    </w:rPr>
  </w:style>
  <w:style w:type="character" w:customStyle="1" w:styleId="1025">
    <w:name w:val="报告正文 Char1"/>
    <w:basedOn w:val="67"/>
    <w:link w:val="1026"/>
    <w:qFormat/>
    <w:locked/>
    <w:uiPriority w:val="0"/>
    <w:rPr>
      <w:sz w:val="24"/>
    </w:rPr>
  </w:style>
  <w:style w:type="paragraph" w:customStyle="1" w:styleId="1026">
    <w:name w:val="报告正文"/>
    <w:basedOn w:val="1"/>
    <w:link w:val="1025"/>
    <w:qFormat/>
    <w:uiPriority w:val="0"/>
    <w:pPr>
      <w:spacing w:line="400" w:lineRule="exact"/>
      <w:ind w:firstLine="482"/>
    </w:pPr>
    <w:rPr>
      <w:szCs w:val="20"/>
    </w:rPr>
  </w:style>
  <w:style w:type="paragraph" w:customStyle="1" w:styleId="1027">
    <w:name w:val="表格内文字"/>
    <w:basedOn w:val="1"/>
    <w:qFormat/>
    <w:uiPriority w:val="99"/>
    <w:pPr>
      <w:spacing w:before="100" w:after="100" w:line="320" w:lineRule="exact"/>
      <w:jc w:val="center"/>
    </w:pPr>
    <w:rPr>
      <w:spacing w:val="10"/>
      <w:kern w:val="2"/>
      <w:szCs w:val="20"/>
    </w:rPr>
  </w:style>
  <w:style w:type="paragraph" w:customStyle="1" w:styleId="1028">
    <w:name w:val="表题"/>
    <w:basedOn w:val="1"/>
    <w:qFormat/>
    <w:uiPriority w:val="99"/>
    <w:pPr>
      <w:overflowPunct w:val="0"/>
      <w:snapToGrid w:val="0"/>
      <w:spacing w:before="180" w:after="60" w:line="240" w:lineRule="auto"/>
      <w:jc w:val="center"/>
    </w:pPr>
    <w:rPr>
      <w:sz w:val="21"/>
      <w:szCs w:val="21"/>
    </w:rPr>
  </w:style>
  <w:style w:type="paragraph" w:customStyle="1" w:styleId="1029">
    <w:name w:val="Char Char Char Char Char Char Char Char Char Char Char Char Char Char Char Char Char Char Char Char Char Char Char Char1 Char"/>
    <w:basedOn w:val="1"/>
    <w:qFormat/>
    <w:uiPriority w:val="99"/>
    <w:pPr>
      <w:ind w:firstLine="200" w:firstLineChars="200"/>
    </w:pPr>
    <w:rPr>
      <w:rFonts w:ascii="宋体" w:hAnsi="宋体" w:cs="宋体"/>
      <w:kern w:val="2"/>
    </w:rPr>
  </w:style>
  <w:style w:type="paragraph" w:customStyle="1" w:styleId="1030">
    <w:name w:val="pic-info"/>
    <w:basedOn w:val="1"/>
    <w:qFormat/>
    <w:uiPriority w:val="99"/>
    <w:pPr>
      <w:widowControl/>
      <w:spacing w:before="100" w:beforeAutospacing="1" w:after="100" w:afterAutospacing="1" w:line="240" w:lineRule="auto"/>
      <w:jc w:val="left"/>
    </w:pPr>
    <w:rPr>
      <w:rFonts w:ascii="宋体" w:hAnsi="宋体" w:cs="宋体"/>
    </w:rPr>
  </w:style>
  <w:style w:type="paragraph" w:customStyle="1" w:styleId="1031">
    <w:name w:val="morecominfo1"/>
    <w:basedOn w:val="1"/>
    <w:qFormat/>
    <w:uiPriority w:val="99"/>
    <w:pPr>
      <w:widowControl/>
      <w:spacing w:before="150" w:after="100" w:afterAutospacing="1" w:line="240" w:lineRule="auto"/>
      <w:jc w:val="left"/>
    </w:pPr>
    <w:rPr>
      <w:rFonts w:ascii="宋体" w:hAnsi="宋体" w:cs="宋体"/>
      <w:sz w:val="20"/>
      <w:szCs w:val="20"/>
    </w:rPr>
  </w:style>
  <w:style w:type="paragraph" w:customStyle="1" w:styleId="1032">
    <w:name w:val="小表文居中"/>
    <w:basedOn w:val="1"/>
    <w:qFormat/>
    <w:uiPriority w:val="99"/>
    <w:pPr>
      <w:autoSpaceDE w:val="0"/>
      <w:autoSpaceDN w:val="0"/>
      <w:adjustRightInd w:val="0"/>
      <w:spacing w:before="20" w:line="240" w:lineRule="auto"/>
      <w:jc w:val="center"/>
    </w:pPr>
    <w:rPr>
      <w:sz w:val="18"/>
      <w:szCs w:val="20"/>
    </w:rPr>
  </w:style>
  <w:style w:type="character" w:customStyle="1" w:styleId="1033">
    <w:name w:val="注释 Char"/>
    <w:basedOn w:val="67"/>
    <w:link w:val="1034"/>
    <w:qFormat/>
    <w:locked/>
    <w:uiPriority w:val="0"/>
    <w:rPr>
      <w:rFonts w:ascii="宋体"/>
      <w:spacing w:val="4"/>
      <w:szCs w:val="24"/>
    </w:rPr>
  </w:style>
  <w:style w:type="paragraph" w:customStyle="1" w:styleId="1034">
    <w:name w:val="注释"/>
    <w:basedOn w:val="1"/>
    <w:link w:val="1033"/>
    <w:qFormat/>
    <w:uiPriority w:val="0"/>
    <w:pPr>
      <w:adjustRightInd w:val="0"/>
      <w:snapToGrid w:val="0"/>
    </w:pPr>
    <w:rPr>
      <w:rFonts w:ascii="宋体"/>
      <w:spacing w:val="4"/>
      <w:sz w:val="20"/>
    </w:rPr>
  </w:style>
  <w:style w:type="character" w:customStyle="1" w:styleId="1035">
    <w:name w:val="表格内容1 Char"/>
    <w:basedOn w:val="67"/>
    <w:link w:val="1036"/>
    <w:qFormat/>
    <w:locked/>
    <w:uiPriority w:val="0"/>
    <w:rPr>
      <w:rFonts w:ascii="宋体" w:hAnsi="Arial"/>
      <w:szCs w:val="24"/>
    </w:rPr>
  </w:style>
  <w:style w:type="paragraph" w:customStyle="1" w:styleId="1036">
    <w:name w:val="表格内容1"/>
    <w:basedOn w:val="1"/>
    <w:link w:val="1035"/>
    <w:qFormat/>
    <w:uiPriority w:val="0"/>
    <w:pPr>
      <w:adjustRightInd w:val="0"/>
      <w:snapToGrid w:val="0"/>
      <w:spacing w:beforeLines="20" w:afterLines="20" w:line="240" w:lineRule="exact"/>
      <w:jc w:val="center"/>
    </w:pPr>
    <w:rPr>
      <w:rFonts w:ascii="宋体" w:hAnsi="Arial"/>
      <w:sz w:val="20"/>
    </w:rPr>
  </w:style>
  <w:style w:type="paragraph" w:customStyle="1" w:styleId="1037">
    <w:name w:val="表内字"/>
    <w:autoRedefine/>
    <w:qFormat/>
    <w:uiPriority w:val="99"/>
    <w:pPr>
      <w:widowControl w:val="0"/>
      <w:jc w:val="center"/>
    </w:pPr>
    <w:rPr>
      <w:rFonts w:ascii="Times New Roman" w:hAnsi="Times New Roman" w:eastAsia="宋体" w:cs="Times New Roman"/>
      <w:kern w:val="2"/>
      <w:sz w:val="21"/>
      <w:szCs w:val="21"/>
      <w:lang w:val="en-US" w:eastAsia="zh-CN" w:bidi="ar-SA"/>
    </w:rPr>
  </w:style>
  <w:style w:type="paragraph" w:customStyle="1" w:styleId="1038">
    <w:name w:val="Char Char Char Char Char Char Char Char Char Char Char Char Char Char Char Char Char Char Char Char Char Char Char Char Char Char Char2 Char"/>
    <w:basedOn w:val="1"/>
    <w:qFormat/>
    <w:uiPriority w:val="99"/>
    <w:pPr>
      <w:ind w:firstLine="200" w:firstLineChars="200"/>
    </w:pPr>
    <w:rPr>
      <w:rFonts w:ascii="宋体" w:hAnsi="宋体" w:cs="宋体"/>
      <w:kern w:val="2"/>
    </w:rPr>
  </w:style>
  <w:style w:type="paragraph" w:customStyle="1" w:styleId="1039">
    <w:name w:val="Char Char Char Char Char Char Char Char Char Char Char Char1 Char Char Char"/>
    <w:basedOn w:val="1"/>
    <w:qFormat/>
    <w:uiPriority w:val="99"/>
    <w:pPr>
      <w:ind w:firstLine="200" w:firstLineChars="200"/>
    </w:pPr>
    <w:rPr>
      <w:rFonts w:ascii="宋体" w:hAnsi="宋体" w:cs="宋体"/>
      <w:kern w:val="2"/>
    </w:rPr>
  </w:style>
  <w:style w:type="paragraph" w:customStyle="1" w:styleId="1040">
    <w:name w:val="Char Char1 Char Char Char Char Char Char"/>
    <w:basedOn w:val="1"/>
    <w:qFormat/>
    <w:uiPriority w:val="99"/>
    <w:pPr>
      <w:ind w:firstLine="200" w:firstLineChars="200"/>
    </w:pPr>
    <w:rPr>
      <w:rFonts w:ascii="宋体" w:hAnsi="宋体" w:cs="宋体"/>
      <w:kern w:val="2"/>
    </w:rPr>
  </w:style>
  <w:style w:type="paragraph" w:customStyle="1" w:styleId="1041">
    <w:name w:val="Char Char Char Char Char Char Char Char Char Char Char Char1"/>
    <w:basedOn w:val="1"/>
    <w:qFormat/>
    <w:uiPriority w:val="99"/>
    <w:pPr>
      <w:ind w:firstLine="200" w:firstLineChars="200"/>
    </w:pPr>
    <w:rPr>
      <w:rFonts w:ascii="宋体" w:hAnsi="宋体" w:cs="宋体"/>
      <w:kern w:val="2"/>
    </w:rPr>
  </w:style>
  <w:style w:type="paragraph" w:customStyle="1" w:styleId="1042">
    <w:name w:val="Char Char Char Char Char Char Char Char Char Char Char Char Char Char Char"/>
    <w:basedOn w:val="1"/>
    <w:qFormat/>
    <w:uiPriority w:val="99"/>
    <w:pPr>
      <w:ind w:firstLine="200" w:firstLineChars="200"/>
    </w:pPr>
    <w:rPr>
      <w:rFonts w:ascii="宋体" w:hAnsi="宋体" w:cs="宋体"/>
      <w:kern w:val="2"/>
    </w:rPr>
  </w:style>
  <w:style w:type="paragraph" w:customStyle="1" w:styleId="1043">
    <w:name w:val="Char Char Char Char Char Char Char Char Char Char Char Char Char Char Char Char Char Char Char Char Char Char Char Char Char Char Char"/>
    <w:basedOn w:val="1"/>
    <w:qFormat/>
    <w:uiPriority w:val="99"/>
    <w:pPr>
      <w:ind w:firstLine="200" w:firstLineChars="200"/>
    </w:pPr>
    <w:rPr>
      <w:rFonts w:ascii="宋体" w:hAnsi="宋体" w:cs="宋体"/>
      <w:kern w:val="2"/>
    </w:rPr>
  </w:style>
  <w:style w:type="paragraph" w:customStyle="1" w:styleId="1044">
    <w:name w:val="Char Char Char Char Char Char Char Char Char Char Char Char Char Char Char Char Char Char Char Char Char Char Char Char Char"/>
    <w:basedOn w:val="1"/>
    <w:qFormat/>
    <w:uiPriority w:val="99"/>
    <w:pPr>
      <w:ind w:firstLine="200" w:firstLineChars="200"/>
    </w:pPr>
    <w:rPr>
      <w:rFonts w:ascii="宋体" w:hAnsi="宋体" w:cs="宋体"/>
      <w:kern w:val="2"/>
    </w:rPr>
  </w:style>
  <w:style w:type="paragraph" w:customStyle="1" w:styleId="1045">
    <w:name w:val="Char Char Char Char Char Char Char Char Char Char Char Char Char Char Char Char Char Char Char Char Char Char Char Char Char Char Char1"/>
    <w:basedOn w:val="1"/>
    <w:qFormat/>
    <w:uiPriority w:val="99"/>
    <w:pPr>
      <w:ind w:firstLine="200" w:firstLineChars="200"/>
    </w:pPr>
    <w:rPr>
      <w:rFonts w:ascii="宋体" w:hAnsi="宋体" w:cs="宋体"/>
      <w:kern w:val="2"/>
    </w:rPr>
  </w:style>
  <w:style w:type="paragraph" w:customStyle="1" w:styleId="1046">
    <w:name w:val="Char Char Char Char Char Char Char Char Char Char"/>
    <w:basedOn w:val="1"/>
    <w:semiHidden/>
    <w:qFormat/>
    <w:uiPriority w:val="99"/>
    <w:pPr>
      <w:spacing w:line="240" w:lineRule="auto"/>
    </w:pPr>
    <w:rPr>
      <w:kern w:val="2"/>
      <w:sz w:val="21"/>
    </w:rPr>
  </w:style>
  <w:style w:type="character" w:customStyle="1" w:styleId="1047">
    <w:name w:val="xyb自建正文 Char1"/>
    <w:basedOn w:val="67"/>
    <w:link w:val="1048"/>
    <w:qFormat/>
    <w:locked/>
    <w:uiPriority w:val="0"/>
    <w:rPr>
      <w:sz w:val="24"/>
      <w:szCs w:val="24"/>
    </w:rPr>
  </w:style>
  <w:style w:type="paragraph" w:customStyle="1" w:styleId="1048">
    <w:name w:val="xyb自建正文"/>
    <w:basedOn w:val="1"/>
    <w:link w:val="1047"/>
    <w:autoRedefine/>
    <w:qFormat/>
    <w:uiPriority w:val="0"/>
    <w:pPr>
      <w:adjustRightInd w:val="0"/>
      <w:snapToGrid w:val="0"/>
      <w:ind w:firstLine="480" w:firstLineChars="200"/>
    </w:pPr>
  </w:style>
  <w:style w:type="paragraph" w:customStyle="1" w:styleId="1049">
    <w:name w:val="样式 Bt3 + 加粗2"/>
    <w:basedOn w:val="4"/>
    <w:next w:val="1"/>
    <w:qFormat/>
    <w:uiPriority w:val="99"/>
    <w:pPr>
      <w:tabs>
        <w:tab w:val="left" w:pos="919"/>
      </w:tabs>
      <w:snapToGrid w:val="0"/>
      <w:spacing w:before="0" w:after="0"/>
      <w:jc w:val="left"/>
    </w:pPr>
    <w:rPr>
      <w:rFonts w:ascii="Times New Roman" w:hAnsi="Times New Roman" w:eastAsia="黑体" w:cs="Times New Roman"/>
      <w:color w:val="auto"/>
      <w:sz w:val="24"/>
      <w:szCs w:val="24"/>
    </w:rPr>
  </w:style>
  <w:style w:type="paragraph" w:customStyle="1" w:styleId="1050">
    <w:name w:val="样式 标题 1标题7章 + 自动设置 段前: 0.5 行 段后: 0.5 行 行距: 1.5 倍行距"/>
    <w:basedOn w:val="53"/>
    <w:next w:val="1"/>
    <w:qFormat/>
    <w:uiPriority w:val="99"/>
    <w:pPr>
      <w:spacing w:before="240" w:after="0" w:afterLines="50" w:line="360" w:lineRule="auto"/>
      <w:contextualSpacing w:val="0"/>
      <w:outlineLvl w:val="0"/>
    </w:pPr>
    <w:rPr>
      <w:rFonts w:ascii="Arial" w:hAnsi="Arial" w:eastAsia="黑体" w:cs="宋体"/>
      <w:spacing w:val="0"/>
      <w:kern w:val="2"/>
      <w:sz w:val="44"/>
      <w:szCs w:val="32"/>
    </w:rPr>
  </w:style>
  <w:style w:type="paragraph" w:customStyle="1" w:styleId="1051">
    <w:name w:val="haydonli"/>
    <w:basedOn w:val="1"/>
    <w:qFormat/>
    <w:uiPriority w:val="99"/>
    <w:pPr>
      <w:snapToGrid w:val="0"/>
      <w:ind w:firstLine="200" w:firstLineChars="200"/>
    </w:pPr>
    <w:rPr>
      <w:kern w:val="2"/>
    </w:rPr>
  </w:style>
  <w:style w:type="character" w:customStyle="1" w:styleId="1052">
    <w:name w:val="表名 Char"/>
    <w:basedOn w:val="67"/>
    <w:link w:val="1053"/>
    <w:qFormat/>
    <w:locked/>
    <w:uiPriority w:val="0"/>
    <w:rPr>
      <w:rFonts w:eastAsia="黑体"/>
      <w:sz w:val="28"/>
    </w:rPr>
  </w:style>
  <w:style w:type="paragraph" w:customStyle="1" w:styleId="1053">
    <w:name w:val="表名"/>
    <w:basedOn w:val="1"/>
    <w:link w:val="1052"/>
    <w:qFormat/>
    <w:uiPriority w:val="0"/>
    <w:pPr>
      <w:overflowPunct w:val="0"/>
      <w:spacing w:before="120" w:line="300" w:lineRule="exact"/>
    </w:pPr>
    <w:rPr>
      <w:rFonts w:eastAsia="黑体"/>
      <w:sz w:val="28"/>
      <w:szCs w:val="20"/>
    </w:rPr>
  </w:style>
  <w:style w:type="character" w:customStyle="1" w:styleId="1054">
    <w:name w:val="样式 宋体 小四 行距: 1.5 倍行距1 Char"/>
    <w:link w:val="1055"/>
    <w:qFormat/>
    <w:locked/>
    <w:uiPriority w:val="0"/>
    <w:rPr>
      <w:rFonts w:ascii="宋体" w:hAnsi="宋体" w:cs="宋体"/>
      <w:sz w:val="24"/>
    </w:rPr>
  </w:style>
  <w:style w:type="paragraph" w:customStyle="1" w:styleId="1055">
    <w:name w:val="样式 宋体 小四 行距: 1.5 倍行距1"/>
    <w:basedOn w:val="1"/>
    <w:link w:val="1054"/>
    <w:qFormat/>
    <w:uiPriority w:val="0"/>
    <w:pPr>
      <w:adjustRightInd w:val="0"/>
      <w:ind w:firstLine="200" w:firstLineChars="200"/>
    </w:pPr>
    <w:rPr>
      <w:rFonts w:ascii="宋体" w:hAnsi="宋体" w:cs="宋体"/>
      <w:szCs w:val="20"/>
    </w:rPr>
  </w:style>
  <w:style w:type="paragraph" w:customStyle="1" w:styleId="1056">
    <w:name w:val="lwp"/>
    <w:basedOn w:val="1"/>
    <w:qFormat/>
    <w:uiPriority w:val="99"/>
    <w:pPr>
      <w:adjustRightInd w:val="0"/>
      <w:snapToGrid w:val="0"/>
      <w:ind w:firstLine="200" w:firstLineChars="200"/>
    </w:pPr>
    <w:rPr>
      <w:kern w:val="2"/>
      <w:sz w:val="28"/>
      <w:szCs w:val="20"/>
    </w:rPr>
  </w:style>
  <w:style w:type="paragraph" w:customStyle="1" w:styleId="1057">
    <w:name w:val="Char Char Char Char Char Char Char Char Char Char Char Char1 Char Char Char Char"/>
    <w:basedOn w:val="1"/>
    <w:qFormat/>
    <w:uiPriority w:val="99"/>
    <w:pPr>
      <w:ind w:firstLine="200" w:firstLineChars="200"/>
    </w:pPr>
    <w:rPr>
      <w:rFonts w:ascii="宋体" w:hAnsi="宋体" w:cs="宋体"/>
      <w:kern w:val="2"/>
    </w:rPr>
  </w:style>
  <w:style w:type="paragraph" w:customStyle="1" w:styleId="1058">
    <w:name w:val="样式 样式 标题 4 + 段前: 0.3 行1 + 段前: 0.3 行"/>
    <w:basedOn w:val="1"/>
    <w:semiHidden/>
    <w:qFormat/>
    <w:uiPriority w:val="99"/>
    <w:pPr>
      <w:tabs>
        <w:tab w:val="left" w:pos="593"/>
        <w:tab w:val="left" w:pos="1873"/>
      </w:tabs>
      <w:spacing w:before="120" w:after="120" w:line="520" w:lineRule="exact"/>
      <w:ind w:left="1559" w:hanging="908"/>
      <w:jc w:val="left"/>
      <w:outlineLvl w:val="3"/>
    </w:pPr>
    <w:rPr>
      <w:rFonts w:ascii="宋体" w:hAnsi="宋体" w:cs="宋体"/>
      <w:kern w:val="2"/>
      <w:sz w:val="28"/>
      <w:szCs w:val="20"/>
    </w:rPr>
  </w:style>
  <w:style w:type="paragraph" w:customStyle="1" w:styleId="1059">
    <w:name w:val="报告1"/>
    <w:basedOn w:val="478"/>
    <w:qFormat/>
    <w:uiPriority w:val="99"/>
    <w:pPr>
      <w:textAlignment w:val="auto"/>
    </w:pPr>
    <w:rPr>
      <w:rFonts w:ascii="Times New Roman" w:hAnsi="Times New Roman"/>
      <w:kern w:val="24"/>
    </w:rPr>
  </w:style>
  <w:style w:type="paragraph" w:customStyle="1" w:styleId="1060">
    <w:name w:val="标准文件_正文表标题"/>
    <w:next w:val="1"/>
    <w:qFormat/>
    <w:uiPriority w:val="99"/>
    <w:pPr>
      <w:tabs>
        <w:tab w:val="left" w:pos="0"/>
      </w:tabs>
      <w:jc w:val="center"/>
    </w:pPr>
    <w:rPr>
      <w:rFonts w:ascii="黑体" w:hAnsi="Times New Roman" w:eastAsia="黑体" w:cs="Times New Roman"/>
      <w:sz w:val="21"/>
      <w:lang w:val="en-US" w:eastAsia="zh-CN" w:bidi="ar-SA"/>
    </w:rPr>
  </w:style>
  <w:style w:type="paragraph" w:customStyle="1" w:styleId="1061">
    <w:name w:val="字母编号列项（一级）"/>
    <w:qFormat/>
    <w:uiPriority w:val="99"/>
    <w:pPr>
      <w:ind w:left="840" w:leftChars="200" w:hanging="420" w:hangingChars="200"/>
      <w:jc w:val="both"/>
    </w:pPr>
    <w:rPr>
      <w:rFonts w:ascii="宋体" w:hAnsi="Times New Roman" w:eastAsia="宋体" w:cs="Times New Roman"/>
      <w:sz w:val="21"/>
      <w:lang w:val="en-US" w:eastAsia="zh-CN" w:bidi="ar-SA"/>
    </w:rPr>
  </w:style>
  <w:style w:type="character" w:customStyle="1" w:styleId="1062">
    <w:name w:val="五号 居中 Char Char"/>
    <w:basedOn w:val="67"/>
    <w:link w:val="1063"/>
    <w:qFormat/>
    <w:locked/>
    <w:uiPriority w:val="0"/>
    <w:rPr>
      <w:rFonts w:cs="宋体"/>
      <w:szCs w:val="21"/>
    </w:rPr>
  </w:style>
  <w:style w:type="paragraph" w:customStyle="1" w:styleId="1063">
    <w:name w:val="五号 居中 Char"/>
    <w:basedOn w:val="1"/>
    <w:link w:val="1062"/>
    <w:qFormat/>
    <w:uiPriority w:val="0"/>
    <w:pPr>
      <w:jc w:val="center"/>
    </w:pPr>
    <w:rPr>
      <w:rFonts w:cs="宋体"/>
      <w:sz w:val="20"/>
      <w:szCs w:val="21"/>
    </w:rPr>
  </w:style>
  <w:style w:type="paragraph" w:customStyle="1" w:styleId="1064">
    <w:name w:val="五号"/>
    <w:basedOn w:val="1"/>
    <w:next w:val="1"/>
    <w:qFormat/>
    <w:uiPriority w:val="99"/>
    <w:rPr>
      <w:sz w:val="21"/>
      <w:szCs w:val="21"/>
    </w:rPr>
  </w:style>
  <w:style w:type="paragraph" w:customStyle="1" w:styleId="1065">
    <w:name w:val="五号+居中"/>
    <w:basedOn w:val="1"/>
    <w:next w:val="1"/>
    <w:qFormat/>
    <w:uiPriority w:val="99"/>
    <w:pPr>
      <w:tabs>
        <w:tab w:val="left" w:pos="0"/>
      </w:tabs>
      <w:spacing w:line="240" w:lineRule="auto"/>
      <w:jc w:val="center"/>
    </w:pPr>
    <w:rPr>
      <w:sz w:val="21"/>
      <w:szCs w:val="21"/>
    </w:rPr>
  </w:style>
  <w:style w:type="character" w:customStyle="1" w:styleId="1066">
    <w:name w:val="正文，首行空格 Char"/>
    <w:basedOn w:val="67"/>
    <w:link w:val="1067"/>
    <w:semiHidden/>
    <w:qFormat/>
    <w:locked/>
    <w:uiPriority w:val="0"/>
    <w:rPr>
      <w:rFonts w:cs="宋体"/>
      <w:sz w:val="24"/>
    </w:rPr>
  </w:style>
  <w:style w:type="paragraph" w:customStyle="1" w:styleId="1067">
    <w:name w:val="正文，首行空格"/>
    <w:basedOn w:val="1"/>
    <w:link w:val="1066"/>
    <w:semiHidden/>
    <w:qFormat/>
    <w:uiPriority w:val="0"/>
    <w:pPr>
      <w:spacing w:line="440" w:lineRule="exact"/>
      <w:ind w:firstLine="480"/>
    </w:pPr>
    <w:rPr>
      <w:rFonts w:cs="宋体"/>
      <w:szCs w:val="20"/>
    </w:rPr>
  </w:style>
  <w:style w:type="paragraph" w:customStyle="1" w:styleId="1068">
    <w:name w:val="Char Char Char Char Char Char Char1"/>
    <w:basedOn w:val="1"/>
    <w:qFormat/>
    <w:uiPriority w:val="99"/>
    <w:pPr>
      <w:snapToGrid w:val="0"/>
      <w:spacing w:line="460" w:lineRule="exact"/>
      <w:ind w:firstLine="200" w:firstLineChars="200"/>
    </w:pPr>
    <w:rPr>
      <w:rFonts w:ascii="宋体" w:hAnsi="宋体"/>
      <w:kern w:val="2"/>
      <w:szCs w:val="32"/>
    </w:rPr>
  </w:style>
  <w:style w:type="character" w:customStyle="1" w:styleId="1069">
    <w:name w:val="标题7 Char"/>
    <w:basedOn w:val="67"/>
    <w:link w:val="1070"/>
    <w:semiHidden/>
    <w:qFormat/>
    <w:locked/>
    <w:uiPriority w:val="0"/>
    <w:rPr>
      <w:sz w:val="28"/>
      <w:szCs w:val="28"/>
    </w:rPr>
  </w:style>
  <w:style w:type="paragraph" w:customStyle="1" w:styleId="1070">
    <w:name w:val="标题7"/>
    <w:basedOn w:val="1"/>
    <w:next w:val="1"/>
    <w:link w:val="1069"/>
    <w:semiHidden/>
    <w:qFormat/>
    <w:uiPriority w:val="0"/>
    <w:pPr>
      <w:spacing w:line="440" w:lineRule="exact"/>
      <w:outlineLvl w:val="6"/>
    </w:pPr>
    <w:rPr>
      <w:sz w:val="28"/>
      <w:szCs w:val="28"/>
    </w:rPr>
  </w:style>
  <w:style w:type="paragraph" w:customStyle="1" w:styleId="1071">
    <w:name w:val="样式 标题 3 + (中文) 宋体1"/>
    <w:basedOn w:val="4"/>
    <w:qFormat/>
    <w:uiPriority w:val="99"/>
    <w:pPr>
      <w:spacing w:after="0" w:line="412" w:lineRule="auto"/>
    </w:pPr>
    <w:rPr>
      <w:rFonts w:ascii="Times New Roman" w:hAnsi="Times New Roman" w:eastAsia="Times New Roman" w:cs="Times New Roman"/>
      <w:b/>
      <w:bCs/>
      <w:color w:val="auto"/>
      <w:kern w:val="2"/>
      <w:sz w:val="28"/>
    </w:rPr>
  </w:style>
  <w:style w:type="paragraph" w:customStyle="1" w:styleId="1072">
    <w:name w:val="标准文件_一级条标题"/>
    <w:basedOn w:val="1"/>
    <w:next w:val="1"/>
    <w:qFormat/>
    <w:uiPriority w:val="99"/>
    <w:pPr>
      <w:widowControl/>
      <w:tabs>
        <w:tab w:val="left" w:pos="2651"/>
      </w:tabs>
      <w:spacing w:line="240" w:lineRule="auto"/>
      <w:ind w:left="2651" w:right="-50" w:rightChars="-50" w:hanging="420"/>
      <w:outlineLvl w:val="2"/>
    </w:pPr>
    <w:rPr>
      <w:rFonts w:ascii="黑体" w:eastAsia="黑体"/>
      <w:spacing w:val="2"/>
      <w:sz w:val="21"/>
      <w:szCs w:val="20"/>
    </w:rPr>
  </w:style>
  <w:style w:type="paragraph" w:customStyle="1" w:styleId="1073">
    <w:name w:val="标准文件_三级条标题"/>
    <w:basedOn w:val="1"/>
    <w:next w:val="1"/>
    <w:qFormat/>
    <w:uiPriority w:val="99"/>
    <w:pPr>
      <w:widowControl/>
      <w:tabs>
        <w:tab w:val="left" w:pos="1391"/>
        <w:tab w:val="left" w:pos="2670"/>
      </w:tabs>
      <w:spacing w:line="240" w:lineRule="auto"/>
      <w:ind w:right="-50" w:rightChars="-50" w:hanging="420"/>
      <w:outlineLvl w:val="4"/>
    </w:pPr>
    <w:rPr>
      <w:rFonts w:ascii="黑体" w:eastAsia="黑体"/>
      <w:spacing w:val="2"/>
      <w:sz w:val="21"/>
      <w:szCs w:val="20"/>
    </w:rPr>
  </w:style>
  <w:style w:type="paragraph" w:customStyle="1" w:styleId="1074">
    <w:name w:val="基准页眉样式"/>
    <w:basedOn w:val="1"/>
    <w:autoRedefine/>
    <w:qFormat/>
    <w:uiPriority w:val="99"/>
    <w:pPr>
      <w:keepLines/>
      <w:tabs>
        <w:tab w:val="center" w:pos="-18551"/>
        <w:tab w:val="right" w:pos="4320"/>
      </w:tabs>
      <w:spacing w:line="520" w:lineRule="exact"/>
      <w:ind w:firstLine="200" w:firstLineChars="200"/>
      <w:jc w:val="left"/>
    </w:pPr>
    <w:rPr>
      <w:rFonts w:ascii="Arial" w:hAnsi="Arial"/>
      <w:spacing w:val="-4"/>
      <w:sz w:val="28"/>
      <w:szCs w:val="20"/>
    </w:rPr>
  </w:style>
  <w:style w:type="paragraph" w:customStyle="1" w:styleId="1075">
    <w:name w:val="标准标志"/>
    <w:next w:val="1"/>
    <w:uiPriority w:val="99"/>
    <w:pPr>
      <w:framePr w:w="2268" w:h="1392"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1076">
    <w:name w:val="正文 缩进"/>
    <w:basedOn w:val="1"/>
    <w:next w:val="1"/>
    <w:qFormat/>
    <w:uiPriority w:val="99"/>
    <w:pPr>
      <w:widowControl/>
      <w:spacing w:line="480" w:lineRule="exact"/>
      <w:ind w:firstLine="200" w:firstLineChars="200"/>
    </w:pPr>
    <w:rPr>
      <w:sz w:val="28"/>
      <w:szCs w:val="20"/>
    </w:rPr>
  </w:style>
  <w:style w:type="paragraph" w:customStyle="1" w:styleId="1077">
    <w:name w:val="Char1 Char Char Char Char Char Char"/>
    <w:basedOn w:val="1"/>
    <w:qFormat/>
    <w:uiPriority w:val="99"/>
    <w:pPr>
      <w:spacing w:line="240" w:lineRule="auto"/>
    </w:pPr>
    <w:rPr>
      <w:kern w:val="2"/>
      <w:sz w:val="21"/>
    </w:rPr>
  </w:style>
  <w:style w:type="paragraph" w:customStyle="1" w:styleId="1078">
    <w:name w:val="列出段落11"/>
    <w:basedOn w:val="1"/>
    <w:qFormat/>
    <w:uiPriority w:val="99"/>
    <w:pPr>
      <w:spacing w:line="240" w:lineRule="auto"/>
      <w:ind w:firstLine="420" w:firstLineChars="200"/>
    </w:pPr>
    <w:rPr>
      <w:rFonts w:ascii="Calibri" w:hAnsi="Calibri"/>
      <w:kern w:val="2"/>
      <w:sz w:val="21"/>
      <w:szCs w:val="22"/>
    </w:rPr>
  </w:style>
  <w:style w:type="paragraph" w:customStyle="1" w:styleId="1079">
    <w:name w:val="标2"/>
    <w:basedOn w:val="1"/>
    <w:qFormat/>
    <w:uiPriority w:val="99"/>
    <w:pPr>
      <w:keepNext/>
      <w:keepLines/>
      <w:spacing w:beforeLines="80" w:line="520" w:lineRule="exact"/>
      <w:jc w:val="left"/>
      <w:outlineLvl w:val="1"/>
    </w:pPr>
    <w:rPr>
      <w:rFonts w:ascii="Arial" w:hAnsi="Arial" w:eastAsia="黑体"/>
      <w:b/>
      <w:kern w:val="2"/>
      <w:sz w:val="28"/>
      <w:szCs w:val="20"/>
    </w:rPr>
  </w:style>
  <w:style w:type="character" w:customStyle="1" w:styleId="1080">
    <w:name w:val="表标题 Char"/>
    <w:link w:val="1081"/>
    <w:qFormat/>
    <w:locked/>
    <w:uiPriority w:val="0"/>
    <w:rPr>
      <w:b/>
      <w:bCs/>
      <w:smallCaps/>
      <w:kern w:val="24"/>
      <w:sz w:val="24"/>
      <w:szCs w:val="24"/>
    </w:rPr>
  </w:style>
  <w:style w:type="paragraph" w:customStyle="1" w:styleId="1081">
    <w:name w:val="表标题"/>
    <w:basedOn w:val="46"/>
    <w:link w:val="1080"/>
    <w:qFormat/>
    <w:uiPriority w:val="0"/>
    <w:pPr>
      <w:spacing w:after="120" w:line="240" w:lineRule="auto"/>
      <w:ind w:left="420" w:hanging="420"/>
      <w:jc w:val="center"/>
    </w:pPr>
    <w:rPr>
      <w:b/>
      <w:bCs/>
      <w:smallCaps/>
      <w:kern w:val="24"/>
    </w:rPr>
  </w:style>
  <w:style w:type="paragraph" w:customStyle="1" w:styleId="1082">
    <w:name w:val="标题 3 + 两端对齐"/>
    <w:basedOn w:val="3"/>
    <w:qFormat/>
    <w:uiPriority w:val="99"/>
    <w:pPr>
      <w:keepLines w:val="0"/>
      <w:spacing w:before="0" w:beforeLines="50" w:after="0" w:afterLines="50"/>
    </w:pPr>
    <w:rPr>
      <w:rFonts w:ascii="Times New Roman" w:hAnsi="Times New Roman" w:eastAsia="宋体" w:cs="Times New Roman"/>
      <w:color w:val="auto"/>
      <w:kern w:val="2"/>
      <w:sz w:val="24"/>
      <w:szCs w:val="24"/>
    </w:rPr>
  </w:style>
  <w:style w:type="paragraph" w:customStyle="1" w:styleId="1083">
    <w:name w:val="标准文件_段"/>
    <w:autoRedefine/>
    <w:qFormat/>
    <w:uiPriority w:val="99"/>
    <w:pPr>
      <w:autoSpaceDE w:val="0"/>
      <w:autoSpaceDN w:val="0"/>
      <w:adjustRightInd w:val="0"/>
      <w:snapToGrid w:val="0"/>
      <w:spacing w:beforeLines="50" w:line="276" w:lineRule="auto"/>
      <w:ind w:right="-105" w:rightChars="-50" w:firstLine="428" w:firstLineChars="200"/>
      <w:jc w:val="both"/>
    </w:pPr>
    <w:rPr>
      <w:rFonts w:ascii="Times New Roman" w:hAnsi="Times New Roman" w:eastAsia="宋体" w:cs="Times New Roman"/>
      <w:spacing w:val="2"/>
      <w:sz w:val="21"/>
      <w:lang w:val="en-US" w:eastAsia="zh-CN" w:bidi="ar-SA"/>
    </w:rPr>
  </w:style>
  <w:style w:type="paragraph" w:customStyle="1" w:styleId="1084">
    <w:name w:val="标准文件_章标题"/>
    <w:next w:val="1083"/>
    <w:qFormat/>
    <w:uiPriority w:val="99"/>
    <w:pPr>
      <w:tabs>
        <w:tab w:val="left" w:pos="1391"/>
      </w:tabs>
      <w:spacing w:beforeLines="50"/>
      <w:ind w:left="-50" w:leftChars="-50" w:right="-50" w:rightChars="-50" w:hanging="420"/>
      <w:jc w:val="both"/>
      <w:outlineLvl w:val="1"/>
    </w:pPr>
    <w:rPr>
      <w:rFonts w:ascii="黑体" w:hAnsi="Times New Roman" w:eastAsia="黑体" w:cs="Times New Roman"/>
      <w:spacing w:val="2"/>
      <w:sz w:val="21"/>
      <w:lang w:val="en-US" w:eastAsia="zh-CN" w:bidi="ar-SA"/>
    </w:rPr>
  </w:style>
  <w:style w:type="paragraph" w:customStyle="1" w:styleId="1085">
    <w:name w:val="标准文件_二级条标题"/>
    <w:basedOn w:val="1072"/>
    <w:next w:val="1083"/>
    <w:qFormat/>
    <w:uiPriority w:val="99"/>
    <w:pPr>
      <w:tabs>
        <w:tab w:val="left" w:pos="2231"/>
        <w:tab w:val="clear" w:pos="2651"/>
      </w:tabs>
      <w:ind w:left="2231" w:hanging="200" w:hangingChars="200"/>
      <w:outlineLvl w:val="3"/>
    </w:pPr>
  </w:style>
  <w:style w:type="paragraph" w:customStyle="1" w:styleId="1086">
    <w:name w:val="前言标题"/>
    <w:next w:val="1"/>
    <w:qFormat/>
    <w:uiPriority w:val="99"/>
    <w:pPr>
      <w:shd w:val="clear" w:color="auto" w:fill="FFFFFF"/>
      <w:tabs>
        <w:tab w:val="left" w:pos="975"/>
      </w:tabs>
      <w:spacing w:before="540" w:after="600"/>
      <w:ind w:left="975" w:hanging="435"/>
      <w:jc w:val="center"/>
      <w:outlineLvl w:val="0"/>
    </w:pPr>
    <w:rPr>
      <w:rFonts w:ascii="黑体" w:hAnsi="Times New Roman" w:eastAsia="黑体" w:cs="Times New Roman"/>
      <w:sz w:val="32"/>
      <w:lang w:val="en-US" w:eastAsia="zh-CN" w:bidi="ar-SA"/>
    </w:rPr>
  </w:style>
  <w:style w:type="paragraph" w:customStyle="1" w:styleId="1087">
    <w:name w:val="标准文件_四级条标题"/>
    <w:basedOn w:val="1073"/>
    <w:next w:val="1083"/>
    <w:qFormat/>
    <w:uiPriority w:val="99"/>
    <w:pPr>
      <w:tabs>
        <w:tab w:val="left" w:pos="3071"/>
        <w:tab w:val="clear" w:pos="1391"/>
        <w:tab w:val="clear" w:pos="2670"/>
      </w:tabs>
      <w:ind w:left="360" w:hanging="200" w:hangingChars="200"/>
      <w:outlineLvl w:val="5"/>
    </w:pPr>
  </w:style>
  <w:style w:type="paragraph" w:customStyle="1" w:styleId="1088">
    <w:name w:val="标准文件_五级条标题"/>
    <w:basedOn w:val="1087"/>
    <w:next w:val="1083"/>
    <w:qFormat/>
    <w:uiPriority w:val="99"/>
    <w:pPr>
      <w:tabs>
        <w:tab w:val="left" w:pos="3491"/>
        <w:tab w:val="clear" w:pos="3071"/>
      </w:tabs>
      <w:ind w:left="3491"/>
      <w:outlineLvl w:val="6"/>
    </w:pPr>
  </w:style>
  <w:style w:type="paragraph" w:customStyle="1" w:styleId="1089">
    <w:name w:val="Char Char Char Char Char Char Char Char Char Char Char Char Char Char Char Char Char Char Char Char Char Char Char Char Char Char Char11"/>
    <w:basedOn w:val="1"/>
    <w:qFormat/>
    <w:uiPriority w:val="99"/>
    <w:pPr>
      <w:ind w:firstLine="200" w:firstLineChars="200"/>
    </w:pPr>
    <w:rPr>
      <w:rFonts w:ascii="宋体" w:hAnsi="宋体" w:cs="宋体"/>
      <w:kern w:val="2"/>
    </w:rPr>
  </w:style>
  <w:style w:type="paragraph" w:customStyle="1" w:styleId="1090">
    <w:name w:val="Char Char Char Char Char Char Char Char Char Char1"/>
    <w:basedOn w:val="1"/>
    <w:semiHidden/>
    <w:qFormat/>
    <w:uiPriority w:val="99"/>
    <w:pPr>
      <w:spacing w:line="240" w:lineRule="auto"/>
    </w:pPr>
    <w:rPr>
      <w:kern w:val="2"/>
      <w:sz w:val="21"/>
    </w:rPr>
  </w:style>
  <w:style w:type="character" w:customStyle="1" w:styleId="1091">
    <w:name w:val="报告表中 Char"/>
    <w:basedOn w:val="67"/>
    <w:link w:val="1092"/>
    <w:qFormat/>
    <w:locked/>
    <w:uiPriority w:val="0"/>
    <w:rPr>
      <w:sz w:val="18"/>
    </w:rPr>
  </w:style>
  <w:style w:type="paragraph" w:customStyle="1" w:styleId="1092">
    <w:name w:val="报告表中"/>
    <w:basedOn w:val="1"/>
    <w:link w:val="1091"/>
    <w:qFormat/>
    <w:uiPriority w:val="0"/>
    <w:pPr>
      <w:spacing w:line="240" w:lineRule="auto"/>
      <w:jc w:val="center"/>
    </w:pPr>
    <w:rPr>
      <w:sz w:val="18"/>
      <w:szCs w:val="20"/>
    </w:rPr>
  </w:style>
  <w:style w:type="character" w:customStyle="1" w:styleId="1093">
    <w:name w:val="样式 样式 报告表正文 + 左侧:  0 厘米 行距: 1.5 倍行距 + 五号 黑色 Char"/>
    <w:basedOn w:val="67"/>
    <w:link w:val="1094"/>
    <w:qFormat/>
    <w:locked/>
    <w:uiPriority w:val="0"/>
    <w:rPr>
      <w:rFonts w:ascii="宋体" w:hAnsi="宋体"/>
      <w:color w:val="000000"/>
      <w:sz w:val="24"/>
      <w:szCs w:val="24"/>
    </w:rPr>
  </w:style>
  <w:style w:type="paragraph" w:customStyle="1" w:styleId="1094">
    <w:name w:val="样式 样式 报告表正文 + 左侧:  0 厘米 行距: 1.5 倍行距 + 五号 黑色"/>
    <w:basedOn w:val="1"/>
    <w:link w:val="1093"/>
    <w:qFormat/>
    <w:uiPriority w:val="0"/>
    <w:pPr>
      <w:widowControl/>
      <w:spacing w:afterLines="20"/>
      <w:ind w:firstLine="200" w:firstLineChars="200"/>
      <w:jc w:val="left"/>
    </w:pPr>
    <w:rPr>
      <w:rFonts w:ascii="宋体" w:hAnsi="宋体"/>
      <w:color w:val="000000"/>
    </w:rPr>
  </w:style>
  <w:style w:type="paragraph" w:customStyle="1" w:styleId="1095">
    <w:name w:val="Char4 Char Char Char Char Char Char11"/>
    <w:basedOn w:val="1"/>
    <w:qFormat/>
    <w:uiPriority w:val="99"/>
    <w:pPr>
      <w:ind w:firstLine="200" w:firstLineChars="200"/>
    </w:pPr>
    <w:rPr>
      <w:rFonts w:ascii="宋体" w:hAnsi="宋体" w:cs="宋体"/>
      <w:kern w:val="2"/>
    </w:rPr>
  </w:style>
  <w:style w:type="character" w:customStyle="1" w:styleId="1096">
    <w:name w:val="表内文字五号 Char"/>
    <w:link w:val="1097"/>
    <w:qFormat/>
    <w:locked/>
    <w:uiPriority w:val="0"/>
    <w:rPr>
      <w:rFonts w:ascii="宋体" w:hAnsi="宋体"/>
    </w:rPr>
  </w:style>
  <w:style w:type="paragraph" w:customStyle="1" w:styleId="1097">
    <w:name w:val="表内文字五号"/>
    <w:basedOn w:val="1"/>
    <w:link w:val="1096"/>
    <w:qFormat/>
    <w:uiPriority w:val="0"/>
    <w:pPr>
      <w:spacing w:line="240" w:lineRule="auto"/>
      <w:jc w:val="center"/>
    </w:pPr>
    <w:rPr>
      <w:rFonts w:ascii="宋体" w:hAnsi="宋体"/>
      <w:sz w:val="20"/>
      <w:szCs w:val="20"/>
    </w:rPr>
  </w:style>
  <w:style w:type="paragraph" w:customStyle="1" w:styleId="1098">
    <w:name w:val="Table"/>
    <w:next w:val="1"/>
    <w:qFormat/>
    <w:uiPriority w:val="99"/>
    <w:pPr>
      <w:jc w:val="center"/>
    </w:pPr>
    <w:rPr>
      <w:rFonts w:ascii="Times New Roman" w:hAnsi="Times New Roman" w:eastAsia="宋体" w:cs="Times New Roman"/>
      <w:kern w:val="2"/>
      <w:sz w:val="21"/>
      <w:szCs w:val="24"/>
      <w:lang w:val="en-US" w:eastAsia="zh-CN" w:bidi="ar-SA"/>
    </w:rPr>
  </w:style>
  <w:style w:type="paragraph" w:customStyle="1" w:styleId="1099">
    <w:name w:val="样式"/>
    <w:basedOn w:val="1"/>
    <w:next w:val="34"/>
    <w:uiPriority w:val="99"/>
    <w:pPr>
      <w:snapToGrid w:val="0"/>
      <w:ind w:firstLine="538" w:firstLineChars="192"/>
    </w:pPr>
    <w:rPr>
      <w:rFonts w:eastAsia="楷体_GB2312"/>
      <w:kern w:val="2"/>
      <w:sz w:val="28"/>
      <w:szCs w:val="28"/>
    </w:rPr>
  </w:style>
  <w:style w:type="paragraph" w:customStyle="1" w:styleId="1100">
    <w:name w:val="Char Char Char Char Char Char Char Char Char1"/>
    <w:basedOn w:val="1"/>
    <w:semiHidden/>
    <w:qFormat/>
    <w:uiPriority w:val="99"/>
    <w:pPr>
      <w:spacing w:line="240" w:lineRule="auto"/>
    </w:pPr>
    <w:rPr>
      <w:kern w:val="2"/>
      <w:sz w:val="21"/>
    </w:rPr>
  </w:style>
  <w:style w:type="paragraph" w:customStyle="1" w:styleId="1101">
    <w:name w:val="Char Char Char Char Char Char Char Char Char Char Char Char Char Char Char Char Char Char Char Char Char Char Char Char1 Char1"/>
    <w:basedOn w:val="1"/>
    <w:qFormat/>
    <w:uiPriority w:val="99"/>
    <w:pPr>
      <w:ind w:firstLine="200" w:firstLineChars="200"/>
    </w:pPr>
    <w:rPr>
      <w:rFonts w:ascii="宋体" w:hAnsi="宋体" w:cs="宋体"/>
      <w:kern w:val="2"/>
    </w:rPr>
  </w:style>
  <w:style w:type="paragraph" w:customStyle="1" w:styleId="1102">
    <w:name w:val="Char Char Char Char Char Char Char Char Char Char Char Char Char Char Char Char Char Char Char Char Char Char Char Char Char Char Char2 Char1"/>
    <w:basedOn w:val="1"/>
    <w:qFormat/>
    <w:uiPriority w:val="99"/>
    <w:pPr>
      <w:ind w:firstLine="200" w:firstLineChars="200"/>
    </w:pPr>
    <w:rPr>
      <w:rFonts w:ascii="宋体" w:hAnsi="宋体" w:cs="宋体"/>
      <w:kern w:val="2"/>
    </w:rPr>
  </w:style>
  <w:style w:type="paragraph" w:customStyle="1" w:styleId="1103">
    <w:name w:val="Char Char Char Char Char Char Char Char Char Char Char Char1 Char Char Char1"/>
    <w:basedOn w:val="1"/>
    <w:qFormat/>
    <w:uiPriority w:val="99"/>
    <w:pPr>
      <w:ind w:firstLine="200" w:firstLineChars="200"/>
    </w:pPr>
    <w:rPr>
      <w:rFonts w:ascii="宋体" w:hAnsi="宋体" w:cs="宋体"/>
      <w:kern w:val="2"/>
    </w:rPr>
  </w:style>
  <w:style w:type="paragraph" w:customStyle="1" w:styleId="1104">
    <w:name w:val="Char Char Char Char Char Char2"/>
    <w:basedOn w:val="1"/>
    <w:semiHidden/>
    <w:qFormat/>
    <w:uiPriority w:val="99"/>
    <w:pPr>
      <w:spacing w:line="240" w:lineRule="auto"/>
    </w:pPr>
    <w:rPr>
      <w:kern w:val="2"/>
      <w:sz w:val="21"/>
    </w:rPr>
  </w:style>
  <w:style w:type="paragraph" w:customStyle="1" w:styleId="1105">
    <w:name w:val="Char Char1 Char Char Char Char Char Char1"/>
    <w:basedOn w:val="1"/>
    <w:qFormat/>
    <w:uiPriority w:val="99"/>
    <w:pPr>
      <w:ind w:firstLine="200" w:firstLineChars="200"/>
    </w:pPr>
    <w:rPr>
      <w:rFonts w:ascii="宋体" w:hAnsi="宋体" w:cs="宋体"/>
      <w:kern w:val="2"/>
    </w:rPr>
  </w:style>
  <w:style w:type="paragraph" w:customStyle="1" w:styleId="1106">
    <w:name w:val="Char Char Char Char Char Char Char Char Char Char Char Char11"/>
    <w:basedOn w:val="1"/>
    <w:qFormat/>
    <w:uiPriority w:val="99"/>
    <w:pPr>
      <w:ind w:firstLine="200" w:firstLineChars="200"/>
    </w:pPr>
    <w:rPr>
      <w:rFonts w:ascii="宋体" w:hAnsi="宋体" w:cs="宋体"/>
      <w:kern w:val="2"/>
    </w:rPr>
  </w:style>
  <w:style w:type="paragraph" w:customStyle="1" w:styleId="1107">
    <w:name w:val="Char Char Char Char Char Char Char Char Char Char Char Char Char Char Char1"/>
    <w:basedOn w:val="1"/>
    <w:qFormat/>
    <w:uiPriority w:val="99"/>
    <w:pPr>
      <w:ind w:firstLine="200" w:firstLineChars="200"/>
    </w:pPr>
    <w:rPr>
      <w:rFonts w:ascii="宋体" w:hAnsi="宋体" w:cs="宋体"/>
      <w:kern w:val="2"/>
    </w:rPr>
  </w:style>
  <w:style w:type="paragraph" w:customStyle="1" w:styleId="1108">
    <w:name w:val="Char Char Char Char Char Char Char Char Char Char Char Char Char Char Char Char Char Char Char Char Char Char Char Char Char Char Char2"/>
    <w:basedOn w:val="1"/>
    <w:qFormat/>
    <w:uiPriority w:val="99"/>
    <w:pPr>
      <w:ind w:firstLine="200" w:firstLineChars="200"/>
    </w:pPr>
    <w:rPr>
      <w:rFonts w:ascii="宋体" w:hAnsi="宋体" w:cs="宋体"/>
      <w:kern w:val="2"/>
    </w:rPr>
  </w:style>
  <w:style w:type="paragraph" w:customStyle="1" w:styleId="1109">
    <w:name w:val="Char Char Char Char Char Char Char Char Char Char Char Char Char Char Char Char Char Char Char Char Char Char Char Char Char1"/>
    <w:basedOn w:val="1"/>
    <w:qFormat/>
    <w:uiPriority w:val="99"/>
    <w:pPr>
      <w:ind w:firstLine="200" w:firstLineChars="200"/>
    </w:pPr>
    <w:rPr>
      <w:rFonts w:ascii="宋体" w:hAnsi="宋体" w:cs="宋体"/>
      <w:kern w:val="2"/>
    </w:rPr>
  </w:style>
  <w:style w:type="paragraph" w:customStyle="1" w:styleId="1110">
    <w:name w:val="Char Char Char Char Char Char Char Char Char Char Char Char1 Char Char Char Char1"/>
    <w:basedOn w:val="1"/>
    <w:qFormat/>
    <w:uiPriority w:val="99"/>
    <w:pPr>
      <w:ind w:firstLine="200" w:firstLineChars="200"/>
    </w:pPr>
    <w:rPr>
      <w:rFonts w:ascii="宋体" w:hAnsi="宋体" w:cs="宋体"/>
      <w:kern w:val="2"/>
    </w:rPr>
  </w:style>
  <w:style w:type="paragraph" w:customStyle="1" w:styleId="1111">
    <w:name w:val="Char1 Char Char Char Char Char Char1"/>
    <w:basedOn w:val="1"/>
    <w:uiPriority w:val="99"/>
    <w:pPr>
      <w:spacing w:line="240" w:lineRule="auto"/>
    </w:pPr>
    <w:rPr>
      <w:kern w:val="2"/>
      <w:sz w:val="21"/>
    </w:rPr>
  </w:style>
  <w:style w:type="paragraph" w:customStyle="1" w:styleId="1112">
    <w:name w:val="Char Char Char Char Char Char11"/>
    <w:basedOn w:val="17"/>
    <w:autoRedefine/>
    <w:qFormat/>
    <w:uiPriority w:val="99"/>
    <w:pPr>
      <w:spacing w:line="436" w:lineRule="exact"/>
    </w:pPr>
    <w:rPr>
      <w:rFonts w:ascii="Tahoma" w:hAnsi="Tahoma"/>
      <w:b/>
      <w:kern w:val="2"/>
      <w:sz w:val="24"/>
    </w:rPr>
  </w:style>
  <w:style w:type="paragraph" w:customStyle="1" w:styleId="1113">
    <w:name w:val="Char1 Char Char Char1"/>
    <w:basedOn w:val="1"/>
    <w:qFormat/>
    <w:uiPriority w:val="99"/>
    <w:pPr>
      <w:spacing w:line="240" w:lineRule="auto"/>
    </w:pPr>
    <w:rPr>
      <w:kern w:val="2"/>
      <w:sz w:val="21"/>
    </w:rPr>
  </w:style>
  <w:style w:type="paragraph" w:customStyle="1" w:styleId="1114">
    <w:name w:val="普通(网站)1"/>
    <w:basedOn w:val="1"/>
    <w:uiPriority w:val="99"/>
    <w:pPr>
      <w:widowControl/>
      <w:spacing w:before="100" w:beforeAutospacing="1" w:after="100" w:afterAutospacing="1" w:line="240" w:lineRule="auto"/>
      <w:jc w:val="left"/>
    </w:pPr>
    <w:rPr>
      <w:rFonts w:ascii="宋体" w:hAnsi="宋体"/>
      <w:kern w:val="2"/>
      <w:szCs w:val="20"/>
    </w:rPr>
  </w:style>
  <w:style w:type="character" w:customStyle="1" w:styleId="1115">
    <w:name w:val="表头标题格式 Char Char"/>
    <w:link w:val="1116"/>
    <w:qFormat/>
    <w:locked/>
    <w:uiPriority w:val="0"/>
    <w:rPr>
      <w:rFonts w:ascii="黑体" w:hAnsi="宋体" w:eastAsia="黑体"/>
      <w:b/>
      <w:bCs/>
      <w:sz w:val="24"/>
      <w:lang w:val="zh-CN" w:eastAsia="zh-CN"/>
    </w:rPr>
  </w:style>
  <w:style w:type="paragraph" w:customStyle="1" w:styleId="1116">
    <w:name w:val="表头标题格式"/>
    <w:basedOn w:val="1"/>
    <w:link w:val="1115"/>
    <w:qFormat/>
    <w:uiPriority w:val="0"/>
    <w:pPr>
      <w:tabs>
        <w:tab w:val="left" w:pos="360"/>
        <w:tab w:val="left" w:pos="1620"/>
      </w:tabs>
      <w:jc w:val="center"/>
    </w:pPr>
    <w:rPr>
      <w:rFonts w:ascii="黑体" w:hAnsi="宋体" w:eastAsia="黑体"/>
      <w:b/>
      <w:bCs/>
      <w:szCs w:val="20"/>
      <w:lang w:val="zh-CN"/>
    </w:rPr>
  </w:style>
  <w:style w:type="paragraph" w:customStyle="1" w:styleId="1117">
    <w:name w:val="表格文字样式14"/>
    <w:basedOn w:val="575"/>
    <w:qFormat/>
    <w:uiPriority w:val="99"/>
    <w:pPr>
      <w:tabs>
        <w:tab w:val="clear" w:pos="1418"/>
      </w:tabs>
      <w:overflowPunct w:val="0"/>
      <w:snapToGrid w:val="0"/>
      <w:spacing w:beforeLines="50" w:line="360" w:lineRule="exact"/>
      <w:ind w:left="425" w:hanging="425"/>
      <w:textAlignment w:val="auto"/>
    </w:pPr>
    <w:rPr>
      <w:rFonts w:ascii="宋体" w:hAnsi="宋体" w:eastAsia="宋体"/>
      <w:szCs w:val="21"/>
    </w:rPr>
  </w:style>
  <w:style w:type="character" w:customStyle="1" w:styleId="1118">
    <w:name w:val="text_edit editable-title"/>
    <w:basedOn w:val="67"/>
    <w:qFormat/>
    <w:uiPriority w:val="0"/>
  </w:style>
  <w:style w:type="character" w:customStyle="1" w:styleId="1119">
    <w:name w:val="Char Char6"/>
    <w:qFormat/>
    <w:uiPriority w:val="0"/>
    <w:rPr>
      <w:rFonts w:hint="eastAsia" w:ascii="宋体" w:hAnsi="宋体" w:eastAsia="宋体"/>
      <w:b/>
      <w:bCs/>
      <w:kern w:val="2"/>
      <w:sz w:val="32"/>
      <w:szCs w:val="32"/>
      <w:lang w:val="en-US" w:eastAsia="zh-CN" w:bidi="ar-SA"/>
    </w:rPr>
  </w:style>
  <w:style w:type="character" w:customStyle="1" w:styleId="1120">
    <w:name w:val="Char Char3"/>
    <w:basedOn w:val="67"/>
    <w:qFormat/>
    <w:uiPriority w:val="0"/>
    <w:rPr>
      <w:rFonts w:hint="eastAsia" w:ascii="宋体" w:hAnsi="宋体" w:eastAsia="宋体"/>
      <w:b/>
      <w:bCs/>
      <w:kern w:val="2"/>
      <w:sz w:val="32"/>
      <w:szCs w:val="32"/>
      <w:lang w:val="en-US" w:eastAsia="zh-CN" w:bidi="ar-SA"/>
    </w:rPr>
  </w:style>
  <w:style w:type="character" w:customStyle="1" w:styleId="1121">
    <w:name w:val="px141"/>
    <w:basedOn w:val="67"/>
    <w:qFormat/>
    <w:uiPriority w:val="0"/>
    <w:rPr>
      <w:sz w:val="21"/>
      <w:szCs w:val="21"/>
    </w:rPr>
  </w:style>
  <w:style w:type="character" w:customStyle="1" w:styleId="1122">
    <w:name w:val="正文不缩进 Char"/>
    <w:basedOn w:val="67"/>
    <w:qFormat/>
    <w:uiPriority w:val="0"/>
    <w:rPr>
      <w:rFonts w:hint="eastAsia" w:ascii="宋体" w:hAnsi="宋体" w:eastAsia="宋体"/>
      <w:snapToGrid/>
      <w:spacing w:val="6"/>
      <w:sz w:val="28"/>
      <w:szCs w:val="28"/>
      <w:lang w:val="en-US" w:eastAsia="zh-CN" w:bidi="ar-SA"/>
    </w:rPr>
  </w:style>
  <w:style w:type="character" w:customStyle="1" w:styleId="1123">
    <w:name w:val="表头 Char Char"/>
    <w:basedOn w:val="67"/>
    <w:qFormat/>
    <w:uiPriority w:val="0"/>
    <w:rPr>
      <w:rFonts w:hint="default" w:ascii="Arial" w:hAnsi="Arial" w:eastAsia="黑体" w:cs="Arial"/>
      <w:sz w:val="21"/>
      <w:lang w:val="en-US" w:eastAsia="zh-CN" w:bidi="ar-SA"/>
    </w:rPr>
  </w:style>
  <w:style w:type="character" w:customStyle="1" w:styleId="1124">
    <w:name w:val="五号 居中 Char Char Char"/>
    <w:basedOn w:val="67"/>
    <w:qFormat/>
    <w:uiPriority w:val="0"/>
    <w:rPr>
      <w:rFonts w:hint="eastAsia" w:ascii="宋体" w:hAnsi="宋体" w:eastAsia="宋体" w:cs="宋体"/>
      <w:kern w:val="2"/>
      <w:sz w:val="21"/>
      <w:szCs w:val="21"/>
      <w:lang w:val="en-US" w:eastAsia="zh-CN" w:bidi="ar-SA"/>
    </w:rPr>
  </w:style>
  <w:style w:type="character" w:customStyle="1" w:styleId="1125">
    <w:name w:val="datatitle1"/>
    <w:basedOn w:val="67"/>
    <w:qFormat/>
    <w:uiPriority w:val="0"/>
    <w:rPr>
      <w:b/>
      <w:bCs/>
      <w:color w:val="10619F"/>
      <w:sz w:val="21"/>
      <w:szCs w:val="21"/>
    </w:rPr>
  </w:style>
  <w:style w:type="character" w:customStyle="1" w:styleId="1126">
    <w:name w:val="Char Char7"/>
    <w:qFormat/>
    <w:uiPriority w:val="0"/>
    <w:rPr>
      <w:rFonts w:hint="eastAsia" w:ascii="宋体" w:hAnsi="宋体" w:eastAsia="宋体"/>
      <w:b/>
      <w:sz w:val="28"/>
      <w:lang w:val="en-US" w:eastAsia="zh-CN" w:bidi="ar-SA"/>
    </w:rPr>
  </w:style>
  <w:style w:type="character" w:customStyle="1" w:styleId="1127">
    <w:name w:val="Char Char5"/>
    <w:qFormat/>
    <w:uiPriority w:val="0"/>
    <w:rPr>
      <w:rFonts w:hint="eastAsia" w:ascii="宋体" w:hAnsi="宋体" w:eastAsia="宋体"/>
      <w:kern w:val="2"/>
      <w:sz w:val="21"/>
      <w:szCs w:val="24"/>
      <w:lang w:val="en-US" w:eastAsia="zh-CN" w:bidi="ar-SA"/>
    </w:rPr>
  </w:style>
  <w:style w:type="character" w:customStyle="1" w:styleId="1128">
    <w:name w:val="Char Char8"/>
    <w:uiPriority w:val="0"/>
    <w:rPr>
      <w:rFonts w:hint="eastAsia" w:ascii="宋体" w:hAnsi="宋体" w:eastAsia="宋体"/>
      <w:kern w:val="2"/>
      <w:sz w:val="21"/>
      <w:szCs w:val="24"/>
      <w:lang w:val="en-US" w:eastAsia="zh-CN" w:bidi="ar-SA"/>
    </w:rPr>
  </w:style>
  <w:style w:type="character" w:customStyle="1" w:styleId="1129">
    <w:name w:val="Char Char12"/>
    <w:qFormat/>
    <w:uiPriority w:val="0"/>
    <w:rPr>
      <w:rFonts w:hint="eastAsia" w:ascii="宋体" w:hAnsi="宋体" w:eastAsia="宋体"/>
      <w:b/>
      <w:sz w:val="28"/>
      <w:lang w:val="en-US" w:eastAsia="zh-CN" w:bidi="ar-SA"/>
    </w:rPr>
  </w:style>
  <w:style w:type="character" w:customStyle="1" w:styleId="1130">
    <w:name w:val="Char Char19"/>
    <w:qFormat/>
    <w:uiPriority w:val="0"/>
    <w:rPr>
      <w:rFonts w:hint="default" w:ascii="Times New Roman" w:hAnsi="Times New Roman" w:eastAsia="宋体" w:cs="Times New Roman"/>
      <w:b/>
      <w:bCs/>
      <w:szCs w:val="24"/>
    </w:rPr>
  </w:style>
  <w:style w:type="character" w:customStyle="1" w:styleId="1131">
    <w:name w:val="text1"/>
    <w:basedOn w:val="67"/>
    <w:qFormat/>
    <w:uiPriority w:val="0"/>
    <w:rPr>
      <w:rFonts w:hint="eastAsia" w:ascii="宋体" w:hAnsi="宋体" w:eastAsia="宋体"/>
      <w:sz w:val="18"/>
      <w:szCs w:val="18"/>
    </w:rPr>
  </w:style>
  <w:style w:type="character" w:customStyle="1" w:styleId="1132">
    <w:name w:val="Char Char61"/>
    <w:qFormat/>
    <w:uiPriority w:val="0"/>
    <w:rPr>
      <w:rFonts w:hint="eastAsia" w:ascii="宋体" w:hAnsi="宋体" w:eastAsia="宋体"/>
      <w:b/>
      <w:bCs/>
      <w:kern w:val="2"/>
      <w:sz w:val="32"/>
      <w:szCs w:val="32"/>
      <w:lang w:val="en-US" w:eastAsia="zh-CN" w:bidi="ar-SA"/>
    </w:rPr>
  </w:style>
  <w:style w:type="character" w:customStyle="1" w:styleId="1133">
    <w:name w:val="Char Char31"/>
    <w:basedOn w:val="67"/>
    <w:qFormat/>
    <w:uiPriority w:val="0"/>
    <w:rPr>
      <w:rFonts w:hint="eastAsia" w:ascii="宋体" w:hAnsi="宋体" w:eastAsia="宋体"/>
      <w:b/>
      <w:bCs/>
      <w:kern w:val="2"/>
      <w:sz w:val="32"/>
      <w:szCs w:val="32"/>
      <w:lang w:val="en-US" w:eastAsia="zh-CN" w:bidi="ar-SA"/>
    </w:rPr>
  </w:style>
  <w:style w:type="character" w:customStyle="1" w:styleId="1134">
    <w:name w:val="Char Char21"/>
    <w:basedOn w:val="67"/>
    <w:qFormat/>
    <w:uiPriority w:val="0"/>
    <w:rPr>
      <w:rFonts w:hint="eastAsia" w:ascii="宋体" w:hAnsi="宋体" w:eastAsia="宋体"/>
      <w:kern w:val="2"/>
      <w:sz w:val="18"/>
      <w:lang w:val="en-US" w:eastAsia="zh-CN" w:bidi="ar-SA"/>
    </w:rPr>
  </w:style>
  <w:style w:type="character" w:customStyle="1" w:styleId="1135">
    <w:name w:val="Char Char71"/>
    <w:qFormat/>
    <w:uiPriority w:val="0"/>
    <w:rPr>
      <w:rFonts w:hint="eastAsia" w:ascii="宋体" w:hAnsi="宋体" w:eastAsia="宋体"/>
      <w:b/>
      <w:sz w:val="28"/>
      <w:lang w:val="en-US" w:eastAsia="zh-CN" w:bidi="ar-SA"/>
    </w:rPr>
  </w:style>
  <w:style w:type="character" w:customStyle="1" w:styleId="1136">
    <w:name w:val="Char Char51"/>
    <w:qFormat/>
    <w:uiPriority w:val="0"/>
    <w:rPr>
      <w:rFonts w:hint="eastAsia" w:ascii="宋体" w:hAnsi="宋体" w:eastAsia="宋体"/>
      <w:kern w:val="2"/>
      <w:sz w:val="21"/>
      <w:szCs w:val="24"/>
      <w:lang w:val="en-US" w:eastAsia="zh-CN" w:bidi="ar-SA"/>
    </w:rPr>
  </w:style>
  <w:style w:type="character" w:customStyle="1" w:styleId="1137">
    <w:name w:val="Char Char81"/>
    <w:uiPriority w:val="0"/>
    <w:rPr>
      <w:rFonts w:hint="eastAsia" w:ascii="宋体" w:hAnsi="宋体" w:eastAsia="宋体"/>
      <w:kern w:val="2"/>
      <w:sz w:val="21"/>
      <w:szCs w:val="24"/>
      <w:lang w:val="en-US" w:eastAsia="zh-CN" w:bidi="ar-SA"/>
    </w:rPr>
  </w:style>
  <w:style w:type="character" w:customStyle="1" w:styleId="1138">
    <w:name w:val="Char Char121"/>
    <w:qFormat/>
    <w:uiPriority w:val="0"/>
    <w:rPr>
      <w:rFonts w:hint="eastAsia" w:ascii="宋体" w:hAnsi="宋体" w:eastAsia="宋体"/>
      <w:b/>
      <w:sz w:val="28"/>
      <w:lang w:val="en-US" w:eastAsia="zh-CN" w:bidi="ar-SA"/>
    </w:rPr>
  </w:style>
  <w:style w:type="character" w:customStyle="1" w:styleId="1139">
    <w:name w:val="Char Char191"/>
    <w:qFormat/>
    <w:uiPriority w:val="0"/>
    <w:rPr>
      <w:rFonts w:hint="default" w:ascii="Times New Roman" w:hAnsi="Times New Roman" w:eastAsia="宋体" w:cs="Times New Roman"/>
      <w:b/>
      <w:bCs/>
      <w:szCs w:val="24"/>
    </w:rPr>
  </w:style>
  <w:style w:type="table" w:customStyle="1" w:styleId="1140">
    <w:name w:val="样式14"/>
    <w:basedOn w:val="57"/>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character" w:customStyle="1" w:styleId="1141">
    <w:name w:val="正文文本 (2)_"/>
    <w:basedOn w:val="67"/>
    <w:link w:val="1142"/>
    <w:qFormat/>
    <w:locked/>
    <w:uiPriority w:val="99"/>
    <w:rPr>
      <w:rFonts w:ascii="宋体" w:hAnsi="宋体" w:cs="宋体"/>
      <w:sz w:val="22"/>
      <w:shd w:val="clear" w:color="auto" w:fill="FFFFFF"/>
    </w:rPr>
  </w:style>
  <w:style w:type="paragraph" w:customStyle="1" w:styleId="1142">
    <w:name w:val="正文文本 (2)1"/>
    <w:basedOn w:val="1"/>
    <w:link w:val="1141"/>
    <w:qFormat/>
    <w:uiPriority w:val="99"/>
    <w:pPr>
      <w:shd w:val="clear" w:color="auto" w:fill="FFFFFF"/>
      <w:spacing w:line="466" w:lineRule="exact"/>
      <w:ind w:hanging="640"/>
      <w:jc w:val="distribute"/>
    </w:pPr>
    <w:rPr>
      <w:rFonts w:ascii="宋体" w:hAnsi="宋体" w:cs="宋体"/>
      <w:sz w:val="22"/>
      <w:szCs w:val="20"/>
    </w:rPr>
  </w:style>
  <w:style w:type="table" w:customStyle="1" w:styleId="1143">
    <w:name w:val="样式15"/>
    <w:basedOn w:val="57"/>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144">
    <w:name w:val="样式115"/>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145">
    <w:name w:val="样式16"/>
    <w:basedOn w:val="57"/>
    <w:qFormat/>
    <w:uiPriority w:val="99"/>
    <w:pPr>
      <w:spacing w:line="340" w:lineRule="exact"/>
      <w:jc w:val="center"/>
    </w:p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paragraph" w:customStyle="1" w:styleId="1146">
    <w:name w:val="表图名"/>
    <w:basedOn w:val="1"/>
    <w:link w:val="1147"/>
    <w:qFormat/>
    <w:uiPriority w:val="0"/>
    <w:pPr>
      <w:spacing w:line="240" w:lineRule="auto"/>
      <w:ind w:firstLine="480"/>
      <w:jc w:val="center"/>
    </w:pPr>
    <w:rPr>
      <w:rFonts w:asciiTheme="minorHAnsi" w:hAnsiTheme="minorHAnsi" w:eastAsiaTheme="minorEastAsia" w:cstheme="minorBidi"/>
      <w:kern w:val="2"/>
      <w:sz w:val="21"/>
      <w:szCs w:val="22"/>
    </w:rPr>
  </w:style>
  <w:style w:type="character" w:customStyle="1" w:styleId="1147">
    <w:name w:val="表图名 Char"/>
    <w:link w:val="1146"/>
    <w:qFormat/>
    <w:uiPriority w:val="0"/>
    <w:rPr>
      <w:rFonts w:asciiTheme="minorHAnsi" w:hAnsiTheme="minorHAnsi" w:eastAsiaTheme="minorEastAsia" w:cstheme="minorBidi"/>
      <w:kern w:val="2"/>
      <w:sz w:val="21"/>
      <w:szCs w:val="22"/>
    </w:rPr>
  </w:style>
  <w:style w:type="table" w:customStyle="1" w:styleId="1148">
    <w:name w:val="网格型8"/>
    <w:basedOn w:val="5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49">
    <w:name w:val="列表段落1"/>
    <w:basedOn w:val="1"/>
    <w:qFormat/>
    <w:uiPriority w:val="0"/>
    <w:pPr>
      <w:spacing w:line="240" w:lineRule="auto"/>
      <w:ind w:firstLine="420" w:firstLineChars="200"/>
    </w:pPr>
    <w:rPr>
      <w:kern w:val="2"/>
      <w:sz w:val="21"/>
    </w:rPr>
  </w:style>
  <w:style w:type="character" w:customStyle="1" w:styleId="1150">
    <w:name w:val="ref"/>
    <w:basedOn w:val="67"/>
    <w:qFormat/>
    <w:uiPriority w:val="0"/>
  </w:style>
  <w:style w:type="table" w:customStyle="1" w:styleId="1151">
    <w:name w:val="Table Normal2"/>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1152">
    <w:name w:val="网格型9"/>
    <w:basedOn w:val="57"/>
    <w:qFormat/>
    <w:uiPriority w:val="39"/>
    <w:rPr>
      <w:rFonts w:eastAsia="Times New Roman" w:asciiTheme="minorHAnsi" w:hAnsiTheme="minorHAnsi" w:cstheme="minorBid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53">
    <w:name w:val="网格型10"/>
    <w:basedOn w:val="57"/>
    <w:qFormat/>
    <w:uiPriority w:val="39"/>
    <w:rPr>
      <w:rFonts w:eastAsia="Times New Roman" w:asciiTheme="minorHAnsi" w:hAnsiTheme="minorHAnsi" w:cstheme="minorBid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54">
    <w:name w:val="网格型15"/>
    <w:basedOn w:val="5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5">
    <w:name w:val="样式116"/>
    <w:basedOn w:val="57"/>
    <w:qFormat/>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156">
    <w:name w:val="样式1114"/>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eastAsia="宋体"/>
        <w:b/>
        <w:sz w:val="21"/>
      </w:rPr>
      <w:tcPr>
        <w:tcBorders>
          <w:top w:val="single" w:color="auto" w:sz="8" w:space="0"/>
          <w:left w:val="nil"/>
          <w:bottom w:val="single" w:color="auto" w:sz="8" w:space="0"/>
          <w:right w:val="nil"/>
        </w:tcBorders>
      </w:tcPr>
    </w:tblStylePr>
    <w:tblStylePr w:type="lastRow">
      <w:rPr>
        <w:rFonts w:eastAsia="宋体"/>
      </w:rPr>
      <w:tcPr>
        <w:tcBorders>
          <w:bottom w:val="single" w:color="auto" w:sz="8" w:space="0"/>
        </w:tcBorders>
      </w:tcPr>
    </w:tblStylePr>
  </w:style>
  <w:style w:type="table" w:customStyle="1" w:styleId="1157">
    <w:name w:val="样式11113"/>
    <w:basedOn w:val="57"/>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158">
    <w:name w:val="样式111111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character" w:customStyle="1" w:styleId="1159">
    <w:name w:val="正文文本首行缩进 2 字符1"/>
    <w:semiHidden/>
    <w:qFormat/>
    <w:uiPriority w:val="99"/>
    <w:rPr>
      <w:rFonts w:ascii="Times New Roman" w:hAnsi="Times New Roman" w:eastAsia="宋体" w:cs="Times New Roman"/>
      <w:sz w:val="28"/>
      <w:szCs w:val="28"/>
      <w:lang w:val="zh-CN" w:eastAsia="zh-CN"/>
    </w:rPr>
  </w:style>
  <w:style w:type="character" w:customStyle="1" w:styleId="1160">
    <w:name w:val="脚注文本 字符1"/>
    <w:semiHidden/>
    <w:qFormat/>
    <w:uiPriority w:val="99"/>
    <w:rPr>
      <w:sz w:val="18"/>
      <w:szCs w:val="18"/>
    </w:rPr>
  </w:style>
  <w:style w:type="table" w:customStyle="1" w:styleId="1161">
    <w:name w:val="网格型16"/>
    <w:basedOn w:val="5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2">
    <w:name w:val="样式17"/>
    <w:basedOn w:val="57"/>
    <w:qFormat/>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163">
    <w:name w:val="样式117"/>
    <w:basedOn w:val="57"/>
    <w:qFormat/>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164">
    <w:name w:val="专业网格2"/>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5">
    <w:name w:val="典雅型7"/>
    <w:basedOn w:val="57"/>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1166">
    <w:name w:val="列表型 23"/>
    <w:basedOn w:val="57"/>
    <w:qFormat/>
    <w:uiPriority w:val="0"/>
    <w:pPr>
      <w:widowControl w:val="0"/>
      <w:jc w:val="both"/>
    </w:pPr>
    <w:tblPr>
      <w:tblBorders>
        <w:bottom w:val="single" w:color="808080" w:sz="12" w:space="0"/>
      </w:tblBorders>
    </w:tblPr>
    <w:tblStylePr w:type="firstRow">
      <w:rPr>
        <w:b/>
        <w:bCs/>
        <w:color w:val="FFFFFF"/>
      </w:rPr>
      <w:tcPr>
        <w:tcBorders>
          <w:bottom w:val="single" w:color="000000" w:sz="6" w:space="0"/>
          <w:tl2br w:val="nil"/>
          <w:tr2bl w:val="nil"/>
        </w:tcBorders>
        <w:shd w:val="pct75" w:color="008080" w:fill="008000"/>
      </w:tcPr>
    </w:tblStylePr>
    <w:tblStylePr w:type="lastRow">
      <w:tcPr>
        <w:tcBorders>
          <w:top w:val="single" w:color="000000" w:sz="6" w:space="0"/>
          <w:tl2br w:val="nil"/>
          <w:tr2bl w:val="nil"/>
        </w:tcBorders>
      </w:tcPr>
    </w:tblStyle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swCell">
      <w:rPr>
        <w:b/>
        <w:bCs/>
      </w:rPr>
      <w:tcPr>
        <w:tcBorders>
          <w:tl2br w:val="nil"/>
          <w:tr2bl w:val="nil"/>
        </w:tcBorders>
      </w:tcPr>
    </w:tblStylePr>
  </w:style>
  <w:style w:type="table" w:customStyle="1" w:styleId="1167">
    <w:name w:val="网格型17"/>
    <w:basedOn w:val="57"/>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8">
    <w:name w:val="表格主题4"/>
    <w:basedOn w:val="57"/>
    <w:qFormat/>
    <w:uiPriority w:val="0"/>
    <w:pPr>
      <w:widowControl w:val="0"/>
      <w:jc w:val="center"/>
    </w:pPr>
    <w:rPr>
      <w:rFonts w:eastAsia="Times New Roman"/>
      <w:sz w:val="24"/>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1169">
    <w:name w:val="典雅型15"/>
    <w:basedOn w:val="57"/>
    <w:qFormat/>
    <w:uiPriority w:val="0"/>
    <w:pPr>
      <w:widowControl w:val="0"/>
      <w:jc w:val="both"/>
    </w:pPr>
    <w:rPr>
      <w:rFonts w:eastAsia="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70">
    <w:name w:val="网格型 13"/>
    <w:basedOn w:val="57"/>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171">
    <w:name w:val="典雅型23"/>
    <w:basedOn w:val="57"/>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72">
    <w:name w:val="典雅型113"/>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73">
    <w:name w:val="网格型112"/>
    <w:basedOn w:val="57"/>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4">
    <w:name w:val="网格型111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5">
    <w:name w:val="表格主题1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6">
    <w:name w:val="典雅型33"/>
    <w:basedOn w:val="57"/>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77">
    <w:name w:val="网格型22"/>
    <w:basedOn w:val="5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8">
    <w:name w:val="表框12"/>
    <w:basedOn w:val="5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9">
    <w:name w:val="网格型32"/>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0">
    <w:name w:val="样式1115"/>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eastAsia="宋体"/>
        <w:b/>
        <w:sz w:val="21"/>
      </w:rPr>
      <w:tcPr>
        <w:tcBorders>
          <w:top w:val="single" w:color="auto" w:sz="8" w:space="0"/>
          <w:left w:val="nil"/>
          <w:bottom w:val="single" w:color="auto" w:sz="8" w:space="0"/>
          <w:right w:val="nil"/>
        </w:tcBorders>
      </w:tcPr>
    </w:tblStylePr>
    <w:tblStylePr w:type="lastRow">
      <w:rPr>
        <w:rFonts w:eastAsia="宋体"/>
      </w:rPr>
      <w:tcPr>
        <w:tcBorders>
          <w:bottom w:val="single" w:color="auto" w:sz="8" w:space="0"/>
        </w:tcBorders>
      </w:tcPr>
    </w:tblStylePr>
  </w:style>
  <w:style w:type="table" w:customStyle="1" w:styleId="1181">
    <w:name w:val="浅色底纹4"/>
    <w:basedOn w:val="57"/>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182">
    <w:name w:val="浅色底纹 - 强调文字颜色 114"/>
    <w:basedOn w:val="57"/>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1183">
    <w:name w:val="网格型41"/>
    <w:basedOn w:val="5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4">
    <w:name w:val="样式11114"/>
    <w:basedOn w:val="57"/>
    <w:qFormat/>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185">
    <w:name w:val="网格型121"/>
    <w:basedOn w:val="5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6">
    <w:name w:val="网格型61"/>
    <w:basedOn w:val="5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7">
    <w:name w:val="网格型71"/>
    <w:basedOn w:val="57"/>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8">
    <w:name w:val="网格型13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9">
    <w:name w:val="样式1123"/>
    <w:basedOn w:val="57"/>
    <w:qFormat/>
    <w:uiPriority w:val="99"/>
    <w:pPr>
      <w:jc w:val="center"/>
    </w:pPr>
    <w:rPr>
      <w:sz w:val="21"/>
    </w:rPr>
    <w:tblPr>
      <w:tblBorders>
        <w:top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nil"/>
          <w:right w:val="nil"/>
          <w:insideH w:val="nil"/>
          <w:insideV w:val="nil"/>
          <w:tl2br w:val="nil"/>
          <w:tr2bl w:val="nil"/>
        </w:tcBorders>
      </w:tcPr>
    </w:tblStylePr>
    <w:tblStylePr w:type="lastRow">
      <w:tcPr>
        <w:tcBorders>
          <w:top w:val="nil"/>
          <w:left w:val="nil"/>
          <w:bottom w:val="single" w:color="auto" w:sz="8" w:space="0"/>
          <w:right w:val="nil"/>
          <w:insideH w:val="nil"/>
          <w:insideV w:val="nil"/>
          <w:tl2br w:val="nil"/>
          <w:tr2bl w:val="nil"/>
        </w:tcBorders>
      </w:tcPr>
    </w:tblStylePr>
    <w:tblStylePr w:type="firstCol">
      <w:tcPr>
        <w:tcBorders>
          <w:top w:val="single" w:color="auto" w:sz="8" w:space="0"/>
          <w:left w:val="nil"/>
          <w:bottom w:val="nil"/>
          <w:right w:val="nil"/>
          <w:insideH w:val="nil"/>
          <w:insideV w:val="nil"/>
          <w:tl2br w:val="nil"/>
          <w:tr2bl w:val="nil"/>
        </w:tcBorders>
      </w:tcPr>
    </w:tblStylePr>
  </w:style>
  <w:style w:type="table" w:customStyle="1" w:styleId="1190">
    <w:name w:val="表格主题2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1">
    <w:name w:val="典雅型43"/>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92">
    <w:name w:val="网格型211"/>
    <w:basedOn w:val="5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3">
    <w:name w:val="表框111"/>
    <w:basedOn w:val="5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4">
    <w:name w:val="网格型311"/>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5">
    <w:name w:val="典雅型123"/>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196">
    <w:name w:val="样式111112"/>
    <w:basedOn w:val="57"/>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eastAsia="宋体"/>
        <w:b/>
        <w:sz w:val="21"/>
      </w:rPr>
      <w:tcPr>
        <w:tcBorders>
          <w:top w:val="single" w:color="auto" w:sz="8" w:space="0"/>
          <w:left w:val="nil"/>
          <w:bottom w:val="single" w:color="auto" w:sz="8" w:space="0"/>
          <w:right w:val="nil"/>
        </w:tcBorders>
      </w:tcPr>
    </w:tblStylePr>
    <w:tblStylePr w:type="lastRow">
      <w:rPr>
        <w:rFonts w:eastAsia="宋体"/>
      </w:rPr>
      <w:tcPr>
        <w:tcBorders>
          <w:bottom w:val="single" w:color="auto" w:sz="8" w:space="0"/>
        </w:tcBorders>
      </w:tcPr>
    </w:tblStylePr>
  </w:style>
  <w:style w:type="table" w:customStyle="1" w:styleId="1197">
    <w:name w:val="浅色底纹13"/>
    <w:basedOn w:val="57"/>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198">
    <w:name w:val="浅色底纹 - 强调文字颜色 1131"/>
    <w:basedOn w:val="57"/>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1199">
    <w:name w:val="古典型 13"/>
    <w:basedOn w:val="57"/>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200">
    <w:name w:val="表格主题3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1">
    <w:name w:val="简明型 13"/>
    <w:basedOn w:val="57"/>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202">
    <w:name w:val="表格样式11"/>
    <w:basedOn w:val="58"/>
    <w:qFormat/>
    <w:uiPriority w:val="0"/>
    <w:pPr>
      <w:widowControl w:val="0"/>
      <w:jc w:val="both"/>
    </w:pPr>
    <w:tblPr>
      <w:tblBorders>
        <w:top w:val="single" w:color="auto" w:sz="12" w:space="0"/>
        <w:bottom w:val="single" w:color="auto" w:sz="12" w:space="0"/>
      </w:tblBorders>
    </w:tblPr>
  </w:style>
  <w:style w:type="table" w:customStyle="1" w:styleId="1203">
    <w:name w:val="Table Grid_01"/>
    <w:basedOn w:val="57"/>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4">
    <w:name w:val="Table Normal1"/>
    <w:unhideWhenUsed/>
    <w:qFormat/>
    <w:uiPriority w:val="0"/>
    <w:tblPr>
      <w:tblCellMar>
        <w:top w:w="0" w:type="dxa"/>
        <w:left w:w="0" w:type="dxa"/>
        <w:bottom w:w="0" w:type="dxa"/>
        <w:right w:w="0" w:type="dxa"/>
      </w:tblCellMar>
    </w:tblPr>
  </w:style>
  <w:style w:type="table" w:customStyle="1" w:styleId="1205">
    <w:name w:val="网格型141"/>
    <w:basedOn w:val="5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6">
    <w:name w:val="简明型 111"/>
    <w:basedOn w:val="57"/>
    <w:semiHidden/>
    <w:unhideWhenUsed/>
    <w:uiPriority w:val="0"/>
    <w:pPr>
      <w:widowControl w:val="0"/>
      <w:jc w:val="both"/>
    </w:pPr>
    <w:tblPr>
      <w:tblBorders>
        <w:top w:val="single" w:color="008000" w:sz="12" w:space="0"/>
        <w:bottom w:val="single" w:color="008000" w:sz="12" w:space="0"/>
      </w:tblBorders>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207">
    <w:name w:val="古典型 111"/>
    <w:basedOn w:val="57"/>
    <w:semiHidden/>
    <w:unhideWhenUsed/>
    <w:uiPriority w:val="0"/>
    <w:pPr>
      <w:widowControl w:val="0"/>
      <w:jc w:val="both"/>
    </w:pPr>
    <w:tblPr>
      <w:tblBorders>
        <w:top w:val="single" w:color="000000" w:sz="12" w:space="0"/>
        <w:bottom w:val="single" w:color="000000" w:sz="12" w:space="0"/>
      </w:tblBorders>
    </w:tbl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208">
    <w:name w:val="网格型 111"/>
    <w:basedOn w:val="57"/>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209">
    <w:name w:val="列表型 211"/>
    <w:basedOn w:val="57"/>
    <w:semiHidden/>
    <w:unhideWhenUsed/>
    <w:qFormat/>
    <w:uiPriority w:val="0"/>
    <w:pPr>
      <w:widowControl w:val="0"/>
      <w:jc w:val="both"/>
    </w:pPr>
    <w:tblPr>
      <w:tblBorders>
        <w:bottom w:val="single" w:color="808080" w:sz="12" w:space="0"/>
      </w:tblBorders>
    </w:tblPr>
    <w:tblStylePr w:type="firstRow">
      <w:rPr>
        <w:b/>
        <w:bCs/>
        <w:color w:val="FFFFFF"/>
      </w:rPr>
      <w:tcPr>
        <w:tcBorders>
          <w:bottom w:val="single" w:color="000000" w:sz="6" w:space="0"/>
          <w:tl2br w:val="nil"/>
          <w:tr2bl w:val="nil"/>
        </w:tcBorders>
        <w:shd w:val="pct75" w:color="008080" w:fill="008000"/>
      </w:tcPr>
    </w:tblStylePr>
    <w:tblStylePr w:type="lastRow">
      <w:tcPr>
        <w:tcBorders>
          <w:top w:val="single" w:color="000000" w:sz="6" w:space="0"/>
          <w:tl2br w:val="nil"/>
          <w:tr2bl w:val="nil"/>
        </w:tcBorders>
      </w:tcPr>
    </w:tblStyle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swCell">
      <w:rPr>
        <w:b/>
        <w:bCs/>
      </w:rPr>
      <w:tcPr>
        <w:tcBorders>
          <w:tl2br w:val="nil"/>
          <w:tr2bl w:val="nil"/>
        </w:tcBorders>
      </w:tcPr>
    </w:tblStylePr>
  </w:style>
  <w:style w:type="table" w:customStyle="1" w:styleId="1210">
    <w:name w:val="典雅型51"/>
    <w:basedOn w:val="57"/>
    <w:semiHidden/>
    <w:unhideWhenUsed/>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211">
    <w:name w:val="浅色底纹21"/>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212">
    <w:name w:val="样式121"/>
    <w:basedOn w:val="57"/>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13">
    <w:name w:val="典雅型131"/>
    <w:basedOn w:val="57"/>
    <w:qFormat/>
    <w:uiPriority w:val="0"/>
    <w:pPr>
      <w:widowControl w:val="0"/>
      <w:jc w:val="both"/>
    </w:pPr>
    <w:rPr>
      <w:rFonts w:eastAsia="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14">
    <w:name w:val="典雅型21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15">
    <w:name w:val="典雅型111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16">
    <w:name w:val="典雅型31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17">
    <w:name w:val="样式113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218">
    <w:name w:val="浅色底纹 - 强调文字颜色 1111"/>
    <w:basedOn w:val="57"/>
    <w:qFormat/>
    <w:uiPriority w:val="60"/>
    <w:rPr>
      <w:color w:val="365F91"/>
    </w:rPr>
    <w:tblPr>
      <w:tblBorders>
        <w:top w:val="single" w:color="4F81BD" w:sz="8" w:space="0"/>
        <w:bottom w:val="single" w:color="4F81BD" w:sz="8" w:space="0"/>
      </w:tblBorders>
    </w:tblPr>
    <w:tblStylePr w:type="fir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1219">
    <w:name w:val="样式11121"/>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20">
    <w:name w:val="样式11211"/>
    <w:basedOn w:val="57"/>
    <w:qFormat/>
    <w:uiPriority w:val="99"/>
    <w:pPr>
      <w:jc w:val="center"/>
    </w:pPr>
    <w:rPr>
      <w:sz w:val="21"/>
    </w:rPr>
    <w:tblPr>
      <w:tblBorders>
        <w:top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nil"/>
          <w:right w:val="nil"/>
          <w:insideH w:val="nil"/>
          <w:insideV w:val="nil"/>
          <w:tl2br w:val="nil"/>
          <w:tr2bl w:val="nil"/>
        </w:tcBorders>
      </w:tcPr>
    </w:tblStylePr>
    <w:tblStylePr w:type="lastRow">
      <w:tcPr>
        <w:tcBorders>
          <w:top w:val="nil"/>
          <w:left w:val="nil"/>
          <w:bottom w:val="single" w:color="auto" w:sz="8" w:space="0"/>
          <w:right w:val="nil"/>
          <w:insideH w:val="nil"/>
          <w:insideV w:val="nil"/>
          <w:tl2br w:val="nil"/>
          <w:tr2bl w:val="nil"/>
        </w:tcBorders>
      </w:tcPr>
    </w:tblStylePr>
    <w:tblStylePr w:type="firstCol">
      <w:tcPr>
        <w:tcBorders>
          <w:top w:val="single" w:color="auto" w:sz="8" w:space="0"/>
          <w:left w:val="nil"/>
          <w:bottom w:val="nil"/>
          <w:right w:val="nil"/>
          <w:insideH w:val="nil"/>
          <w:insideV w:val="nil"/>
          <w:tl2br w:val="nil"/>
          <w:tr2bl w:val="nil"/>
        </w:tcBorders>
      </w:tcPr>
    </w:tblStylePr>
  </w:style>
  <w:style w:type="table" w:customStyle="1" w:styleId="1221">
    <w:name w:val="典雅型411"/>
    <w:basedOn w:val="57"/>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22">
    <w:name w:val="典雅型121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23">
    <w:name w:val="样式1111112"/>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224">
    <w:name w:val="浅色底纹111"/>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225">
    <w:name w:val="简明型 121"/>
    <w:basedOn w:val="57"/>
    <w:semiHidden/>
    <w:unhideWhenUsed/>
    <w:qFormat/>
    <w:uiPriority w:val="0"/>
    <w:pPr>
      <w:widowControl w:val="0"/>
      <w:jc w:val="both"/>
    </w:pPr>
    <w:tblPr>
      <w:tblBorders>
        <w:top w:val="single" w:color="008000" w:sz="12" w:space="0"/>
        <w:bottom w:val="single" w:color="008000" w:sz="12" w:space="0"/>
      </w:tblBorders>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226">
    <w:name w:val="古典型 121"/>
    <w:basedOn w:val="57"/>
    <w:semiHidden/>
    <w:unhideWhenUsed/>
    <w:qFormat/>
    <w:uiPriority w:val="0"/>
    <w:pPr>
      <w:widowControl w:val="0"/>
      <w:jc w:val="both"/>
    </w:pPr>
    <w:tblPr>
      <w:tblBorders>
        <w:top w:val="single" w:color="000000" w:sz="12" w:space="0"/>
        <w:bottom w:val="single" w:color="000000" w:sz="12" w:space="0"/>
      </w:tblBorders>
    </w:tbl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227">
    <w:name w:val="网格型 121"/>
    <w:basedOn w:val="57"/>
    <w:semiHidden/>
    <w:unhideWhenUsed/>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iCs/>
      </w:rPr>
      <w:tcPr>
        <w:tcBorders>
          <w:top w:val="nil"/>
          <w:left w:val="nil"/>
          <w:bottom w:val="nil"/>
          <w:right w:val="nil"/>
          <w:insideH w:val="nil"/>
          <w:insideV w:val="nil"/>
          <w:tl2br w:val="nil"/>
          <w:tr2bl w:val="nil"/>
        </w:tcBorders>
      </w:tcPr>
    </w:tblStylePr>
    <w:tblStylePr w:type="lastCol">
      <w:rPr>
        <w:i/>
        <w:i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228">
    <w:name w:val="列表型 221"/>
    <w:basedOn w:val="57"/>
    <w:semiHidden/>
    <w:unhideWhenUsed/>
    <w:qFormat/>
    <w:uiPriority w:val="0"/>
    <w:pPr>
      <w:widowControl w:val="0"/>
      <w:jc w:val="both"/>
    </w:pPr>
    <w:tblPr>
      <w:tblBorders>
        <w:bottom w:val="single" w:color="808080" w:sz="12" w:space="0"/>
      </w:tblBorders>
    </w:tblPr>
    <w:tblStylePr w:type="firstRow">
      <w:rPr>
        <w:b/>
        <w:bCs/>
        <w:color w:val="FFFFFF"/>
      </w:rPr>
      <w:tcPr>
        <w:tcBorders>
          <w:bottom w:val="single" w:color="000000" w:sz="6" w:space="0"/>
          <w:tl2br w:val="nil"/>
          <w:tr2bl w:val="nil"/>
        </w:tcBorders>
        <w:shd w:val="pct75" w:color="008080" w:fill="008000"/>
      </w:tcPr>
    </w:tblStylePr>
    <w:tblStylePr w:type="lastRow">
      <w:tcPr>
        <w:tcBorders>
          <w:top w:val="single" w:color="000000" w:sz="6" w:space="0"/>
          <w:tl2br w:val="nil"/>
          <w:tr2bl w:val="nil"/>
        </w:tcBorders>
      </w:tcPr>
    </w:tblStyle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swCell">
      <w:rPr>
        <w:b/>
        <w:bCs/>
      </w:rPr>
      <w:tcPr>
        <w:tcBorders>
          <w:tl2br w:val="nil"/>
          <w:tr2bl w:val="nil"/>
        </w:tcBorders>
      </w:tcPr>
    </w:tblStylePr>
  </w:style>
  <w:style w:type="table" w:customStyle="1" w:styleId="1229">
    <w:name w:val="典雅型61"/>
    <w:basedOn w:val="57"/>
    <w:semiHidden/>
    <w:unhideWhenUsed/>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l2br w:val="nil"/>
          <w:tr2bl w:val="nil"/>
        </w:tcBorders>
      </w:tcPr>
    </w:tblStylePr>
  </w:style>
  <w:style w:type="table" w:customStyle="1" w:styleId="1230">
    <w:name w:val="浅色底纹31"/>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231">
    <w:name w:val="样式131"/>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32">
    <w:name w:val="典雅型141"/>
    <w:basedOn w:val="57"/>
    <w:qFormat/>
    <w:uiPriority w:val="0"/>
    <w:pPr>
      <w:widowControl w:val="0"/>
      <w:jc w:val="both"/>
    </w:pPr>
    <w:rPr>
      <w:rFonts w:eastAsia="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33">
    <w:name w:val="典雅型22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34">
    <w:name w:val="典雅型112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35">
    <w:name w:val="典雅型32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36">
    <w:name w:val="样式114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237">
    <w:name w:val="浅色底纹 - 强调文字颜色 1121"/>
    <w:basedOn w:val="57"/>
    <w:qFormat/>
    <w:uiPriority w:val="60"/>
    <w:rPr>
      <w:color w:val="365F91"/>
    </w:rPr>
    <w:tblPr>
      <w:tblBorders>
        <w:top w:val="single" w:color="4F81BD" w:sz="8" w:space="0"/>
        <w:bottom w:val="single" w:color="4F81BD" w:sz="8" w:space="0"/>
      </w:tblBorders>
    </w:tblPr>
    <w:tblStylePr w:type="fir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1238">
    <w:name w:val="样式11131"/>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39">
    <w:name w:val="样式11221"/>
    <w:basedOn w:val="57"/>
    <w:qFormat/>
    <w:uiPriority w:val="99"/>
    <w:pPr>
      <w:jc w:val="center"/>
    </w:pPr>
    <w:rPr>
      <w:sz w:val="21"/>
    </w:rPr>
    <w:tblPr>
      <w:tblBorders>
        <w:top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nil"/>
          <w:right w:val="nil"/>
          <w:insideH w:val="nil"/>
          <w:insideV w:val="nil"/>
          <w:tl2br w:val="nil"/>
          <w:tr2bl w:val="nil"/>
        </w:tcBorders>
      </w:tcPr>
    </w:tblStylePr>
    <w:tblStylePr w:type="lastRow">
      <w:tcPr>
        <w:tcBorders>
          <w:top w:val="nil"/>
          <w:left w:val="nil"/>
          <w:bottom w:val="single" w:color="auto" w:sz="8" w:space="0"/>
          <w:right w:val="nil"/>
          <w:insideH w:val="nil"/>
          <w:insideV w:val="nil"/>
          <w:tl2br w:val="nil"/>
          <w:tr2bl w:val="nil"/>
        </w:tcBorders>
      </w:tcPr>
    </w:tblStylePr>
    <w:tblStylePr w:type="firstCol">
      <w:tcPr>
        <w:tcBorders>
          <w:top w:val="single" w:color="auto" w:sz="8" w:space="0"/>
          <w:left w:val="nil"/>
          <w:bottom w:val="nil"/>
          <w:right w:val="nil"/>
          <w:insideH w:val="nil"/>
          <w:insideV w:val="nil"/>
          <w:tl2br w:val="nil"/>
          <w:tr2bl w:val="nil"/>
        </w:tcBorders>
      </w:tcPr>
    </w:tblStylePr>
  </w:style>
  <w:style w:type="table" w:customStyle="1" w:styleId="1240">
    <w:name w:val="典雅型42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41">
    <w:name w:val="典雅型1221"/>
    <w:basedOn w:val="5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242">
    <w:name w:val="样式11112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243">
    <w:name w:val="浅色底纹121"/>
    <w:basedOn w:val="57"/>
    <w:qFormat/>
    <w:uiPriority w:val="60"/>
    <w:rPr>
      <w:color w:val="000000"/>
    </w:rPr>
    <w:tblPr>
      <w:tblBorders>
        <w:top w:val="single" w:color="000000" w:sz="8" w:space="0"/>
        <w:bottom w:val="single" w:color="000000" w:sz="8" w:space="0"/>
      </w:tblBorders>
    </w:tblPr>
    <w:tblStylePr w:type="fir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beforeLines="0" w:beforeAutospacing="0" w:after="0" w:afterLines="0" w:afterAutospacing="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table" w:customStyle="1" w:styleId="1244">
    <w:name w:val="样式141"/>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45">
    <w:name w:val="样式151"/>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46">
    <w:name w:val="样式1151"/>
    <w:basedOn w:val="57"/>
    <w:qFormat/>
    <w:uiPriority w:val="99"/>
    <w:pPr>
      <w:spacing w:line="340" w:lineRule="exact"/>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47">
    <w:name w:val="样式161"/>
    <w:basedOn w:val="57"/>
    <w:qFormat/>
    <w:uiPriority w:val="99"/>
    <w:pPr>
      <w:spacing w:line="340" w:lineRule="exact"/>
      <w:jc w:val="center"/>
    </w:p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48">
    <w:name w:val="网格型81"/>
    <w:basedOn w:val="5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9">
    <w:name w:val="Table Normal21"/>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1250">
    <w:name w:val="专业网格11"/>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1">
    <w:name w:val="网格型91"/>
    <w:basedOn w:val="57"/>
    <w:qFormat/>
    <w:uiPriority w:val="39"/>
    <w:rPr>
      <w:rFonts w:eastAsia="Times New Roman" w:asciiTheme="minorHAnsi" w:hAnsiTheme="minorHAnsi" w:cstheme="minorBid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52">
    <w:name w:val="网格型101"/>
    <w:basedOn w:val="57"/>
    <w:qFormat/>
    <w:uiPriority w:val="39"/>
    <w:rPr>
      <w:rFonts w:eastAsia="Times New Roman" w:asciiTheme="minorHAnsi" w:hAnsiTheme="minorHAnsi" w:cstheme="minorBid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53">
    <w:name w:val="网格型151"/>
    <w:basedOn w:val="5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4">
    <w:name w:val="样式1161"/>
    <w:basedOn w:val="57"/>
    <w:qFormat/>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55">
    <w:name w:val="样式1114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eastAsia="宋体"/>
        <w:b/>
        <w:sz w:val="21"/>
      </w:rPr>
      <w:tcPr>
        <w:tcBorders>
          <w:top w:val="single" w:color="auto" w:sz="8" w:space="0"/>
          <w:left w:val="nil"/>
          <w:bottom w:val="single" w:color="auto" w:sz="8" w:space="0"/>
          <w:right w:val="nil"/>
        </w:tcBorders>
      </w:tcPr>
    </w:tblStylePr>
    <w:tblStylePr w:type="lastRow">
      <w:rPr>
        <w:rFonts w:eastAsia="宋体"/>
      </w:rPr>
      <w:tcPr>
        <w:tcBorders>
          <w:bottom w:val="single" w:color="auto" w:sz="8" w:space="0"/>
        </w:tcBorders>
      </w:tcPr>
    </w:tblStylePr>
  </w:style>
  <w:style w:type="table" w:customStyle="1" w:styleId="1256">
    <w:name w:val="样式111131"/>
    <w:basedOn w:val="57"/>
    <w:qFormat/>
    <w:uiPriority w:val="99"/>
    <w:pPr>
      <w:spacing w:line="340" w:lineRule="exact"/>
      <w:jc w:val="center"/>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tcPr>
        <w:tcBorders>
          <w:top w:val="single" w:color="auto" w:sz="8" w:space="0"/>
          <w:left w:val="nil"/>
          <w:bottom w:val="single" w:color="auto" w:sz="8" w:space="0"/>
          <w:right w:val="nil"/>
        </w:tcBorders>
      </w:tcPr>
    </w:tblStylePr>
    <w:tblStylePr w:type="lastRow">
      <w:tcPr>
        <w:tcBorders>
          <w:bottom w:val="single" w:color="auto" w:sz="8" w:space="0"/>
        </w:tcBorders>
      </w:tcPr>
    </w:tblStylePr>
  </w:style>
  <w:style w:type="table" w:customStyle="1" w:styleId="1257">
    <w:name w:val="样式11111111"/>
    <w:basedOn w:val="57"/>
    <w:qFormat/>
    <w:uiPriority w:val="99"/>
    <w:pPr>
      <w:jc w:val="center"/>
    </w:pPr>
    <w:rPr>
      <w:sz w:val="21"/>
    </w:rPr>
    <w:tblPr>
      <w:tblBorders>
        <w:top w:val="single" w:color="auto" w:sz="4" w:space="0"/>
        <w:bottom w:val="single" w:color="auto" w:sz="4" w:space="0"/>
        <w:insideH w:val="single" w:color="auto" w:sz="4" w:space="0"/>
        <w:insideV w:val="single" w:color="auto" w:sz="4" w:space="0"/>
      </w:tblBorders>
    </w:tblPr>
    <w:tcPr>
      <w:vAlign w:val="center"/>
    </w:tcPr>
    <w:tblStylePr w:type="firstRow">
      <w:pPr>
        <w:jc w:val="center"/>
      </w:pPr>
      <w:rPr>
        <w:rFonts w:hint="default" w:ascii="Times New Roman" w:hAnsi="Times New Roman" w:eastAsia="宋体" w:cs="Times New Roman"/>
        <w:b/>
        <w:sz w:val="21"/>
        <w:szCs w:val="21"/>
      </w:rPr>
      <w:tcPr>
        <w:tcBorders>
          <w:top w:val="single" w:color="auto" w:sz="8" w:space="0"/>
          <w:left w:val="nil"/>
          <w:bottom w:val="single" w:color="auto" w:sz="8" w:space="0"/>
          <w:right w:val="nil"/>
        </w:tcBorders>
      </w:tcPr>
    </w:tblStylePr>
    <w:tblStylePr w:type="lastRow">
      <w:rPr>
        <w:rFonts w:hint="default" w:ascii="Times New Roman" w:hAnsi="Times New Roman" w:eastAsia="宋体" w:cs="Times New Roman"/>
      </w:rPr>
      <w:tcPr>
        <w:tcBorders>
          <w:bottom w:val="single" w:color="auto" w:sz="8" w:space="0"/>
        </w:tcBorders>
      </w:tcPr>
    </w:tblStylePr>
  </w:style>
  <w:style w:type="table" w:customStyle="1" w:styleId="1258">
    <w:name w:val="网格型161"/>
    <w:basedOn w:val="5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9">
    <w:name w:val="Table Normal3"/>
    <w:unhideWhenUsed/>
    <w:qFormat/>
    <w:uiPriority w:val="0"/>
    <w:tblPr>
      <w:tblCellMar>
        <w:top w:w="0" w:type="dxa"/>
        <w:left w:w="0" w:type="dxa"/>
        <w:bottom w:w="0" w:type="dxa"/>
        <w:right w:w="0" w:type="dxa"/>
      </w:tblCellMar>
    </w:tblPr>
  </w:style>
  <w:style w:type="paragraph" w:customStyle="1" w:styleId="1260">
    <w:name w:val=" Char"/>
    <w:basedOn w:val="1"/>
    <w:qFormat/>
    <w:uiPriority w:val="0"/>
  </w:style>
  <w:style w:type="paragraph" w:customStyle="1" w:styleId="1261">
    <w:name w:val="Table Text"/>
    <w:basedOn w:val="1"/>
    <w:semiHidden/>
    <w:qFormat/>
    <w:uiPriority w:val="0"/>
    <w:rPr>
      <w:rFonts w:ascii="宋体" w:hAnsi="宋体" w:eastAsia="宋体" w:cs="宋体"/>
      <w:sz w:val="25"/>
      <w:szCs w:val="25"/>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theme" Target="theme/theme1.xml"/><Relationship Id="rId7" Type="http://schemas.openxmlformats.org/officeDocument/2006/relationships/footer" Target="footer3.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39.wmf"/><Relationship Id="rId61" Type="http://schemas.openxmlformats.org/officeDocument/2006/relationships/oleObject" Target="embeddings/oleObject15.bin"/><Relationship Id="rId60" Type="http://schemas.openxmlformats.org/officeDocument/2006/relationships/image" Target="media/image38.wmf"/><Relationship Id="rId6" Type="http://schemas.openxmlformats.org/officeDocument/2006/relationships/footer" Target="footer2.xml"/><Relationship Id="rId59" Type="http://schemas.openxmlformats.org/officeDocument/2006/relationships/oleObject" Target="embeddings/oleObject14.bin"/><Relationship Id="rId58" Type="http://schemas.openxmlformats.org/officeDocument/2006/relationships/image" Target="media/image37.wmf"/><Relationship Id="rId57" Type="http://schemas.openxmlformats.org/officeDocument/2006/relationships/oleObject" Target="embeddings/oleObject13.bin"/><Relationship Id="rId56" Type="http://schemas.openxmlformats.org/officeDocument/2006/relationships/image" Target="media/image36.wmf"/><Relationship Id="rId55" Type="http://schemas.openxmlformats.org/officeDocument/2006/relationships/oleObject" Target="embeddings/oleObject12.bin"/><Relationship Id="rId54" Type="http://schemas.openxmlformats.org/officeDocument/2006/relationships/image" Target="media/image35.wmf"/><Relationship Id="rId53" Type="http://schemas.openxmlformats.org/officeDocument/2006/relationships/oleObject" Target="embeddings/oleObject11.bin"/><Relationship Id="rId52" Type="http://schemas.openxmlformats.org/officeDocument/2006/relationships/image" Target="media/image34.wmf"/><Relationship Id="rId51" Type="http://schemas.openxmlformats.org/officeDocument/2006/relationships/oleObject" Target="embeddings/oleObject10.bin"/><Relationship Id="rId50" Type="http://schemas.openxmlformats.org/officeDocument/2006/relationships/oleObject" Target="embeddings/oleObject9.bin"/><Relationship Id="rId5" Type="http://schemas.openxmlformats.org/officeDocument/2006/relationships/footer" Target="footer1.xml"/><Relationship Id="rId49" Type="http://schemas.openxmlformats.org/officeDocument/2006/relationships/image" Target="media/image33.wmf"/><Relationship Id="rId48" Type="http://schemas.openxmlformats.org/officeDocument/2006/relationships/oleObject" Target="embeddings/oleObject8.bin"/><Relationship Id="rId47" Type="http://schemas.openxmlformats.org/officeDocument/2006/relationships/image" Target="media/image32.wmf"/><Relationship Id="rId46" Type="http://schemas.openxmlformats.org/officeDocument/2006/relationships/oleObject" Target="embeddings/oleObject7.bin"/><Relationship Id="rId45" Type="http://schemas.openxmlformats.org/officeDocument/2006/relationships/image" Target="media/image31.wmf"/><Relationship Id="rId44" Type="http://schemas.openxmlformats.org/officeDocument/2006/relationships/oleObject" Target="embeddings/oleObject6.bin"/><Relationship Id="rId43" Type="http://schemas.openxmlformats.org/officeDocument/2006/relationships/image" Target="media/image30.wmf"/><Relationship Id="rId42" Type="http://schemas.openxmlformats.org/officeDocument/2006/relationships/oleObject" Target="embeddings/oleObject5.bin"/><Relationship Id="rId41" Type="http://schemas.openxmlformats.org/officeDocument/2006/relationships/oleObject" Target="embeddings/oleObject4.bin"/><Relationship Id="rId40" Type="http://schemas.openxmlformats.org/officeDocument/2006/relationships/image" Target="media/image29.wmf"/><Relationship Id="rId4" Type="http://schemas.openxmlformats.org/officeDocument/2006/relationships/endnotes" Target="endnotes.xml"/><Relationship Id="rId39" Type="http://schemas.openxmlformats.org/officeDocument/2006/relationships/image" Target="media/image28.wmf"/><Relationship Id="rId38" Type="http://schemas.openxmlformats.org/officeDocument/2006/relationships/image" Target="media/image27.jpeg"/><Relationship Id="rId37" Type="http://schemas.openxmlformats.org/officeDocument/2006/relationships/image" Target="media/image26.jpeg"/><Relationship Id="rId36" Type="http://schemas.openxmlformats.org/officeDocument/2006/relationships/image" Target="media/image25.jpeg"/><Relationship Id="rId35" Type="http://schemas.openxmlformats.org/officeDocument/2006/relationships/image" Target="media/image24.jpeg"/><Relationship Id="rId34" Type="http://schemas.openxmlformats.org/officeDocument/2006/relationships/image" Target="media/image23.jpeg"/><Relationship Id="rId33" Type="http://schemas.openxmlformats.org/officeDocument/2006/relationships/image" Target="media/image22.wmf"/><Relationship Id="rId32" Type="http://schemas.openxmlformats.org/officeDocument/2006/relationships/oleObject" Target="embeddings/oleObject3.bin"/><Relationship Id="rId31" Type="http://schemas.openxmlformats.org/officeDocument/2006/relationships/image" Target="media/image21.wmf"/><Relationship Id="rId30" Type="http://schemas.openxmlformats.org/officeDocument/2006/relationships/oleObject" Target="embeddings/oleObject2.bin"/><Relationship Id="rId3" Type="http://schemas.openxmlformats.org/officeDocument/2006/relationships/footnotes" Target="footnotes.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emf"/><Relationship Id="rId26" Type="http://schemas.openxmlformats.org/officeDocument/2006/relationships/oleObject" Target="embeddings/oleObject1.bin"/><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pn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"/>
    </extobj>
    <extobj name="F360BE8B-6686-4F3D-AEAF-501FE73E4058-2">
      <extobjdata type="F360BE8B-6686-4F3D-AEAF-501FE73E4058" data="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"/>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klZVWRJYTNKeVNHcDNOakV4TnpJMk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FJUVWxPVEVsT0VFbFJUY2xPVVlsUVRVbFJUY2xPVGNsT0RVbFJUUWxRa0VsUWtFbFJUVWxPRVlsUVVZbFJUZ2xPRE1sUWtRbFJUVWxPRVlsT1RjbFJUVWxPRGdsUWpBbFJUY2xPVUVsT0RRbFJUZ2xRa1VsT1RBbFJUVWxRakFsT0RRbFJUVWxPRVFsUWpFbFJUVWxRVVVsUWp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UzUkNVeVF5VXlNbU5vYVd4a2NtVnVKVEl5SlROQkpUVkNKVFZFSlRKREpUSXljbVZ6YVhwbFJHbHlKVEl5SlROQkpUVkNKVEl5ZEd3bE1qSWxNa01sTWpKMGNpVXlNaVV5UXlVeU1tSnlKVEl5SlRKREpUSXlZbXdsTWpJbE5VUWxNa01sTWpKdVlXMWxKVEl5SlROQkpUSXljSEp2WTJWemN5VXlNaVV5UXlVeU1tWnBiR3hUZEhsc1pTVXlNaVV6UVNVM1FpVXlNbU52Ykc5eUpUSXlKVE5CSlRJeU1qVTFKVEpETWpVMUpUSkRNalUxSlRJeUpUSkRKVEl5ZEhsd1pTVXlNaVV6UVNVeU1uTnZiR2xrSlRJeU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YUnlkV1VsTWtNbE1qSnRZWEpyWlhKUFptWnpaWFFsTWpJbE0wRTFKVGRFSlRKREpUSXlhV1FsTWpJbE0wRWxNakpJWVVkSWEzSnlTR3AzTmpFeE56STJKVEl5SlRKREpUSXlZMkYwWldkdmNua2xNaklsTTBFbE1qSm1iRzkzSlRJeUpUSkRKVEl5Ykc5amEyVmtKVEl5SlROQlptRnNjMlVsTWtNbE1qSm5jbTkxY0NVeU1pVXpRU1V5TWlVeU1pVTNSQ1V5UXlVeU1rbFBlVkJJUkhKdVdHTTNNVEU1Tmpj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WRk9DVTRSQ1ZCUmlWRk55VTRPU1ZCT1NWRk5TVTRPQ1U0TmlWRk9DVkJNeVU0TlNWRk5pVTRRU1ZDUkNWRk5pVkJNeVU0TUNVelEyUnBkaVV6UlNWRlJpVkNReVU0T0NWRk5TVTRPQ1U0TmlWRk9DVkJNeVU0TlNWRk5TVkJSU1ZCTkRJbE1qTWxSVVlsUWtNbE9Ea2xNME1sTWtaa2FYW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lVRbE1rTWxNakp1WVcxbEpUSXlKVE5CSlRJeWNISnZZMlZ6Y3lVeU1pVXlReVV5TW1acGJHeFRkSGxzWlNVeU1pVXpRU1UzUWlVeU1tTnZiRzl5SlRJeUpUTkJKVEl5TWpNeEpUSkROemtsTWtNM05pVXlNaVV5UXlVeU1uUjVjR1VsTWpJbE0wRWxNakp6YjJ4cFpDVXlNaVV5UXlVeU1tUnlZWGRVZVhCbEpUSXlKVE5CSlRJeWJtOXVaU1V5T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FTMU5JV0VwMmFIbHpOVEV3TkRnd0pUSXlKVGRFSlRKREpUZENKVEl5Ym1GdFpTVXlNaVV6UVNVeU1pVkZOU1U1TUNVNFJDVkZOeVZCTnlWQ01DVXlNaVV5UXlVeU1uUjVjR1VsTWpJbE0wRWxNakp6ZEhKcGJtY2xNaklsTWtNbE1qSjJZV3gxWlNVeU1pVXpRU1V5TWlVeU1pVXlReVV5TW1OaGRHVm5iM0o1SlRJeUpUTkJKVEl5WkdWbVlYVnNkQ1V5TWlVeVF5VXlNbWxrSlRJeUpUTkJKVEl5VGxWS1QzRnFVMFJqWVRRM01ETTN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aVU0UlNWQk5TVkZPQ1ZCUmlVNFF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05NGJVeExjbmhJUjJ3NU1EVXhPVEFsTWpJbE0wRWxOMElsTWpKcFpDVXlNaVV6UVNVeU1tOTRiVXhMY25oSVIydzVNRFV4T1R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21ab2RXdDRXblJxY3pBd09EZ3pOeVV5TWlVM1JDVXlReVUzUWlVeU1tNWhiV1VsTWpJbE0wRWxNaklsUlRVbE9UQWxPRVFsUlRjbFFUY2xRakFsTWpJbE1rTWxNakowZVhCbEpUSXlKVE5CSlRJeWMzUnlhVzVuSlRJeUpUSkRKVEl5ZG1Gc2RXVWxNaklsTTBFbE1qSWxNaklsTWtNbE1qSmpZWFJsWjI5eWVTVXlNaVV6UVNVeU1tUmxabUYxYkhRbE1qSWxNa01sTWpKcFpDVXlNaVV6UVNVeU1tTjZVV05ZZDB0NFIzY3dOakExT1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0pVRXhKVUZGSlVVMUpVRkZKVGxCSlVVMkpUazBKVUpGSlVVMUpVSXdKVGcwSlVVMkpUZ3dKVUUzSlVVNEpUaEVKVUZHSlVVM0pUZzVKVUU1SlVVM0pVSXhKVUpDSlVVMUpUZzRKVUZDSlVVekpUZ3dKVGd4SlVVM0pUazBKVUU0SlVVNUpUZzNKVGh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EU1Q1RIbG1hVzV6VXpFME5Ea3dPU1V5TWlVM1JDVXlReVUzUWlVeU1tNWhiV1VsTWpJbE0wRWxNaklsUlRVbE9UQWxPRVFsUlRjbFFUY2xRakFsTWpJbE1rTWxNakowZVhCbEpUSXlKVE5CSlRJeWMzUnlhVzVuSlRJeUpUSkRKVEl5ZG1Gc2RXVWxNaklsTTBFbE1qSWxNaklsTWtNbE1qSmpZWFJsWjI5eWVTVXlNaVV6UVNVeU1tUmxabUYxYkhRbE1qSWxNa01sTWpKcFpDVXlNaVV6UVNVeU1uRkZSRlpqWkhoNGIyWTFOakl5Tk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UbERKVGhFSlVVNEpUaEVKVUZHSlRORFpHbDJKVE5GSlVWR0pVSkRKVGc0U1MweE16RWxSVFlsT1VNbE9FUWxSVGdsT0VRbFFVWWxSVFVsUVVVbFFUUWxSVVlsUWtNbE9Ea2xNME1sTWtaa2FYW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VhM1YzYUhwcVlrZGlOVEk0TlRFNEpUSXlKVE5CSlRkQ0pUSXlhV1FsTWpJbE0wRWxNakpFYTNWM2FIcHFZa2RpTlRJNE5URTR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TnpaRUpEWWtKUGQxazVNelUwTlRBbE1qSWxOMFFsTWtNbE4wSWxNakp1WVcxbEpUSXlKVE5CSlRJeUpVVTFKVGt3SlRoRUpVVTNKVUUzSlVJd0pUSXlKVEpESlRJeWRIbHdaU1V5TWlVelFTVXlNbk4wY21sdVp5VXlNaVV5UXlVeU1uWmhiSFZsSlRJeUpUTkJKVEl5SlRJeUpUSkRKVEl5WTJGMFpXZHZjbmtsTWpJbE0wRWxNakprWldaaGRXeDBKVEl5SlRKREpUSXlhV1FsTWpJbE0wRWxNakpHVFhsTVkwUjZVazFrT1RjMk5UST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Rak1sUVRnbFJUVWxRakFsT0RRbE0wTmthWFlsTTBVbFJVWWxRa01sT0RoVGNpMDRPU1ZGTmlWQ015VkJPQ1ZGTlNWQ01DVTROQ1ZGTlNWQlJTVkJOQ1V6UTNOd1lXNGxNakJ6ZEhsc1pTVXpSQ1UxUXlVeU1tWnZiblF0YzJsNlpTVXpRU1V5TUdsdWFHVnlhWFFsTTBJbE5VTWxNaklsTTBVbFJVWWxRa01sT0RrbE0wTWxNa1p6Y0dGdUpUTkZKVE5ESlRKR1pHbDJ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aWEpZZFdaaGMzaHZSelEyTlRjMk15VXlNaVV6UVNVM1FpVXlNbWxrSlRJeUpUTkJKVEl5WlhKWWRXWmhjM2h2UnpRMk5UYzJ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ZWVWx0WVhCWFZFOVZNVGd5TnpNNUpUSXlKVGRFSlRKREpUZENKVEl5Ym1GdFpTVXlNaVV6UVNVeU1pVkZOU1U1TUNVNFJDVkZOeVZCTnlWQ01DVXlNaVV5UXlVeU1uUjVjR1VsTWpJbE0wRWxNakp6ZEhKcGJtY2xNaklsTWtNbE1qSjJZV3gxWlNVeU1pVXpRU1V5TWlVeU1pVXlReVV5TW1OaGRHVm5iM0o1SlRJeUpUTkJKVEl5WkdWbVlYVnNkQ1V5TWlVeVF5VXlNbWxrSlRJeUpUTkJKVEl5YVcxcGRVRlphM3BYUkRZMU1qWTJN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NKVGsxSlRrNUpVVTRKVUUzSlRne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TA1T1dWSmFTRzFOYWpnNU5UVTJOaVV5TWlVelFTVTNRaVV5TW1sa0pUSXlKVE5CSlRJeVkwNU9XVkphU0cxTmFqZzVOVFUyTm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YlUxSmFVWk1iMmRuT1RBek1EZzBKVEl5SlRkRUpUSkRKVGRDSlRJeWJtRnRaU1V5TWlVelFTVXlNaVZGTlNVNU1DVTRSQ1ZGTnlWQk55VkNNQ1V5TWlVeVF5VXlNblI1Y0dVbE1qSWxNMEVsTWpKemRISnBibWNsTWpJbE1rTWxNakoyWVd4MVpTVXlNaVV6UVNVeU1pVXlNaVV5UXlVeU1tTmhkR1ZuYjNKNUpUSXlKVE5CSlRJeVpHVm1ZWFZzZENVeU1pVXlReVV5TW1sa0pUSXlKVE5CSlRJeVNsTlRhMFZVYTBwbGFqVTFPVEF3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E9EZ2xPRFlsUlRZbE9UY2xRallsUlRZbFFVVWxRalVsUlRjbE9UUWxRaklsUlRVbE9UQWxRamdsUlRVbE9FRWxPVVlsUlRnbE9ETWxRa1FsUlRZbFFUTWxPREFsUlRZbE9VWWxRVFVsTTBOa2FYWWxNMFVsUlVZbFFrTWxPRGdsUlRjbE9UUWxRaklsUlRVbE9FRWxPVVlsUlRVbFFVVWxRVFFsUlVZbFFrTWxPRGtsTTBNbE1rWmthWF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RUm5wWGRFaFViVUZYTWpjNU1UVTNKVEl5SlROQkpUZENKVEl5YVdRbE1qSWxNMEVsTWpKUVJucFhkRWhVYlVGWE1qYzVNVFUz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VJCU201TFdtRjNXbTA1T1RneE5qQWxNaklsTjBRbE1rTWxOMElsTWpKdVlXMWxKVEl5SlROQkpUSXlKVVUxSlRrd0pUaEVKVVUzSlVFM0pVSXdKVEl5SlRKREpUSXlkSGx3WlNVeU1pVXpRU1V5TW5OMGNtbHVaeVV5TWlVeVF5VXlNblpoYkhWbEpUSXlKVE5CSlRJeUpUSXlKVEpESlRJeVkyRjBaV2R2Y25rbE1qSWxNMEVsTWpKa1pXWmhkV3gwSlRJeUpUSkRKVEl5YVdRbE1qSWxNMEVsTWpKNWFrUjNXRmQzUlVkTE1EQTBPREF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lNVNE55VkNRU1ZGT1NVNU9TVkJ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RkZCUVdsWGRHdFZSREE0TXpFd01pVXlNaVUzUkNVeVF5VTNRaVV5TW01aGJXVWxNaklsTTBFbE1qSWxSVFVsT1RBbE9FUWxSVGNsUVRjbFFqQWxNaklsTWtNbE1qSjBlWEJsSlRJeUpUTkJKVEl5YzNSeWFXNW5KVEl5SlRKREpUSXlkbUZzZFdVbE1qSWxNMEVsTWpJbE1qSWxNa01sTWpKallYUmxaMjl5ZVNVeU1pVXpRU1V5TW1SbFptRjFiSFFsTWpJbE1rTWxNakpwWkNVeU1pVXpRU1V5TW5CTWVYcDZlbmxMYjJVM01UZzJNem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sZFNZa3R5WWxaNmR6QXlOamt3TkNVeU1pVXpRU1UzUWlVeU1tbGtKVEl5SlROQkpUSXlWbGRTWWt0eVlsWjZkekF5Tmprd05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1YxVlRXRTVsU25wd01UVTFORGc1SlRJeUpUZEVKVEpESlRkQ0pUSXlibUZ0WlNVeU1pVXpRU1V5TWlWRk5TVTVNQ1U0UkNWRk55VkJOeVZDTUNVeU1pVXlReVV5TW5SNWNHVWxNaklsTTBFbE1qSnpkSEpwYm1jbE1qSWxNa01sTWpKMllXeDFaU1V5TWlVelFTVXlNaVV5TWlVeVF5VXlNbU5oZEdWbmIzSjVKVEl5SlROQkpUSXlaR1ZtWVhWc2RDVXlNaVV5UXlVeU1tbGtKVEl5SlROQkpUSXlXa1phWW5oSGRHcEpSekU0TlRneE5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mE2ZjEzZTQ3LWY0MWEtNDM0NC05YzQxLTNkMDU2MGRhYjMyZiIKfQo="/>
    </extobj>
    <extobj name="E657119C-6982-421D-8BA7-E74DEB70A7D9-4">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dkMmR2UmtGelYweFpPVFE1TnpNNEpUSXlKVE5CSlRkQ0pUSXlhV1FsTWpJbE0wRWxNakp3ZDJkdlJrRnpWMHhaT1RRNU56TTR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UklZbUZCWkhOeGFWbzFPREEwTXpJbE1qSWxOMFFsTWtNbE4wSWxNakp1WVcxbEpUSXlKVE5CSlRJeUpVVTFKVGt3SlRoRUpVVTNKVUUzSlVJd0pUSXlKVEpESlRJeWRIbHdaU1V5TWlVelFTVXlNbk4wY21sdVp5VXlNaVV5UXlVeU1uWmhiSFZsSlRJeUpUTkJKVEl5SlRJeUpUSkRKVEl5WTJGMFpXZHZjbmtsTWpJbE0wRWxNakprWldaaGRXeDBKVEl5SlRKREpUSXlhV1FsTWpJbE0wRWxNakp2WmxwUVJrOW9WMFpWTmpZM09Uaz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UaEZKVUUxSlVVNEpVRkdKVGhC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lWGxTYm1ST2IwMXZWemd3TURjMk1TVXlNaVV6UVNVM1FpVXlNbWxrSlRJeUpUTkJKVEl5ZVhsU2JtUk9iMDF2Vnpnd01EYzJN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hkR3R6Vm5saFRHRlBNVE0wTVRRd0pUSXlKVGRFSlRKREpUZENKVEl5Ym1GdFpTVXlNaVV6UVNVeU1pVkZOU1U1TUNVNFJDVkZOeVZCTnlWQ01DVXlNaVV5UXlVeU1uUjVjR1VsTWpJbE0wRWxNakp6ZEhKcGJtY2xNaklsTWtNbE1qSjJZV3gxWlNVeU1pVXpRU1V5TWlVeU1pVXlReVV5TW1OaGRHVm5iM0o1SlRJeUpUTkJKVEl5WkdWbVlYVnNkQ1V5TWlVeVF5VXlNbWxrSlRJeUpUTkJKVEl5V2tOTFZtZHRWRk5HVXpJMU1UQTVP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PVEVsT0VFbFJUY2xPVVlsUVRVbFJUY2xPVGNsT0RVbFJUWWxPRElsUVRNbFJUVWxPRVlsUVVZbFJUZ2xPRE1sUWtRbFJUVWxPRVlsT1RjbFJUVWxPRGdsUWpBbFJUY2xPVUVsT0RRbFJUZ2xRa1VsT1RBbFJUVWxRakFsT0RRbFJUVWxPRVFsUWpFbFJUVWxRVVVsUWp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0V25aMWJXRmxaM2haTmpNNE56QTVKVEl5SlROQkpUZENKVEl5YVdRbE1qSWxNMEVsTWpKdFduWjFiV0ZsWjNoWk5qTTROekE1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BOUW5WRWNHaEJkV00yTWpVM05qTWxNaklsTjBRbE1rTWxOMElsTWpKdVlXMWxKVEl5SlROQkpUSXlKVVUxSlRrd0pUaEVKVVUzSlVFM0pVSXdKVEl5SlRKREpUSXlkSGx3WlNVeU1pVXpRU1V5TW5OMGNtbHVaeVV5TWlVeVF5VXlNblpoYkhWbEpUSXlKVE5CSlRJeUpUSXlKVEpESlRJeVkyRjBaV2R2Y25rbE1qSWxNMEVsTWpKa1pXWmhkV3gwSlRJeUpUSkRKVEl5YVdRbE1qSWxNMEVsTWpKWFlsbEpiMmR1WjNoeE1UWXpOakF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eVZCTVNWQlJTVkZOU1ZCUlNVNVFTVkZOaVU1TkNWQ1JTVkZOU1ZDTUNVNE5DVkZOaVU0TUNWQk55VkZPQ1U0UkNWQlJpVkZOeVU0T1NWQk9TVkZOeVZDTVNWQ1FpVkZOU1U0T0NWQlFpVkZNeVU0TUNVNE1TVkZOeVU1TkNWQk9DVkZPU1U0TnlVNFJ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4bFprOWtkMHRpVDNReE1qVXlPVE1sTWpJbE0wRWxOMElsTWpKcFpDVXlNaVV6UVNVeU1reGxaazlrZDB0aVQzUXhNalV5T1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W5GS1ZHaHdaVUpHV1RNMk1EZzROU1V5TWlVM1JDVXlReVUzUWlVeU1tNWhiV1VsTWpJbE0wRWxNaklsUlRVbE9UQWxPRVFsUlRjbFFUY2xRakFsTWpJbE1rTWxNakowZVhCbEpUSXlKVE5CSlRJeWMzUnlhVzVuSlRJeUpUSkRKVEl5ZG1Gc2RXVWxNaklsTTBFbE1qSWxNaklsTWtNbE1qSmpZWFJsWjI5eWVTVXlNaVV6UVNVeU1tUmxabUYxYkhRbE1qSWxNa01sTWpKcFpDVXlNaVV6UVNVeU1reEdhRTVLUlZCTVdVWTBNREkzTX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zSlVFMkpVSkNKVVUxSlVKREpUZ3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FWVktVRnBYUjJ4aGF6VXlPRFV3TUNVeU1pVXpRU1UzUWlVeU1tbGtKVEl5SlROQkpUSXlhVlZLVUZwWFIyeGhhelV5T0RVd0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dmMzRnFjSFpxYkhkcE1qUXdOall3SlRJeUpUZEVKVEpESlRkQ0pUSXlibUZ0WlNVeU1pVXpRU1V5TWlWRk5TVTVNQ1U0UkNWRk55VkJOeVZDTUNVeU1pVXlReVV5TW5SNWNHVWxNaklsTTBFbE1qSnpkSEpwYm1jbE1qSWxNa01sTWpKMllXeDFaU1V5TWlVelFTVXlNaVV5TWlVeVF5VXlNbU5oZEdWbmIzSjVKVEl5SlROQkpUSXlaR1ZtWVhWc2RDVXlNaVV5UXlVeU1tbGtKVEl5SlROQkpUSXllWE5rZGs1UlIxaFdiVE15TkRNeU5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ZbE9UVWxRamNsUlRnbFFqUWxRalFsUlRZbFFqSWxRa0lsUlRjbE9UWWxPVGNsTTBOa2FYWWxNMFVsUlVZbFFrTWxPRGdsUlRZbE9UVWxRamNsUlRnbFFqUWxRalFsUlRVbFFVVWxRVFF4SlRJekpVVXpKVGd3SlRneE1pVXlNeVV6UTNOd1lXNGxNakJ6ZEhsc1pTVXpSQ1UxUXlVeU1tWnZiblF0YzJsNlpTVXpRU1V5TUdsdWFHVnlhWFFsTTBJbE5VTWxNaklsTTBVbFJVWWxRa01sT0RrbE0wTWxNa1p6Y0dGdUpUTkZKVE5ESlRKR1pHbDJ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RWEowYVZObVZsUmtaalF4TXpFek1pVXlNaVV6UVNVM1FpVXlNbWxrSlRJeUpUTkJKVEl5UVhKMGFWTm1WbFJrWmpReE16RXp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9VMEpGVVVKNGNVNXhNRFl4TnpVMUpUSXlKVGRFSlRKREpUZENKVEl5Ym1GdFpTVXlNaVV6UVNVeU1pVkZOU1U1TUNVNFJDVkZOeVZCTnlWQ01DVXlNaVV5UXlVeU1uUjVjR1VsTWpJbE0wRWxNakp6ZEhKcGJtY2xNaklsTWtNbE1qSjJZV3gxWlNVeU1pVXpRU1V5TWlVeU1pVXlReVV5TW1OaGRHVm5iM0o1SlRJeUpUTkJKVEl5WkdWbVlYVnNkQ1V5TWlVeVF5VXlNbWxrSlRJeUpUTkJKVEl5Ulc5c1lXUkVZMHRoWmpnM05UWTJ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RamNsUVRVbFJUUWxRa1FsT1VNbFJUUWxRa0VsUWtFbFJUVWxPVEVsT1RnbFJUWWxPRVlsT1RBbFJUVWxPRGtsT0VRbFJUVWxPRGdsUWpZbFJUWWxPRGdsT1RBbFJUY2xRVE1sUWpjdE16SWxSVFlsT1RVbFFqY2xSVGdsUWpRbFFqUWxSVFVsT1RrbFFUZ2xSVE1sT0RBbE9ESWxSVVlsUWtNbE9EZ2xSVFVsT0RnbE9EWWxSVGdsUVRNbE9EVWxSVFVsUVVVbFFUUXhKVEl6SlRORGMzQmhiaVV5TUhOMGVXeGxKVE5FSlRWREpUSXlabTl1ZEMxemFYcGxKVE5CSlRJd2FXNW9aWEpwZENVelFpVTFReVV5TWlVelJTVkZSaVZDUXlVNE9TVXpReVV5Um5Od1lXNG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lRUkdWWmNWUkNaVzQzT1RVMU5UVWxNaklsTjBRbE1rTWxOMElsTWpKdVlXMWxKVEl5SlROQkpUSXlKVVUxSlRrd0pUaEVKVVUzSlVFM0pVSXdKVEl5SlRKREpUSXlkSGx3WlNVeU1pVXpRU1V5TW5OMGNtbHVaeVV5TWlVeVF5VXlNblpoYkhWbEpUSXlKVE5CSlRJeUpUSXlKVEpESlRJeVkyRjBaV2R2Y25rbE1qSWxNMEVsTWpKa1pXWmhkV3gwSlRJeUpUSkRKVEl5YVdRbE1qSWxNMEVsTWpKeFQwRkJiV052ZG1aRE5UYzVNVGt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FY0ZWU2FtdGpTMDl3TnpZME1EQTFKVEl5SlRkRUpUSkRKVGRDSlRJeWJtRnRaU1V5TWlVelFTVXlNaVZGTlNVNU1DVTRSQ1ZGTnlWQk55VkNNQ1V5TWlVeVF5VXlNblI1Y0dVbE1qSWxNMEVsTWpKemRISnBibWNsTWpJbE1rTWxNakoyWVd4MVpTVXlNaVV6UVNVeU1pVXlNaVV5UXlVeU1tTmhkR1ZuYjNKNUpUSXlKVE5CSlRJeVpHVm1ZWFZzZENVeU1pVXlReVV5TW1sa0pUSXlKVE5CSlRJeWJXOXNWV2hEZWxGdWJEWTROemt5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RSU1ZDTWlWRk5TVkNNQ1U0TkNWRk55VkNRU1ZDUmlWRk15VTRNQ1U0TVNWRk9TVTVSaVZCTnlWRk9DVTROeVZDTkNWRk9DVkNSU1U1TUNWRk5TVkNNQ1U0TkNWRlJpVkNReVU1UWlWRk5pVTVOQ1ZDUlNWRk5TVkNNQ1U0TkNWRk5pVTRNQ1ZCTnlWRk5TVTVRaVZDUVNWRk5TVkNRU1U1UmlWRlJpVkNReVU1UWlWRk5pVTVOQ1ZDUlNWRk5TVkNNQ1U0TkNWRk5pVTRNQ1ZCTnlWRk5TVkNRU1U1UmlWRk5pVkNNQ1U1TkNWRlJpVkNReVU1UWlVelEySnlKVE5GSlVVMkpUazBKVUpGSlVVMUpVSXdKVGcwSlVVMkpUZ3dKVUUzSlVVMUpVSkJKVGxHSlVVMkpVSTJKVUl5SlVVekpUZ3dKVGd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N2ZmYzI5MmEtYjJlYS00ZTQxLTk0ZGYtMzA1NGZkMjUzYjNkIgp9Cg=="/>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F2FA8-B16B-492A-ADFB-DD455CFAF19B}">
  <ds:schemaRefs/>
</ds:datastoreItem>
</file>

<file path=docProps/app.xml><?xml version="1.0" encoding="utf-8"?>
<Properties xmlns="http://schemas.openxmlformats.org/officeDocument/2006/extended-properties" xmlns:vt="http://schemas.openxmlformats.org/officeDocument/2006/docPropsVTypes">
  <Template>Normal</Template>
  <Pages>165</Pages>
  <Words>12762</Words>
  <Characters>15504</Characters>
  <Lines>1949</Lines>
  <Paragraphs>548</Paragraphs>
  <TotalTime>0</TotalTime>
  <ScaleCrop>false</ScaleCrop>
  <LinksUpToDate>false</LinksUpToDate>
  <CharactersWithSpaces>15677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2025-05-06T03:20:00Z</dcterms:created>
  <dc:creator>youzhi tao</dc:creator>
  <cp:lastModifiedBy>yyycaine</cp:lastModifiedBy>
  <cp:lastPrinted>2025-05-08T12:06:00Z</cp:lastPrinted>
  <dcterms:modified xsi:type="dcterms:W3CDTF">2026-09-22T01:42:50Z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eyJoZGlkIjoiZDdiODcyYjcxMzIyODYyNzNkNzM3OWYzODkzNWJmOTYiLCJ1c2VySWQiOiI4ODI0Mzc1ODkifQ==</vt:lpwstr>
  </property>
  <property fmtid="{D5CDD505-2E9C-101B-9397-08002B2CF9AE}" pid="3" name="KSOProductBuildVer">
    <vt:lpwstr>2052-12.1.0.28043</vt:lpwstr>
  </property>
  <property fmtid="{D5CDD505-2E9C-101B-9397-08002B2CF9AE}" pid="4" name="ICV">
    <vt:lpwstr>6C9BEE8DB5874AD58BB1AF5F191225C0_13</vt:lpwstr>
  </property>
</Properties>
</file>