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BD7B7D">
      <w:pPr>
        <w:pStyle w:val="2"/>
        <w:tabs>
          <w:tab w:val="left" w:pos="0"/>
          <w:tab w:val="center" w:pos="4153"/>
        </w:tabs>
        <w:autoSpaceDE w:val="0"/>
        <w:autoSpaceDN w:val="0"/>
        <w:adjustRightInd w:val="0"/>
        <w:spacing w:before="0" w:after="0" w:line="360" w:lineRule="auto"/>
        <w:jc w:val="center"/>
        <w:rPr>
          <w:rStyle w:val="33"/>
          <w:rFonts w:hint="eastAsia" w:ascii="黑体" w:hAnsi="黑体" w:eastAsia="黑体" w:cs="黑体"/>
          <w:b w:val="0"/>
          <w:bCs w:val="0"/>
          <w:sz w:val="28"/>
          <w:szCs w:val="28"/>
        </w:rPr>
      </w:pPr>
      <w:r>
        <w:rPr>
          <w:rStyle w:val="33"/>
          <w:rFonts w:hint="eastAsia" w:ascii="黑体" w:hAnsi="黑体" w:eastAsia="黑体" w:cs="黑体"/>
          <w:b w:val="0"/>
          <w:bCs w:val="0"/>
          <w:sz w:val="28"/>
          <w:szCs w:val="28"/>
        </w:rPr>
        <w:t>四川天府新区人民医院</w:t>
      </w:r>
      <w:r>
        <w:rPr>
          <w:rStyle w:val="33"/>
          <w:rFonts w:hint="eastAsia" w:ascii="黑体" w:hAnsi="黑体" w:eastAsia="黑体" w:cs="黑体"/>
          <w:b w:val="0"/>
          <w:bCs w:val="0"/>
          <w:sz w:val="28"/>
          <w:szCs w:val="28"/>
          <w:lang w:val="en-US"/>
        </w:rPr>
        <w:t>燃气热水器及简易花洒套装采购项目</w:t>
      </w:r>
    </w:p>
    <w:p w14:paraId="31B9EA1B">
      <w:pPr>
        <w:pStyle w:val="2"/>
        <w:tabs>
          <w:tab w:val="left" w:pos="0"/>
          <w:tab w:val="center" w:pos="4153"/>
        </w:tabs>
        <w:autoSpaceDE w:val="0"/>
        <w:autoSpaceDN w:val="0"/>
        <w:adjustRightInd w:val="0"/>
        <w:spacing w:before="0" w:after="0" w:line="360" w:lineRule="auto"/>
        <w:jc w:val="center"/>
        <w:rPr>
          <w:rStyle w:val="33"/>
          <w:rFonts w:ascii="黑体" w:hAnsi="黑体" w:eastAsia="黑体" w:cs="Times New Roman"/>
          <w:b w:val="0"/>
          <w:bCs w:val="0"/>
          <w:sz w:val="28"/>
          <w:szCs w:val="28"/>
        </w:rPr>
      </w:pPr>
      <w:r>
        <w:rPr>
          <w:rStyle w:val="33"/>
          <w:rFonts w:hint="eastAsia" w:ascii="黑体" w:hAnsi="黑体" w:eastAsia="黑体" w:cs="黑体"/>
          <w:b w:val="0"/>
          <w:bCs w:val="0"/>
          <w:sz w:val="28"/>
          <w:szCs w:val="28"/>
        </w:rPr>
        <w:t>询价通知书</w:t>
      </w:r>
    </w:p>
    <w:p w14:paraId="21529BFE">
      <w:pPr>
        <w:spacing w:line="360" w:lineRule="auto"/>
        <w:rPr>
          <w:lang w:val="zh-CN"/>
        </w:rPr>
      </w:pPr>
      <w:bookmarkStart w:id="0" w:name="_Toc531764886"/>
      <w:bookmarkStart w:id="1" w:name="_Toc532292766"/>
      <w:bookmarkStart w:id="2" w:name="_Toc101338318"/>
      <w:bookmarkStart w:id="3" w:name="_Toc534008348"/>
      <w:bookmarkStart w:id="4" w:name="_Toc531665995"/>
      <w:bookmarkStart w:id="5" w:name="_Toc531661814"/>
      <w:bookmarkStart w:id="6" w:name="_Toc532292486"/>
      <w:bookmarkStart w:id="7" w:name="_Toc532292568"/>
      <w:bookmarkStart w:id="8" w:name="_Toc532877817"/>
    </w:p>
    <w:p w14:paraId="75CEF61B">
      <w:pPr>
        <w:spacing w:line="360" w:lineRule="auto"/>
        <w:rPr>
          <w:rFonts w:hint="default" w:ascii="仿宋" w:hAnsi="仿宋" w:eastAsia="仿宋"/>
          <w:sz w:val="28"/>
          <w:szCs w:val="28"/>
          <w:lang w:val="en-US" w:eastAsia="zh-CN"/>
        </w:rPr>
      </w:pPr>
      <w:r>
        <w:rPr>
          <w:rFonts w:hint="eastAsia" w:ascii="仿宋" w:hAnsi="仿宋" w:eastAsia="仿宋" w:cs="仿宋"/>
          <w:b/>
          <w:bCs/>
          <w:sz w:val="28"/>
          <w:szCs w:val="28"/>
        </w:rPr>
        <w:t>一、采购编号：</w:t>
      </w:r>
      <w:r>
        <w:rPr>
          <w:rFonts w:ascii="仿宋" w:hAnsi="仿宋" w:eastAsia="仿宋" w:cs="仿宋"/>
          <w:sz w:val="28"/>
          <w:szCs w:val="28"/>
        </w:rPr>
        <w:t>202</w:t>
      </w:r>
      <w:r>
        <w:rPr>
          <w:rFonts w:hint="eastAsia" w:ascii="仿宋" w:hAnsi="仿宋" w:eastAsia="仿宋" w:cs="仿宋"/>
          <w:sz w:val="28"/>
          <w:szCs w:val="28"/>
          <w:lang w:val="en-US" w:eastAsia="zh-CN"/>
        </w:rPr>
        <w:t>504002</w:t>
      </w:r>
    </w:p>
    <w:p w14:paraId="7687F8D3">
      <w:pPr>
        <w:pStyle w:val="2"/>
        <w:tabs>
          <w:tab w:val="left" w:pos="0"/>
          <w:tab w:val="center" w:pos="4153"/>
        </w:tabs>
        <w:autoSpaceDE w:val="0"/>
        <w:autoSpaceDN w:val="0"/>
        <w:adjustRightInd w:val="0"/>
        <w:spacing w:before="0" w:after="0" w:line="360" w:lineRule="auto"/>
        <w:rPr>
          <w:rFonts w:ascii="仿宋" w:hAnsi="仿宋" w:eastAsia="仿宋" w:cs="Times New Roman"/>
          <w:b w:val="0"/>
          <w:bCs w:val="0"/>
          <w:spacing w:val="-20"/>
          <w:kern w:val="2"/>
          <w:sz w:val="28"/>
          <w:szCs w:val="28"/>
        </w:rPr>
      </w:pPr>
      <w:r>
        <w:rPr>
          <w:rFonts w:hint="eastAsia" w:ascii="仿宋" w:hAnsi="仿宋" w:eastAsia="仿宋" w:cs="仿宋"/>
          <w:sz w:val="28"/>
          <w:szCs w:val="28"/>
        </w:rPr>
        <w:t>二、项目名称：</w:t>
      </w:r>
      <w:r>
        <w:rPr>
          <w:rFonts w:hint="eastAsia" w:ascii="仿宋" w:hAnsi="仿宋" w:eastAsia="仿宋" w:cs="仿宋"/>
          <w:b w:val="0"/>
          <w:bCs w:val="0"/>
          <w:spacing w:val="-20"/>
          <w:kern w:val="2"/>
          <w:sz w:val="28"/>
          <w:szCs w:val="28"/>
        </w:rPr>
        <w:t>四川天府新区人民医院</w:t>
      </w:r>
      <w:r>
        <w:rPr>
          <w:rFonts w:hint="eastAsia" w:ascii="仿宋" w:hAnsi="仿宋" w:eastAsia="仿宋" w:cs="仿宋"/>
          <w:b w:val="0"/>
          <w:bCs w:val="0"/>
          <w:spacing w:val="-20"/>
          <w:kern w:val="2"/>
          <w:sz w:val="28"/>
          <w:szCs w:val="28"/>
          <w:lang w:val="en-US" w:eastAsia="zh-CN"/>
        </w:rPr>
        <w:t>燃气热水器及简易花洒套装采购项目</w:t>
      </w:r>
    </w:p>
    <w:p w14:paraId="1B783866">
      <w:pPr>
        <w:widowControl/>
        <w:rPr>
          <w:rFonts w:ascii="仿宋" w:hAnsi="仿宋" w:eastAsia="仿宋"/>
          <w:spacing w:val="-20"/>
          <w:sz w:val="28"/>
          <w:szCs w:val="28"/>
        </w:rPr>
      </w:pPr>
      <w:r>
        <w:rPr>
          <w:rFonts w:hint="eastAsia" w:ascii="仿宋" w:hAnsi="仿宋" w:eastAsia="仿宋" w:cs="仿宋"/>
          <w:b/>
          <w:bCs/>
          <w:sz w:val="28"/>
          <w:szCs w:val="28"/>
        </w:rPr>
        <w:t>三、项目简介：</w:t>
      </w:r>
      <w:r>
        <w:rPr>
          <w:rFonts w:hint="eastAsia" w:ascii="仿宋" w:hAnsi="仿宋" w:eastAsia="仿宋" w:cs="仿宋"/>
          <w:b w:val="0"/>
          <w:bCs w:val="0"/>
          <w:spacing w:val="-20"/>
          <w:kern w:val="2"/>
          <w:sz w:val="28"/>
          <w:szCs w:val="28"/>
          <w:lang w:val="en-US" w:eastAsia="zh-CN" w:bidi="ar-SA"/>
        </w:rPr>
        <w:t>本项目共1个包，采购内容：因医院工作需要，拟采购燃气热水器及简易花洒套装。</w:t>
      </w:r>
    </w:p>
    <w:p w14:paraId="0B6560AE">
      <w:pPr>
        <w:widowControl/>
        <w:rPr>
          <w:rFonts w:ascii="仿宋" w:hAnsi="仿宋" w:eastAsia="仿宋"/>
          <w:spacing w:val="-20"/>
          <w:sz w:val="28"/>
          <w:szCs w:val="28"/>
        </w:rPr>
      </w:pPr>
      <w:r>
        <w:rPr>
          <w:rFonts w:hint="eastAsia" w:ascii="仿宋" w:hAnsi="仿宋" w:eastAsia="仿宋" w:cs="仿宋"/>
          <w:b/>
          <w:bCs/>
          <w:spacing w:val="-20"/>
          <w:sz w:val="28"/>
          <w:szCs w:val="28"/>
        </w:rPr>
        <w:t>四、本项目最高限价：</w:t>
      </w:r>
      <w:r>
        <w:rPr>
          <w:rFonts w:hint="eastAsia" w:ascii="仿宋" w:hAnsi="仿宋" w:eastAsia="仿宋" w:cs="仿宋"/>
          <w:spacing w:val="-20"/>
          <w:sz w:val="28"/>
          <w:szCs w:val="28"/>
        </w:rPr>
        <w:t>预算金额：</w:t>
      </w:r>
      <w:r>
        <w:rPr>
          <w:rFonts w:hint="eastAsia" w:ascii="仿宋" w:hAnsi="仿宋" w:eastAsia="仿宋" w:cs="仿宋"/>
          <w:spacing w:val="-20"/>
          <w:sz w:val="28"/>
          <w:szCs w:val="28"/>
          <w:lang w:val="en-US" w:eastAsia="zh-CN"/>
        </w:rPr>
        <w:t>66000</w:t>
      </w:r>
      <w:r>
        <w:rPr>
          <w:rFonts w:ascii="仿宋" w:hAnsi="仿宋" w:eastAsia="仿宋" w:cs="仿宋"/>
          <w:spacing w:val="-20"/>
          <w:sz w:val="28"/>
          <w:szCs w:val="28"/>
        </w:rPr>
        <w:t>.00</w:t>
      </w:r>
      <w:r>
        <w:rPr>
          <w:rFonts w:hint="eastAsia" w:ascii="仿宋" w:hAnsi="仿宋" w:eastAsia="仿宋" w:cs="仿宋"/>
          <w:spacing w:val="-20"/>
          <w:sz w:val="28"/>
          <w:szCs w:val="28"/>
        </w:rPr>
        <w:t>元；最高限价：</w:t>
      </w:r>
      <w:r>
        <w:rPr>
          <w:rFonts w:hint="eastAsia" w:ascii="仿宋" w:hAnsi="仿宋" w:eastAsia="仿宋" w:cs="仿宋"/>
          <w:spacing w:val="-20"/>
          <w:sz w:val="28"/>
          <w:szCs w:val="28"/>
          <w:lang w:val="en-US" w:eastAsia="zh-CN"/>
        </w:rPr>
        <w:t>66000</w:t>
      </w:r>
      <w:r>
        <w:rPr>
          <w:rFonts w:ascii="仿宋" w:hAnsi="仿宋" w:eastAsia="仿宋" w:cs="仿宋"/>
          <w:spacing w:val="-20"/>
          <w:sz w:val="28"/>
          <w:szCs w:val="28"/>
        </w:rPr>
        <w:t>.00</w:t>
      </w:r>
      <w:r>
        <w:rPr>
          <w:rFonts w:hint="eastAsia" w:ascii="仿宋" w:hAnsi="仿宋" w:eastAsia="仿宋" w:cs="仿宋"/>
          <w:spacing w:val="-20"/>
          <w:sz w:val="28"/>
          <w:szCs w:val="28"/>
        </w:rPr>
        <w:t>元。报价超过预算金额或最高限价，作无效投标处理。（本项目所有运输、保险、装卸、安装、调试、培训、税费等一切相关费用均包含在报价中由中标人负责。）</w:t>
      </w:r>
    </w:p>
    <w:p w14:paraId="1451A9C0">
      <w:pPr>
        <w:shd w:val="clear" w:color="auto" w:fill="FFFFFF"/>
        <w:tabs>
          <w:tab w:val="left" w:pos="360"/>
          <w:tab w:val="left" w:pos="720"/>
        </w:tabs>
        <w:snapToGrid w:val="0"/>
        <w:spacing w:line="360" w:lineRule="auto"/>
        <w:rPr>
          <w:rFonts w:ascii="仿宋" w:hAnsi="仿宋" w:eastAsia="仿宋"/>
          <w:b/>
          <w:bCs/>
          <w:spacing w:val="-20"/>
          <w:sz w:val="28"/>
          <w:szCs w:val="28"/>
        </w:rPr>
      </w:pPr>
      <w:r>
        <w:rPr>
          <w:rFonts w:hint="eastAsia" w:ascii="仿宋" w:hAnsi="仿宋" w:eastAsia="仿宋" w:cs="仿宋"/>
          <w:b/>
          <w:bCs/>
          <w:spacing w:val="-20"/>
          <w:sz w:val="28"/>
          <w:szCs w:val="28"/>
        </w:rPr>
        <w:t>五、本项目有效投标人不足</w:t>
      </w:r>
      <w:r>
        <w:rPr>
          <w:rFonts w:ascii="仿宋" w:hAnsi="仿宋" w:eastAsia="仿宋" w:cs="仿宋"/>
          <w:b/>
          <w:bCs/>
          <w:spacing w:val="-20"/>
          <w:sz w:val="28"/>
          <w:szCs w:val="28"/>
        </w:rPr>
        <w:t>3</w:t>
      </w:r>
      <w:r>
        <w:rPr>
          <w:rFonts w:hint="eastAsia" w:ascii="仿宋" w:hAnsi="仿宋" w:eastAsia="仿宋" w:cs="仿宋"/>
          <w:b/>
          <w:bCs/>
          <w:spacing w:val="-20"/>
          <w:sz w:val="28"/>
          <w:szCs w:val="28"/>
        </w:rPr>
        <w:t>家的，终止采购活动。</w:t>
      </w:r>
    </w:p>
    <w:p w14:paraId="3722F0D1">
      <w:pPr>
        <w:shd w:val="clear" w:color="auto" w:fill="FFFFFF"/>
        <w:tabs>
          <w:tab w:val="left" w:pos="900"/>
        </w:tabs>
        <w:adjustRightInd w:val="0"/>
        <w:snapToGrid w:val="0"/>
        <w:spacing w:line="360" w:lineRule="auto"/>
        <w:outlineLvl w:val="5"/>
        <w:rPr>
          <w:rFonts w:ascii="仿宋" w:hAnsi="仿宋" w:eastAsia="仿宋"/>
          <w:b/>
          <w:bCs/>
          <w:spacing w:val="-20"/>
          <w:sz w:val="28"/>
          <w:szCs w:val="28"/>
        </w:rPr>
      </w:pPr>
      <w:r>
        <w:rPr>
          <w:rFonts w:hint="eastAsia" w:ascii="仿宋" w:hAnsi="仿宋" w:eastAsia="仿宋" w:cs="仿宋"/>
          <w:b/>
          <w:bCs/>
          <w:spacing w:val="-20"/>
          <w:sz w:val="28"/>
          <w:szCs w:val="28"/>
        </w:rPr>
        <w:t>六、本项目不允许分包或转包。</w:t>
      </w:r>
    </w:p>
    <w:p w14:paraId="4C7BBFB6">
      <w:pPr>
        <w:spacing w:line="360" w:lineRule="auto"/>
        <w:outlineLvl w:val="0"/>
        <w:rPr>
          <w:rFonts w:ascii="仿宋" w:hAnsi="仿宋" w:eastAsia="仿宋"/>
          <w:sz w:val="28"/>
          <w:szCs w:val="28"/>
        </w:rPr>
      </w:pPr>
      <w:r>
        <w:rPr>
          <w:rStyle w:val="34"/>
          <w:rFonts w:hint="eastAsia" w:ascii="仿宋" w:hAnsi="仿宋" w:eastAsia="仿宋" w:cs="仿宋"/>
          <w:kern w:val="0"/>
          <w:sz w:val="28"/>
          <w:szCs w:val="28"/>
        </w:rPr>
        <w:t>七、供应商资格、资质性及其他类似效力要求：</w:t>
      </w:r>
    </w:p>
    <w:p w14:paraId="1350E606">
      <w:pPr>
        <w:pStyle w:val="5"/>
        <w:adjustRightInd w:val="0"/>
        <w:snapToGrid w:val="0"/>
        <w:spacing w:before="0" w:after="0" w:line="360" w:lineRule="auto"/>
        <w:rPr>
          <w:rFonts w:ascii="仿宋" w:hAnsi="仿宋" w:eastAsia="仿宋" w:cs="Times New Roman"/>
          <w:color w:val="000000"/>
          <w:sz w:val="28"/>
          <w:szCs w:val="28"/>
        </w:rPr>
      </w:pPr>
      <w:r>
        <w:rPr>
          <w:rFonts w:hint="eastAsia" w:ascii="仿宋" w:hAnsi="仿宋" w:eastAsia="仿宋" w:cs="仿宋"/>
          <w:color w:val="000000"/>
          <w:sz w:val="28"/>
          <w:szCs w:val="28"/>
        </w:rPr>
        <w:t>（一）供应商资格、资质性及其他类似效力要求</w:t>
      </w:r>
    </w:p>
    <w:p w14:paraId="2093C672">
      <w:pPr>
        <w:adjustRightInd w:val="0"/>
        <w:snapToGrid w:val="0"/>
        <w:spacing w:line="360" w:lineRule="auto"/>
        <w:ind w:firstLine="562" w:firstLineChars="200"/>
        <w:outlineLvl w:val="5"/>
        <w:rPr>
          <w:rFonts w:ascii="仿宋" w:hAnsi="仿宋" w:eastAsia="仿宋"/>
          <w:b/>
          <w:bCs/>
          <w:color w:val="000000"/>
          <w:sz w:val="28"/>
          <w:szCs w:val="28"/>
        </w:rPr>
      </w:pPr>
      <w:r>
        <w:rPr>
          <w:rFonts w:ascii="仿宋" w:hAnsi="仿宋" w:eastAsia="仿宋" w:cs="仿宋"/>
          <w:b/>
          <w:bCs/>
          <w:color w:val="000000"/>
          <w:sz w:val="28"/>
          <w:szCs w:val="28"/>
        </w:rPr>
        <w:t>1.</w:t>
      </w:r>
      <w:r>
        <w:rPr>
          <w:rFonts w:hint="eastAsia" w:ascii="仿宋" w:hAnsi="仿宋" w:eastAsia="仿宋" w:cs="仿宋"/>
          <w:b/>
          <w:bCs/>
          <w:color w:val="000000"/>
          <w:sz w:val="28"/>
          <w:szCs w:val="28"/>
        </w:rPr>
        <w:t>供应商应具备《中华人民共和国政府采购法》第二十二条规定的下列条件：</w:t>
      </w:r>
    </w:p>
    <w:p w14:paraId="3CDEC9C0">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1.1</w:t>
      </w:r>
      <w:r>
        <w:rPr>
          <w:rFonts w:hint="eastAsia" w:ascii="仿宋" w:hAnsi="仿宋" w:eastAsia="仿宋" w:cs="仿宋"/>
          <w:sz w:val="28"/>
          <w:szCs w:val="28"/>
        </w:rPr>
        <w:t>具有独立承担民事责任的能力；</w:t>
      </w:r>
    </w:p>
    <w:p w14:paraId="54D96096">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1.2</w:t>
      </w:r>
      <w:r>
        <w:rPr>
          <w:rFonts w:hint="eastAsia" w:ascii="仿宋" w:hAnsi="仿宋" w:eastAsia="仿宋" w:cs="仿宋"/>
          <w:sz w:val="28"/>
          <w:szCs w:val="28"/>
        </w:rPr>
        <w:t>具有良好的商业信誉和健全的财务会计制度；</w:t>
      </w:r>
    </w:p>
    <w:p w14:paraId="54261890">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 xml:space="preserve">1.3 </w:t>
      </w:r>
      <w:r>
        <w:rPr>
          <w:rFonts w:hint="eastAsia" w:ascii="仿宋" w:hAnsi="仿宋" w:eastAsia="仿宋" w:cs="仿宋"/>
          <w:sz w:val="28"/>
          <w:szCs w:val="28"/>
        </w:rPr>
        <w:t>具有履行合同所必需的设备和专业技术能力；</w:t>
      </w:r>
    </w:p>
    <w:p w14:paraId="3636410D">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1.4</w:t>
      </w:r>
      <w:r>
        <w:rPr>
          <w:rFonts w:hint="eastAsia" w:ascii="仿宋" w:hAnsi="仿宋" w:eastAsia="仿宋" w:cs="仿宋"/>
          <w:sz w:val="28"/>
          <w:szCs w:val="28"/>
        </w:rPr>
        <w:t>有依法缴纳税收和社会保障资金的良好记录；</w:t>
      </w:r>
    </w:p>
    <w:p w14:paraId="2F5043ED">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1.5</w:t>
      </w:r>
      <w:r>
        <w:rPr>
          <w:rFonts w:hint="eastAsia" w:ascii="仿宋" w:hAnsi="仿宋" w:eastAsia="仿宋" w:cs="仿宋"/>
          <w:sz w:val="28"/>
          <w:szCs w:val="28"/>
        </w:rPr>
        <w:t>参加政府采购活动前三年内，在经营活动中没有重大违法记录；</w:t>
      </w:r>
    </w:p>
    <w:p w14:paraId="136BE59D">
      <w:pPr>
        <w:shd w:val="clear" w:color="auto" w:fill="FFFFFF"/>
        <w:tabs>
          <w:tab w:val="left" w:pos="900"/>
        </w:tabs>
        <w:adjustRightInd w:val="0"/>
        <w:snapToGrid w:val="0"/>
        <w:spacing w:line="360" w:lineRule="auto"/>
        <w:ind w:firstLine="560" w:firstLineChars="200"/>
        <w:outlineLvl w:val="5"/>
        <w:rPr>
          <w:rFonts w:ascii="仿宋" w:hAnsi="仿宋" w:eastAsia="仿宋"/>
          <w:color w:val="000000"/>
          <w:sz w:val="28"/>
          <w:szCs w:val="28"/>
        </w:rPr>
      </w:pPr>
      <w:r>
        <w:rPr>
          <w:rFonts w:ascii="仿宋" w:hAnsi="仿宋" w:eastAsia="仿宋" w:cs="仿宋"/>
          <w:sz w:val="28"/>
          <w:szCs w:val="28"/>
        </w:rPr>
        <w:t>1.6</w:t>
      </w:r>
      <w:r>
        <w:rPr>
          <w:rFonts w:hint="eastAsia" w:ascii="仿宋" w:hAnsi="仿宋" w:eastAsia="仿宋" w:cs="仿宋"/>
          <w:sz w:val="28"/>
          <w:szCs w:val="28"/>
        </w:rPr>
        <w:t>法律、行政法规规定的其他条件。</w:t>
      </w:r>
    </w:p>
    <w:p w14:paraId="7A5ADB4F">
      <w:pPr>
        <w:pStyle w:val="35"/>
        <w:ind w:firstLine="31680"/>
        <w:rPr>
          <w:rFonts w:ascii="仿宋" w:hAnsi="仿宋" w:eastAsia="仿宋" w:cs="Times New Roman"/>
          <w:kern w:val="2"/>
          <w:sz w:val="28"/>
          <w:szCs w:val="28"/>
        </w:rPr>
      </w:pPr>
      <w:r>
        <w:rPr>
          <w:rFonts w:ascii="仿宋" w:hAnsi="仿宋" w:eastAsia="仿宋" w:cs="仿宋"/>
          <w:b/>
          <w:bCs/>
          <w:color w:val="000000"/>
          <w:sz w:val="28"/>
          <w:szCs w:val="28"/>
        </w:rPr>
        <w:t xml:space="preserve">2. </w:t>
      </w:r>
      <w:r>
        <w:rPr>
          <w:rFonts w:hint="eastAsia" w:ascii="仿宋" w:hAnsi="仿宋" w:eastAsia="仿宋" w:cs="仿宋"/>
          <w:b/>
          <w:bCs/>
          <w:color w:val="000000"/>
          <w:sz w:val="28"/>
          <w:szCs w:val="28"/>
        </w:rPr>
        <w:t>根据采购项目提出的特殊条件：</w:t>
      </w:r>
      <w:r>
        <w:rPr>
          <w:rFonts w:hint="eastAsia" w:ascii="仿宋" w:hAnsi="仿宋" w:eastAsia="仿宋" w:cs="仿宋"/>
          <w:color w:val="000000"/>
          <w:sz w:val="28"/>
          <w:szCs w:val="28"/>
        </w:rPr>
        <w:t>无</w:t>
      </w:r>
    </w:p>
    <w:p w14:paraId="2775893B">
      <w:pPr>
        <w:spacing w:line="360" w:lineRule="auto"/>
        <w:ind w:firstLine="551" w:firstLineChars="196"/>
        <w:rPr>
          <w:rFonts w:ascii="仿宋" w:hAnsi="仿宋" w:eastAsia="仿宋"/>
          <w:sz w:val="28"/>
          <w:szCs w:val="28"/>
        </w:rPr>
      </w:pPr>
      <w:r>
        <w:rPr>
          <w:rFonts w:ascii="仿宋" w:hAnsi="仿宋" w:eastAsia="仿宋" w:cs="仿宋"/>
          <w:b/>
          <w:bCs/>
          <w:color w:val="000000"/>
          <w:sz w:val="28"/>
          <w:szCs w:val="28"/>
        </w:rPr>
        <w:t>3.</w:t>
      </w:r>
      <w:r>
        <w:rPr>
          <w:rFonts w:hint="eastAsia" w:ascii="仿宋" w:hAnsi="仿宋" w:eastAsia="仿宋" w:cs="仿宋"/>
          <w:b/>
          <w:bCs/>
          <w:color w:val="000000"/>
          <w:sz w:val="28"/>
          <w:szCs w:val="28"/>
        </w:rPr>
        <w:t>其他类似效力要求：见第八第（三）点</w:t>
      </w:r>
    </w:p>
    <w:p w14:paraId="20606688">
      <w:pPr>
        <w:rPr>
          <w:rStyle w:val="34"/>
          <w:rFonts w:ascii="仿宋" w:hAnsi="仿宋" w:eastAsia="仿宋" w:cs="Times New Roman"/>
          <w:spacing w:val="-20"/>
          <w:kern w:val="0"/>
          <w:sz w:val="28"/>
          <w:szCs w:val="28"/>
        </w:rPr>
      </w:pPr>
      <w:r>
        <w:rPr>
          <w:rFonts w:hint="eastAsia" w:ascii="仿宋" w:hAnsi="仿宋" w:eastAsia="仿宋" w:cs="仿宋"/>
          <w:b/>
          <w:bCs/>
          <w:spacing w:val="-20"/>
          <w:sz w:val="28"/>
          <w:szCs w:val="28"/>
        </w:rPr>
        <w:t>八</w:t>
      </w:r>
      <w:r>
        <w:rPr>
          <w:rFonts w:hint="eastAsia" w:ascii="仿宋" w:hAnsi="仿宋" w:eastAsia="仿宋" w:cs="仿宋"/>
          <w:spacing w:val="-20"/>
          <w:sz w:val="28"/>
          <w:szCs w:val="28"/>
        </w:rPr>
        <w:t>、</w:t>
      </w:r>
      <w:r>
        <w:rPr>
          <w:rStyle w:val="34"/>
          <w:rFonts w:hint="eastAsia" w:ascii="仿宋" w:hAnsi="仿宋" w:eastAsia="仿宋" w:cs="仿宋"/>
          <w:spacing w:val="-20"/>
          <w:kern w:val="0"/>
          <w:sz w:val="28"/>
          <w:szCs w:val="28"/>
        </w:rPr>
        <w:t>应当提供的资格、资质性及其他类似效力要求的相关证明材料：</w:t>
      </w:r>
    </w:p>
    <w:p w14:paraId="59FB9475">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（一）、应当提供的资格、资质性文件及其他类似效力的要求的相关证明材料</w:t>
      </w:r>
    </w:p>
    <w:p w14:paraId="68DEDAE9">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bookmarkStart w:id="9" w:name="_Toc320624215"/>
      <w:bookmarkEnd w:id="9"/>
      <w:bookmarkStart w:id="10" w:name="_Toc320624214"/>
      <w:bookmarkEnd w:id="10"/>
      <w:bookmarkStart w:id="11" w:name="_Toc320624217"/>
      <w:bookmarkEnd w:id="11"/>
      <w:bookmarkStart w:id="12" w:name="_Toc320624221"/>
      <w:bookmarkEnd w:id="12"/>
      <w:bookmarkStart w:id="13" w:name="_Toc320624213"/>
      <w:bookmarkEnd w:id="13"/>
      <w:bookmarkStart w:id="14" w:name="_Toc320624212"/>
      <w:bookmarkEnd w:id="14"/>
      <w:bookmarkStart w:id="15" w:name="_Toc320624216"/>
      <w:bookmarkEnd w:id="15"/>
      <w:bookmarkStart w:id="16" w:name="_Toc320624223"/>
      <w:bookmarkEnd w:id="16"/>
      <w:bookmarkStart w:id="17" w:name="_Toc320624224"/>
      <w:bookmarkEnd w:id="17"/>
      <w:bookmarkStart w:id="18" w:name="_Toc320624220"/>
      <w:bookmarkEnd w:id="18"/>
      <w:bookmarkStart w:id="19" w:name="_Toc320624218"/>
      <w:bookmarkEnd w:id="19"/>
      <w:bookmarkStart w:id="20" w:name="_Toc320624222"/>
      <w:bookmarkEnd w:id="20"/>
      <w:bookmarkStart w:id="21" w:name="_Toc320624219"/>
      <w:bookmarkEnd w:id="21"/>
      <w:r>
        <w:rPr>
          <w:rFonts w:ascii="仿宋" w:hAnsi="仿宋" w:eastAsia="仿宋" w:cs="仿宋"/>
          <w:b/>
          <w:bCs/>
          <w:sz w:val="28"/>
          <w:szCs w:val="28"/>
        </w:rPr>
        <w:t>1.</w:t>
      </w:r>
      <w:r>
        <w:rPr>
          <w:rFonts w:hint="eastAsia" w:ascii="仿宋" w:hAnsi="仿宋" w:eastAsia="仿宋" w:cs="仿宋"/>
          <w:b/>
          <w:bCs/>
          <w:sz w:val="28"/>
          <w:szCs w:val="28"/>
        </w:rPr>
        <w:t>具有独立承担民事责任的能力提供以下证明材料：</w:t>
      </w:r>
    </w:p>
    <w:p w14:paraId="3096ABCA">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）供应商为企业法人的提交有效的“统一社会信用代码的营业执照”未换证的提交有效的“营业执照、组织机构代码证、税务登记证”；</w:t>
      </w:r>
    </w:p>
    <w:p w14:paraId="003C0202">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2</w:t>
      </w:r>
      <w:r>
        <w:rPr>
          <w:rFonts w:hint="eastAsia" w:ascii="仿宋" w:hAnsi="仿宋" w:eastAsia="仿宋" w:cs="仿宋"/>
          <w:sz w:val="28"/>
          <w:szCs w:val="28"/>
        </w:rPr>
        <w:t>）供应商为事业法人的提交有效的“统一社会信用代码的事业单位法人证书”未换证的提交有效的“事业单位法人证书或组织机构代码证”；</w:t>
      </w:r>
    </w:p>
    <w:p w14:paraId="6BF10656">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3</w:t>
      </w:r>
      <w:r>
        <w:rPr>
          <w:rFonts w:hint="eastAsia" w:ascii="仿宋" w:hAnsi="仿宋" w:eastAsia="仿宋" w:cs="仿宋"/>
          <w:sz w:val="28"/>
          <w:szCs w:val="28"/>
        </w:rPr>
        <w:t>）供应商为其他组织的提交有效的“统一社会信用代码的社会团体法人登记证书”或“统一社会信用代码的民办非企业单位登记证书”或“统一社会信用代码的基金会法人登记证书”，未换证的提交有效的“社会团体法人登记证书”或“民办非企业单位登记证书”或“基金会法人登记证书”和“组织机构代码证”；</w:t>
      </w:r>
    </w:p>
    <w:p w14:paraId="51EA86F2">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4</w:t>
      </w:r>
      <w:r>
        <w:rPr>
          <w:rFonts w:hint="eastAsia" w:ascii="仿宋" w:hAnsi="仿宋" w:eastAsia="仿宋" w:cs="仿宋"/>
          <w:sz w:val="28"/>
          <w:szCs w:val="28"/>
        </w:rPr>
        <w:t>）供应商为个体工商户的提交有效的“统一社会信用代码的营业执照”或“营业执照、税务登记证”；</w:t>
      </w:r>
    </w:p>
    <w:p w14:paraId="744F8AE6">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5</w:t>
      </w:r>
      <w:r>
        <w:rPr>
          <w:rFonts w:hint="eastAsia" w:ascii="仿宋" w:hAnsi="仿宋" w:eastAsia="仿宋" w:cs="仿宋"/>
          <w:sz w:val="28"/>
          <w:szCs w:val="28"/>
        </w:rPr>
        <w:t>）供应商为自然人的，提供“身份证明文件”。</w:t>
      </w:r>
    </w:p>
    <w:p w14:paraId="2605DF67">
      <w:pPr>
        <w:pStyle w:val="9"/>
        <w:spacing w:line="360" w:lineRule="auto"/>
        <w:ind w:left="258" w:leftChars="123"/>
        <w:rPr>
          <w:rFonts w:hAnsi="宋体"/>
          <w:b/>
          <w:bCs/>
        </w:rPr>
      </w:pPr>
      <w:r>
        <w:rPr>
          <w:rFonts w:hint="eastAsia" w:hAnsi="宋体" w:cs="宋体"/>
          <w:b/>
          <w:bCs/>
        </w:rPr>
        <w:t>注：①以上</w:t>
      </w:r>
      <w:r>
        <w:rPr>
          <w:rFonts w:hAnsi="宋体"/>
          <w:b/>
          <w:bCs/>
        </w:rPr>
        <w:t>1-5</w:t>
      </w:r>
      <w:r>
        <w:rPr>
          <w:rFonts w:hint="eastAsia" w:hAnsi="宋体" w:cs="宋体"/>
          <w:b/>
          <w:bCs/>
        </w:rPr>
        <w:t>项具有同等的投标效力，提供任一项即可。</w:t>
      </w:r>
    </w:p>
    <w:p w14:paraId="76946487">
      <w:pPr>
        <w:shd w:val="clear" w:color="auto" w:fill="FFFFFF"/>
        <w:tabs>
          <w:tab w:val="left" w:pos="900"/>
        </w:tabs>
        <w:adjustRightInd w:val="0"/>
        <w:snapToGrid w:val="0"/>
        <w:spacing w:line="360" w:lineRule="auto"/>
        <w:ind w:firstLine="551" w:firstLineChars="196"/>
        <w:outlineLvl w:val="5"/>
        <w:rPr>
          <w:rFonts w:ascii="仿宋" w:hAnsi="仿宋" w:eastAsia="仿宋"/>
          <w:b/>
          <w:bCs/>
          <w:sz w:val="28"/>
          <w:szCs w:val="28"/>
        </w:rPr>
      </w:pPr>
      <w:r>
        <w:rPr>
          <w:rFonts w:ascii="仿宋" w:hAnsi="仿宋" w:eastAsia="仿宋" w:cs="仿宋"/>
          <w:b/>
          <w:bCs/>
          <w:sz w:val="28"/>
          <w:szCs w:val="28"/>
        </w:rPr>
        <w:t>2.</w:t>
      </w:r>
      <w:r>
        <w:rPr>
          <w:rFonts w:hint="eastAsia" w:ascii="仿宋" w:hAnsi="仿宋" w:eastAsia="仿宋" w:cs="仿宋"/>
          <w:b/>
          <w:bCs/>
          <w:sz w:val="28"/>
          <w:szCs w:val="28"/>
        </w:rPr>
        <w:t>具有良好的商业信誉和健全的财务会计制度提供以下证明材料：</w:t>
      </w:r>
    </w:p>
    <w:p w14:paraId="33065872">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65BF9ADB">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3.</w:t>
      </w:r>
      <w:r>
        <w:rPr>
          <w:rFonts w:hint="eastAsia" w:ascii="仿宋" w:hAnsi="仿宋" w:eastAsia="仿宋" w:cs="仿宋"/>
          <w:b/>
          <w:bCs/>
          <w:sz w:val="28"/>
          <w:szCs w:val="28"/>
        </w:rPr>
        <w:t>具有履行合同所必需的设备和专业技术能力的证明材料：</w:t>
      </w:r>
    </w:p>
    <w:p w14:paraId="0AD5E12F">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5CD2E0FE">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4.</w:t>
      </w:r>
      <w:r>
        <w:rPr>
          <w:rFonts w:hint="eastAsia" w:ascii="仿宋" w:hAnsi="仿宋" w:eastAsia="仿宋" w:cs="仿宋"/>
          <w:b/>
          <w:bCs/>
          <w:sz w:val="28"/>
          <w:szCs w:val="28"/>
        </w:rPr>
        <w:t>有依法缴纳税收和社会保障资金的良好记录：</w:t>
      </w:r>
    </w:p>
    <w:p w14:paraId="685DF360">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）自行提供或提供承诺函原件。</w:t>
      </w:r>
    </w:p>
    <w:p w14:paraId="3FDF13D1">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ascii="仿宋" w:hAnsi="仿宋" w:eastAsia="仿宋" w:cs="仿宋"/>
          <w:b/>
          <w:bCs/>
          <w:sz w:val="28"/>
          <w:szCs w:val="28"/>
        </w:rPr>
        <w:t>5.</w:t>
      </w:r>
      <w:r>
        <w:rPr>
          <w:rFonts w:hint="eastAsia" w:ascii="仿宋" w:hAnsi="仿宋" w:eastAsia="仿宋" w:cs="仿宋"/>
          <w:b/>
          <w:bCs/>
          <w:sz w:val="28"/>
          <w:szCs w:val="28"/>
        </w:rPr>
        <w:t>参加政府采购活动前三年内，在经营活动中没有重大违法记录提供以下证明材料：</w:t>
      </w:r>
    </w:p>
    <w:p w14:paraId="4C84E867">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hint="eastAsia" w:ascii="仿宋" w:hAnsi="仿宋" w:eastAsia="仿宋" w:cs="仿宋"/>
          <w:sz w:val="28"/>
          <w:szCs w:val="28"/>
        </w:rPr>
        <w:t>（</w:t>
      </w:r>
      <w:r>
        <w:rPr>
          <w:rFonts w:ascii="仿宋" w:hAnsi="仿宋" w:eastAsia="仿宋" w:cs="仿宋"/>
          <w:sz w:val="28"/>
          <w:szCs w:val="28"/>
        </w:rPr>
        <w:t>1</w:t>
      </w:r>
      <w:r>
        <w:rPr>
          <w:rFonts w:hint="eastAsia" w:ascii="仿宋" w:hAnsi="仿宋" w:eastAsia="仿宋" w:cs="仿宋"/>
          <w:sz w:val="28"/>
          <w:szCs w:val="28"/>
        </w:rPr>
        <w:t>）参加政府采购活动前三年内，在经营活动中没有重大违法记录的书面声明原件。</w:t>
      </w:r>
    </w:p>
    <w:p w14:paraId="08525D45">
      <w:pPr>
        <w:shd w:val="clear" w:color="auto" w:fill="FFFFFF"/>
        <w:tabs>
          <w:tab w:val="left" w:pos="900"/>
        </w:tabs>
        <w:adjustRightInd w:val="0"/>
        <w:snapToGrid w:val="0"/>
        <w:spacing w:line="360" w:lineRule="auto"/>
        <w:ind w:firstLine="562" w:firstLineChars="200"/>
        <w:outlineLvl w:val="5"/>
        <w:rPr>
          <w:rFonts w:ascii="仿宋" w:hAnsi="仿宋" w:eastAsia="仿宋"/>
          <w:sz w:val="28"/>
          <w:szCs w:val="28"/>
        </w:rPr>
      </w:pPr>
      <w:r>
        <w:rPr>
          <w:rFonts w:hint="eastAsia" w:ascii="仿宋" w:hAnsi="仿宋" w:eastAsia="仿宋" w:cs="仿宋"/>
          <w:b/>
          <w:bCs/>
          <w:sz w:val="28"/>
          <w:szCs w:val="28"/>
        </w:rPr>
        <w:t>（二）其他根据采购项目提出的特殊条件：</w:t>
      </w:r>
    </w:p>
    <w:p w14:paraId="134AE12B">
      <w:pPr>
        <w:shd w:val="clear" w:color="auto" w:fill="FFFFFF"/>
        <w:tabs>
          <w:tab w:val="left" w:pos="900"/>
        </w:tabs>
        <w:adjustRightInd w:val="0"/>
        <w:snapToGrid w:val="0"/>
        <w:spacing w:line="360" w:lineRule="auto"/>
        <w:ind w:firstLine="700" w:firstLineChars="250"/>
        <w:outlineLvl w:val="5"/>
        <w:rPr>
          <w:rFonts w:ascii="仿宋" w:hAnsi="仿宋" w:eastAsia="仿宋"/>
          <w:sz w:val="28"/>
          <w:szCs w:val="28"/>
        </w:rPr>
      </w:pPr>
      <w:r>
        <w:rPr>
          <w:rFonts w:hint="eastAsia" w:ascii="仿宋" w:hAnsi="仿宋" w:eastAsia="仿宋" w:cs="仿宋"/>
          <w:sz w:val="28"/>
          <w:szCs w:val="28"/>
        </w:rPr>
        <w:t>无</w:t>
      </w:r>
    </w:p>
    <w:p w14:paraId="49C73629">
      <w:pPr>
        <w:shd w:val="clear" w:color="auto" w:fill="FFFFFF"/>
        <w:tabs>
          <w:tab w:val="left" w:pos="900"/>
        </w:tabs>
        <w:adjustRightInd w:val="0"/>
        <w:snapToGrid w:val="0"/>
        <w:spacing w:line="360" w:lineRule="auto"/>
        <w:ind w:firstLine="562" w:firstLineChars="200"/>
        <w:outlineLvl w:val="5"/>
        <w:rPr>
          <w:rFonts w:ascii="仿宋" w:hAnsi="仿宋" w:eastAsia="仿宋"/>
          <w:b/>
          <w:bCs/>
          <w:sz w:val="28"/>
          <w:szCs w:val="28"/>
        </w:rPr>
      </w:pPr>
      <w:r>
        <w:rPr>
          <w:rFonts w:hint="eastAsia" w:ascii="仿宋" w:hAnsi="仿宋" w:eastAsia="仿宋" w:cs="仿宋"/>
          <w:b/>
          <w:bCs/>
          <w:sz w:val="28"/>
          <w:szCs w:val="28"/>
        </w:rPr>
        <w:t>（三）其他类似效力要求相关证明材料：</w:t>
      </w:r>
    </w:p>
    <w:p w14:paraId="51C69E69">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1.</w:t>
      </w:r>
      <w:r>
        <w:rPr>
          <w:rFonts w:hint="eastAsia" w:ascii="仿宋" w:hAnsi="仿宋" w:eastAsia="仿宋" w:cs="仿宋"/>
          <w:sz w:val="28"/>
          <w:szCs w:val="28"/>
        </w:rPr>
        <w:t>法定代表人身份证复印件或护照复印件［注：①法定代表人身份证复印（在有效期内、两面均应复印）或护照复印件（法定代表人为外籍人士的，按此提供）；</w:t>
      </w:r>
    </w:p>
    <w:p w14:paraId="6DF54BF7">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2.</w:t>
      </w:r>
      <w:r>
        <w:rPr>
          <w:rFonts w:hint="eastAsia" w:ascii="仿宋" w:hAnsi="仿宋" w:eastAsia="仿宋" w:cs="仿宋"/>
          <w:sz w:val="28"/>
          <w:szCs w:val="28"/>
        </w:rPr>
        <w:t>代理人身份证复印件（身份证两面均应复印）（注：①在有效期内；②由投标人法定代表人签署所有投标文件并参加投标的，则可不提供）。</w:t>
      </w:r>
    </w:p>
    <w:p w14:paraId="72F314C3">
      <w:pPr>
        <w:shd w:val="clear" w:color="auto" w:fill="FFFFFF"/>
        <w:tabs>
          <w:tab w:val="left" w:pos="900"/>
        </w:tabs>
        <w:adjustRightInd w:val="0"/>
        <w:snapToGrid w:val="0"/>
        <w:spacing w:line="360" w:lineRule="auto"/>
        <w:ind w:firstLine="560" w:firstLineChars="200"/>
        <w:outlineLvl w:val="5"/>
        <w:rPr>
          <w:rFonts w:ascii="仿宋" w:hAnsi="仿宋" w:eastAsia="仿宋"/>
          <w:sz w:val="28"/>
          <w:szCs w:val="28"/>
        </w:rPr>
      </w:pPr>
      <w:r>
        <w:rPr>
          <w:rFonts w:ascii="仿宋" w:hAnsi="仿宋" w:eastAsia="仿宋" w:cs="仿宋"/>
          <w:sz w:val="28"/>
          <w:szCs w:val="28"/>
        </w:rPr>
        <w:t>3.</w:t>
      </w:r>
      <w:r>
        <w:rPr>
          <w:rFonts w:hint="eastAsia" w:ascii="仿宋" w:hAnsi="仿宋" w:eastAsia="仿宋" w:cs="仿宋"/>
          <w:sz w:val="28"/>
          <w:szCs w:val="28"/>
        </w:rPr>
        <w:t>法人授权书原件（注：①非法定代表人签署所有响应文件并参加谈判的适用；②非独立法人机构提供相应的有授权资格的负责人授权书原件；③其签字或加盖法定代表人私人印章须与其相对应的身份证明文件</w:t>
      </w:r>
      <w:r>
        <w:rPr>
          <w:rFonts w:ascii="仿宋" w:hAnsi="仿宋" w:eastAsia="仿宋" w:cs="仿宋"/>
          <w:sz w:val="28"/>
          <w:szCs w:val="28"/>
        </w:rPr>
        <w:t>[</w:t>
      </w:r>
      <w:r>
        <w:rPr>
          <w:rFonts w:hint="eastAsia" w:ascii="仿宋" w:hAnsi="仿宋" w:eastAsia="仿宋" w:cs="仿宋"/>
          <w:sz w:val="28"/>
          <w:szCs w:val="28"/>
        </w:rPr>
        <w:t>身份证复印件或护照复印件（外籍人士适用）</w:t>
      </w:r>
      <w:r>
        <w:rPr>
          <w:rFonts w:ascii="仿宋" w:hAnsi="仿宋" w:eastAsia="仿宋" w:cs="仿宋"/>
          <w:sz w:val="28"/>
          <w:szCs w:val="28"/>
        </w:rPr>
        <w:t>]</w:t>
      </w:r>
      <w:r>
        <w:rPr>
          <w:rFonts w:hint="eastAsia" w:ascii="仿宋" w:hAnsi="仿宋" w:eastAsia="仿宋" w:cs="仿宋"/>
          <w:sz w:val="28"/>
          <w:szCs w:val="28"/>
        </w:rPr>
        <w:t>上姓名一致。）</w:t>
      </w:r>
    </w:p>
    <w:p w14:paraId="5CE158E7">
      <w:pPr>
        <w:shd w:val="clear" w:color="auto" w:fill="FFFFFF"/>
        <w:tabs>
          <w:tab w:val="left" w:pos="900"/>
        </w:tabs>
        <w:adjustRightInd w:val="0"/>
        <w:snapToGrid w:val="0"/>
        <w:spacing w:line="360" w:lineRule="auto"/>
        <w:ind w:firstLine="482" w:firstLineChars="200"/>
        <w:outlineLvl w:val="5"/>
        <w:rPr>
          <w:rFonts w:ascii="仿宋" w:hAnsi="仿宋" w:eastAsia="仿宋"/>
          <w:b/>
          <w:bCs/>
          <w:sz w:val="24"/>
          <w:szCs w:val="24"/>
        </w:rPr>
      </w:pPr>
      <w:r>
        <w:rPr>
          <w:rFonts w:hint="eastAsia" w:ascii="仿宋" w:hAnsi="仿宋" w:eastAsia="仿宋" w:cs="仿宋"/>
          <w:b/>
          <w:bCs/>
          <w:sz w:val="24"/>
          <w:szCs w:val="24"/>
        </w:rPr>
        <w:t>注：</w:t>
      </w:r>
      <w:r>
        <w:rPr>
          <w:rFonts w:ascii="仿宋" w:hAnsi="仿宋" w:eastAsia="仿宋" w:cs="仿宋"/>
          <w:b/>
          <w:bCs/>
          <w:sz w:val="24"/>
          <w:szCs w:val="24"/>
        </w:rPr>
        <w:t xml:space="preserve"> 1.</w:t>
      </w:r>
      <w:r>
        <w:rPr>
          <w:rFonts w:hint="eastAsia" w:ascii="仿宋" w:hAnsi="仿宋" w:eastAsia="仿宋" w:cs="仿宋"/>
          <w:b/>
          <w:bCs/>
          <w:sz w:val="24"/>
          <w:szCs w:val="24"/>
        </w:rPr>
        <w:t>响应文件提交一式贰份，其中正本壹份，副本壹份，可以单独密封包装，也可以所有响应文件密封包装在一个密封袋内。</w:t>
      </w:r>
      <w:r>
        <w:rPr>
          <w:rFonts w:ascii="仿宋" w:hAnsi="仿宋" w:eastAsia="仿宋" w:cs="仿宋"/>
          <w:b/>
          <w:bCs/>
          <w:sz w:val="24"/>
          <w:szCs w:val="24"/>
        </w:rPr>
        <w:t xml:space="preserve">2. </w:t>
      </w:r>
      <w:r>
        <w:rPr>
          <w:rFonts w:hint="eastAsia" w:ascii="仿宋" w:hAnsi="仿宋" w:eastAsia="仿宋" w:cs="仿宋"/>
          <w:b/>
          <w:bCs/>
          <w:sz w:val="24"/>
          <w:szCs w:val="24"/>
        </w:rPr>
        <w:t>响应文件密封袋的最外层应清楚地标明采购项目名称、采购项目编号、供应商名称，并加盖供应商鲜章。</w:t>
      </w:r>
      <w:r>
        <w:rPr>
          <w:rFonts w:ascii="仿宋" w:hAnsi="仿宋" w:eastAsia="仿宋" w:cs="仿宋"/>
          <w:b/>
          <w:bCs/>
          <w:sz w:val="24"/>
          <w:szCs w:val="24"/>
        </w:rPr>
        <w:t>3.</w:t>
      </w:r>
      <w:r>
        <w:rPr>
          <w:rFonts w:hint="eastAsia" w:ascii="仿宋" w:hAnsi="仿宋" w:eastAsia="仿宋" w:cs="仿宋"/>
          <w:b/>
          <w:bCs/>
          <w:sz w:val="24"/>
          <w:szCs w:val="24"/>
        </w:rPr>
        <w:t>所有外层密封袋的封口处应粘贴牢固。</w:t>
      </w:r>
    </w:p>
    <w:p w14:paraId="49A92C34">
      <w:pPr>
        <w:spacing w:line="360" w:lineRule="auto"/>
        <w:rPr>
          <w:rFonts w:ascii="仿宋" w:hAnsi="仿宋" w:eastAsia="仿宋"/>
          <w:b/>
          <w:bCs/>
          <w:sz w:val="28"/>
          <w:szCs w:val="28"/>
        </w:rPr>
      </w:pPr>
      <w:r>
        <w:rPr>
          <w:rFonts w:hint="eastAsia" w:ascii="仿宋" w:hAnsi="仿宋" w:eastAsia="仿宋" w:cs="仿宋"/>
          <w:b/>
          <w:bCs/>
          <w:sz w:val="28"/>
          <w:szCs w:val="28"/>
        </w:rPr>
        <w:t>九、</w:t>
      </w:r>
      <w:r>
        <w:rPr>
          <w:rFonts w:hint="eastAsia" w:ascii="仿宋" w:hAnsi="仿宋" w:eastAsia="仿宋" w:cs="仿宋"/>
          <w:b/>
          <w:bCs/>
          <w:color w:val="000000"/>
          <w:sz w:val="28"/>
          <w:szCs w:val="28"/>
        </w:rPr>
        <w:t>本项目技术、服务、履约主要条款及其他要求条款。</w:t>
      </w:r>
    </w:p>
    <w:p w14:paraId="0AF2E8E2">
      <w:pPr>
        <w:rPr>
          <w:rFonts w:ascii="仿宋" w:hAnsi="仿宋" w:eastAsia="仿宋"/>
          <w:color w:val="000000"/>
          <w:sz w:val="28"/>
          <w:szCs w:val="28"/>
        </w:rPr>
      </w:pPr>
      <w:bookmarkStart w:id="22" w:name="_Toc27048"/>
      <w:bookmarkStart w:id="23" w:name="_Toc14885"/>
      <w:bookmarkStart w:id="24" w:name="_Toc487393124"/>
      <w:bookmarkStart w:id="25" w:name="_Toc29518"/>
      <w:r>
        <w:rPr>
          <w:rFonts w:hint="eastAsia" w:ascii="仿宋" w:hAnsi="仿宋" w:eastAsia="仿宋" w:cs="仿宋"/>
          <w:b/>
          <w:bCs/>
          <w:color w:val="000000"/>
          <w:sz w:val="28"/>
          <w:szCs w:val="28"/>
        </w:rPr>
        <w:t>第一部分：技术要求</w:t>
      </w:r>
      <w:r>
        <w:rPr>
          <w:rFonts w:ascii="仿宋" w:hAnsi="仿宋" w:eastAsia="仿宋" w:cs="仿宋"/>
          <w:color w:val="000000"/>
          <w:sz w:val="28"/>
          <w:szCs w:val="28"/>
        </w:rPr>
        <w:t>(</w:t>
      </w:r>
      <w:r>
        <w:rPr>
          <w:rFonts w:hint="eastAsia" w:ascii="仿宋" w:hAnsi="仿宋" w:eastAsia="仿宋" w:cs="仿宋"/>
          <w:color w:val="000000"/>
          <w:sz w:val="28"/>
          <w:szCs w:val="28"/>
        </w:rPr>
        <w:t>供应商不满足的，将按照无效响应处理</w:t>
      </w:r>
      <w:r>
        <w:rPr>
          <w:rFonts w:hint="eastAsia" w:ascii="仿宋" w:hAnsi="仿宋" w:eastAsia="仿宋" w:cs="仿宋"/>
          <w:color w:val="000000"/>
          <w:sz w:val="28"/>
          <w:szCs w:val="28"/>
          <w:lang w:eastAsia="zh-CN"/>
        </w:rPr>
        <w:t>。</w:t>
      </w:r>
      <w:r>
        <w:rPr>
          <w:rFonts w:ascii="仿宋" w:hAnsi="仿宋" w:eastAsia="仿宋" w:cs="仿宋"/>
          <w:color w:val="000000"/>
          <w:sz w:val="28"/>
          <w:szCs w:val="28"/>
        </w:rPr>
        <w:t>)</w:t>
      </w:r>
    </w:p>
    <w:bookmarkEnd w:id="22"/>
    <w:bookmarkEnd w:id="23"/>
    <w:bookmarkEnd w:id="24"/>
    <w:bookmarkEnd w:id="25"/>
    <w:tbl>
      <w:tblPr>
        <w:tblStyle w:val="15"/>
        <w:tblpPr w:leftFromText="180" w:rightFromText="180" w:vertAnchor="text" w:horzAnchor="margin" w:tblpY="158"/>
        <w:tblW w:w="492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3407"/>
        <w:gridCol w:w="728"/>
        <w:gridCol w:w="901"/>
        <w:gridCol w:w="1978"/>
      </w:tblGrid>
      <w:tr w14:paraId="0100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8" w:type="pct"/>
            <w:vAlign w:val="center"/>
          </w:tcPr>
          <w:p w14:paraId="0C2E01F8">
            <w:pPr>
              <w:spacing w:line="360" w:lineRule="auto"/>
              <w:jc w:val="center"/>
              <w:rPr>
                <w:rFonts w:ascii="宋体"/>
              </w:rPr>
            </w:pPr>
            <w:r>
              <w:rPr>
                <w:rFonts w:hint="eastAsia" w:ascii="宋体" w:hAnsi="宋体" w:cs="宋体"/>
              </w:rPr>
              <w:t>名称</w:t>
            </w:r>
          </w:p>
        </w:tc>
        <w:tc>
          <w:tcPr>
            <w:tcW w:w="2031" w:type="pct"/>
            <w:vAlign w:val="center"/>
          </w:tcPr>
          <w:p w14:paraId="52F2824F">
            <w:pPr>
              <w:spacing w:line="360" w:lineRule="auto"/>
              <w:jc w:val="center"/>
              <w:rPr>
                <w:rFonts w:ascii="宋体"/>
              </w:rPr>
            </w:pPr>
            <w:r>
              <w:rPr>
                <w:rFonts w:hint="eastAsia" w:ascii="宋体" w:hAnsi="宋体" w:cs="宋体"/>
              </w:rPr>
              <w:t>技术参数</w:t>
            </w:r>
          </w:p>
        </w:tc>
        <w:tc>
          <w:tcPr>
            <w:tcW w:w="434" w:type="pct"/>
            <w:vAlign w:val="center"/>
          </w:tcPr>
          <w:p w14:paraId="6475CBC5">
            <w:pPr>
              <w:spacing w:line="360" w:lineRule="auto"/>
              <w:jc w:val="center"/>
              <w:rPr>
                <w:rFonts w:ascii="宋体"/>
              </w:rPr>
            </w:pPr>
            <w:r>
              <w:rPr>
                <w:rFonts w:hint="eastAsia" w:ascii="宋体" w:hAnsi="宋体" w:cs="宋体"/>
              </w:rPr>
              <w:t>单位</w:t>
            </w:r>
          </w:p>
        </w:tc>
        <w:tc>
          <w:tcPr>
            <w:tcW w:w="537" w:type="pct"/>
            <w:vAlign w:val="center"/>
          </w:tcPr>
          <w:p w14:paraId="37408EE9">
            <w:pPr>
              <w:spacing w:line="360" w:lineRule="auto"/>
              <w:jc w:val="center"/>
              <w:rPr>
                <w:rFonts w:ascii="宋体"/>
              </w:rPr>
            </w:pPr>
            <w:r>
              <w:rPr>
                <w:rFonts w:hint="eastAsia" w:ascii="宋体" w:hAnsi="宋体" w:cs="宋体"/>
              </w:rPr>
              <w:t>数量</w:t>
            </w:r>
          </w:p>
        </w:tc>
        <w:tc>
          <w:tcPr>
            <w:tcW w:w="1179" w:type="pct"/>
            <w:vAlign w:val="center"/>
          </w:tcPr>
          <w:p w14:paraId="69D0D5C8">
            <w:pPr>
              <w:spacing w:line="360" w:lineRule="auto"/>
              <w:jc w:val="center"/>
              <w:rPr>
                <w:rFonts w:ascii="宋体"/>
              </w:rPr>
            </w:pPr>
            <w:r>
              <w:rPr>
                <w:rFonts w:hint="eastAsia" w:ascii="宋体" w:hAnsi="宋体" w:cs="宋体"/>
              </w:rPr>
              <w:t>单价限价</w:t>
            </w:r>
          </w:p>
        </w:tc>
      </w:tr>
      <w:tr w14:paraId="62026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8" w:hRule="atLeast"/>
        </w:trPr>
        <w:tc>
          <w:tcPr>
            <w:tcW w:w="818" w:type="pct"/>
            <w:vAlign w:val="center"/>
          </w:tcPr>
          <w:p w14:paraId="0B4DF6F9">
            <w:pPr>
              <w:jc w:val="center"/>
              <w:rPr>
                <w:rFonts w:ascii="宋体" w:hAnsi="Times New Roman" w:eastAsia="宋体" w:cs="宋体"/>
              </w:rPr>
            </w:pPr>
            <w:r>
              <w:rPr>
                <w:rFonts w:hint="eastAsia" w:ascii="宋体" w:hAnsi="宋体" w:eastAsia="宋体" w:cs="宋体"/>
                <w:kern w:val="2"/>
                <w:sz w:val="21"/>
                <w:szCs w:val="21"/>
                <w:lang w:val="en-US" w:eastAsia="zh-CN" w:bidi="ar-SA"/>
              </w:rPr>
              <w:t>燃气热水器及简易花洒套装</w:t>
            </w:r>
          </w:p>
        </w:tc>
        <w:tc>
          <w:tcPr>
            <w:tcW w:w="2031" w:type="pct"/>
          </w:tcPr>
          <w:p w14:paraId="28853AAD">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（一）燃气热水器要求</w:t>
            </w:r>
          </w:p>
          <w:p w14:paraId="0AC4A300">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1、额定产热水能力：≥13KG/min</w:t>
            </w:r>
          </w:p>
          <w:p w14:paraId="6C0C74FE">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2、使用燃气种类：天然气</w:t>
            </w:r>
          </w:p>
          <w:p w14:paraId="5FEA2CD0">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3、额定热负荷：≥23.0KW</w:t>
            </w:r>
          </w:p>
          <w:p w14:paraId="7B39912C">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4、能效等级：二级及以上</w:t>
            </w:r>
          </w:p>
          <w:p w14:paraId="44DC9D8A">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5、适用水压：0.02Mpa～1.0Mpa</w:t>
            </w:r>
          </w:p>
          <w:p w14:paraId="06D8E9FA">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6、电源电压：AC220V，50HZ</w:t>
            </w:r>
          </w:p>
          <w:p w14:paraId="06213295">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7、水箱材质：无氧铜</w:t>
            </w:r>
          </w:p>
          <w:p w14:paraId="38D41736">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8、按键方式：触控大屏/按键式</w:t>
            </w:r>
          </w:p>
          <w:p w14:paraId="53F2F4E0">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9、安全装置：熄火保护装置、烟道堵塞安全装置、防过热安全装置、泄压安全装置、风压过大安全装置、自动防冻安全装置</w:t>
            </w:r>
          </w:p>
          <w:p w14:paraId="0AE5DCE8">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10、高温保护：50°高温保护。</w:t>
            </w:r>
          </w:p>
          <w:p w14:paraId="53C1B033">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11、排气方式：强排气式</w:t>
            </w:r>
          </w:p>
          <w:p w14:paraId="4EACEE90">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12、恒温功能：热水系统自动恒温功能</w:t>
            </w:r>
          </w:p>
          <w:p w14:paraId="49810764">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13、控温方式：水气双调</w:t>
            </w:r>
          </w:p>
          <w:p w14:paraId="6761EC9F">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14、热效率：＞89%</w:t>
            </w:r>
          </w:p>
          <w:p w14:paraId="65C3A4D9">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15、提供中国国家强制性产品认证证书和国家强制性产品认证试验报告。</w:t>
            </w:r>
          </w:p>
          <w:p w14:paraId="023EF559">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（二）简易花洒套装要求及参考图片</w:t>
            </w:r>
          </w:p>
          <w:p w14:paraId="5167F358">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1、出水方式：顶喷，尺寸200mm。</w:t>
            </w:r>
          </w:p>
          <w:p w14:paraId="5D2A7F83">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2、材质：铜材质</w:t>
            </w:r>
          </w:p>
          <w:p w14:paraId="0ED43F9C">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3、表面处理：多层晶钻电镀</w:t>
            </w:r>
          </w:p>
          <w:p w14:paraId="16770421">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4、安装高度：标准，安装孔距约13.5-16.5CM，具体以实际测量为准，中标供应商配送前自行前往测量。</w:t>
            </w:r>
          </w:p>
          <w:p w14:paraId="0579307F">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5、冷热混水阀自带出水水龙头，阀芯为优质陶瓷阀芯。</w:t>
            </w:r>
          </w:p>
          <w:p w14:paraId="63B2247D">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r>
              <w:rPr>
                <w:rFonts w:hint="default" w:ascii="宋体" w:hAnsi="宋体" w:eastAsia="宋体" w:cs="宋体"/>
                <w:kern w:val="2"/>
                <w:sz w:val="21"/>
                <w:szCs w:val="21"/>
                <w:lang w:val="en-US" w:eastAsia="zh-CN" w:bidi="ar-SA"/>
              </w:rPr>
              <w:pict>
                <v:shape id="图片 4" o:spid="_x0000_s1026" o:spt="75" alt="74451be34baa7450172847c13295540" type="#_x0000_t75" style="position:absolute;left:0pt;margin-left:83.25pt;margin-top:10.3pt;height:119.95pt;width:80.75pt;z-index:251659264;mso-width-relative:page;mso-height-relative:page;" filled="f" o:preferrelative="t" stroked="f" coordsize="21600,21600">
                  <v:path/>
                  <v:fill on="f" focussize="0,0"/>
                  <v:stroke on="f"/>
                  <v:imagedata r:id="rId5" o:title=""/>
                  <o:lock v:ext="edit" aspectratio="t"/>
                </v:shape>
              </w:pict>
            </w:r>
            <w:r>
              <w:rPr>
                <w:rFonts w:hint="eastAsia" w:ascii="宋体" w:hAnsi="宋体" w:eastAsia="宋体" w:cs="宋体"/>
                <w:kern w:val="2"/>
                <w:sz w:val="21"/>
                <w:szCs w:val="21"/>
                <w:lang w:val="en-US" w:eastAsia="zh-CN" w:bidi="ar-SA"/>
              </w:rPr>
              <w:t>6、参考图片</w:t>
            </w:r>
          </w:p>
          <w:p w14:paraId="77343CD6">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default" w:ascii="宋体" w:hAnsi="宋体" w:eastAsia="宋体" w:cs="宋体"/>
                <w:kern w:val="2"/>
                <w:sz w:val="21"/>
                <w:szCs w:val="21"/>
                <w:lang w:val="en-US" w:eastAsia="zh-CN" w:bidi="ar-SA"/>
              </w:rPr>
            </w:pPr>
          </w:p>
          <w:p w14:paraId="0785C9ED">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p>
          <w:p w14:paraId="0A13FDCD">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420" w:firstLineChars="200"/>
              <w:jc w:val="left"/>
              <w:textAlignment w:val="auto"/>
              <w:rPr>
                <w:rFonts w:hint="eastAsia" w:ascii="宋体" w:hAnsi="宋体" w:eastAsia="宋体" w:cs="宋体"/>
                <w:kern w:val="2"/>
                <w:sz w:val="21"/>
                <w:szCs w:val="21"/>
                <w:lang w:val="en-US" w:eastAsia="zh-CN" w:bidi="ar-SA"/>
              </w:rPr>
            </w:pPr>
          </w:p>
          <w:p w14:paraId="1EAE95D4">
            <w:pPr>
              <w:pStyle w:val="50"/>
              <w:keepNext w:val="0"/>
              <w:keepLines w:val="0"/>
              <w:pageBreakBefore w:val="0"/>
              <w:widowControl/>
              <w:numPr>
                <w:ilvl w:val="0"/>
                <w:numId w:val="0"/>
              </w:numPr>
              <w:kinsoku/>
              <w:wordWrap/>
              <w:overflowPunct/>
              <w:topLinePunct w:val="0"/>
              <w:autoSpaceDE/>
              <w:autoSpaceDN/>
              <w:bidi w:val="0"/>
              <w:adjustRightInd/>
              <w:snapToGrid/>
              <w:spacing w:line="480" w:lineRule="exact"/>
              <w:ind w:firstLine="608" w:firstLineChars="200"/>
              <w:jc w:val="left"/>
              <w:textAlignment w:val="auto"/>
              <w:rPr>
                <w:rFonts w:hint="eastAsia" w:ascii="Times New Roman" w:hAnsi="Times New Roman" w:eastAsia="方正仿宋_GBK" w:cs="Times New Roman"/>
                <w:snapToGrid/>
                <w:color w:val="000000"/>
                <w:w w:val="95"/>
                <w:kern w:val="2"/>
                <w:sz w:val="32"/>
                <w:szCs w:val="32"/>
                <w:lang w:val="en-US" w:eastAsia="zh-CN" w:bidi="ar-SA"/>
              </w:rPr>
            </w:pPr>
          </w:p>
          <w:p w14:paraId="17069C51">
            <w:pPr>
              <w:rPr>
                <w:rFonts w:ascii="宋体" w:hAnsi="Times New Roman" w:eastAsia="宋体" w:cs="宋体"/>
              </w:rPr>
            </w:pPr>
          </w:p>
        </w:tc>
        <w:tc>
          <w:tcPr>
            <w:tcW w:w="434" w:type="pct"/>
            <w:vAlign w:val="center"/>
          </w:tcPr>
          <w:p w14:paraId="5820EBE0">
            <w:pPr>
              <w:tabs>
                <w:tab w:val="left" w:pos="312"/>
              </w:tabs>
              <w:jc w:val="center"/>
              <w:rPr>
                <w:rFonts w:hint="eastAsia" w:ascii="宋体" w:eastAsia="宋体"/>
                <w:lang w:eastAsia="zh-CN"/>
              </w:rPr>
            </w:pPr>
            <w:r>
              <w:rPr>
                <w:rFonts w:hint="eastAsia" w:ascii="宋体"/>
                <w:lang w:eastAsia="zh-CN"/>
              </w:rPr>
              <w:t>台</w:t>
            </w:r>
          </w:p>
        </w:tc>
        <w:tc>
          <w:tcPr>
            <w:tcW w:w="537" w:type="pct"/>
            <w:vAlign w:val="center"/>
          </w:tcPr>
          <w:p w14:paraId="0E07D286">
            <w:pPr>
              <w:tabs>
                <w:tab w:val="left" w:pos="312"/>
              </w:tabs>
              <w:jc w:val="center"/>
              <w:rPr>
                <w:rFonts w:hint="default" w:ascii="宋体" w:eastAsia="宋体" w:cs="宋体"/>
                <w:lang w:val="en-US" w:eastAsia="zh-CN"/>
              </w:rPr>
            </w:pPr>
            <w:r>
              <w:rPr>
                <w:rFonts w:hint="eastAsia" w:ascii="宋体" w:cs="宋体"/>
                <w:lang w:val="en-US" w:eastAsia="zh-CN"/>
              </w:rPr>
              <w:t>60</w:t>
            </w:r>
          </w:p>
        </w:tc>
        <w:tc>
          <w:tcPr>
            <w:tcW w:w="1179" w:type="pct"/>
            <w:vAlign w:val="center"/>
          </w:tcPr>
          <w:p w14:paraId="4EDBC0C9">
            <w:pPr>
              <w:tabs>
                <w:tab w:val="left" w:pos="312"/>
              </w:tabs>
              <w:jc w:val="center"/>
              <w:rPr>
                <w:rFonts w:ascii="宋体"/>
              </w:rPr>
            </w:pPr>
            <w:r>
              <w:rPr>
                <w:rFonts w:ascii="宋体" w:cs="宋体"/>
              </w:rPr>
              <w:t>1</w:t>
            </w:r>
            <w:r>
              <w:rPr>
                <w:rFonts w:hint="eastAsia" w:ascii="宋体" w:cs="宋体"/>
                <w:lang w:val="en-US" w:eastAsia="zh-CN"/>
              </w:rPr>
              <w:t>1</w:t>
            </w:r>
            <w:r>
              <w:rPr>
                <w:rFonts w:ascii="宋体" w:cs="宋体"/>
              </w:rPr>
              <w:t>00</w:t>
            </w:r>
            <w:r>
              <w:rPr>
                <w:rFonts w:hint="eastAsia" w:ascii="宋体" w:cs="宋体"/>
              </w:rPr>
              <w:t>元</w:t>
            </w:r>
          </w:p>
        </w:tc>
      </w:tr>
      <w:tr w14:paraId="325F3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3820" w:type="pct"/>
            <w:gridSpan w:val="4"/>
            <w:vAlign w:val="center"/>
          </w:tcPr>
          <w:p w14:paraId="6BE47501">
            <w:pPr>
              <w:tabs>
                <w:tab w:val="left" w:pos="312"/>
              </w:tabs>
              <w:jc w:val="center"/>
              <w:rPr>
                <w:rFonts w:ascii="宋体"/>
              </w:rPr>
            </w:pPr>
            <w:r>
              <w:rPr>
                <w:rFonts w:hint="eastAsia" w:ascii="宋体" w:cs="宋体"/>
              </w:rPr>
              <w:t>总价限价</w:t>
            </w:r>
          </w:p>
        </w:tc>
        <w:tc>
          <w:tcPr>
            <w:tcW w:w="1179" w:type="pct"/>
            <w:vAlign w:val="center"/>
          </w:tcPr>
          <w:p w14:paraId="2694E144">
            <w:pPr>
              <w:tabs>
                <w:tab w:val="left" w:pos="312"/>
              </w:tabs>
              <w:jc w:val="center"/>
              <w:rPr>
                <w:rFonts w:ascii="宋体"/>
              </w:rPr>
            </w:pPr>
            <w:r>
              <w:rPr>
                <w:rFonts w:hint="eastAsia" w:ascii="宋体" w:cs="宋体"/>
                <w:lang w:val="en-US" w:eastAsia="zh-CN"/>
              </w:rPr>
              <w:t>66000</w:t>
            </w:r>
            <w:r>
              <w:rPr>
                <w:rFonts w:hint="eastAsia" w:ascii="宋体" w:cs="宋体"/>
              </w:rPr>
              <w:t>元</w:t>
            </w:r>
          </w:p>
        </w:tc>
      </w:tr>
    </w:tbl>
    <w:p w14:paraId="43F79A21">
      <w:pPr>
        <w:spacing w:line="360" w:lineRule="auto"/>
        <w:rPr>
          <w:rFonts w:ascii="仿宋" w:hAnsi="仿宋" w:eastAsia="仿宋"/>
          <w:b/>
          <w:bCs/>
          <w:sz w:val="28"/>
          <w:szCs w:val="28"/>
        </w:rPr>
      </w:pPr>
      <w:r>
        <w:rPr>
          <w:rFonts w:hint="eastAsia" w:ascii="仿宋" w:hAnsi="仿宋" w:eastAsia="仿宋" w:cs="仿宋"/>
          <w:b/>
          <w:bCs/>
          <w:sz w:val="28"/>
          <w:szCs w:val="28"/>
        </w:rPr>
        <w:t>第二部分：商务条款及其它要求</w:t>
      </w:r>
      <w:r>
        <w:rPr>
          <w:rFonts w:hint="eastAsia" w:ascii="仿宋" w:hAnsi="仿宋" w:eastAsia="仿宋" w:cs="仿宋"/>
          <w:sz w:val="28"/>
          <w:szCs w:val="28"/>
        </w:rPr>
        <w:t>（实质性要求）</w:t>
      </w:r>
    </w:p>
    <w:p w14:paraId="4BBDA97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一、商务要求</w:t>
      </w:r>
    </w:p>
    <w:p w14:paraId="6305534B">
      <w:pPr>
        <w:shd w:val="clear" w:color="auto" w:fill="FFFFFF"/>
        <w:tabs>
          <w:tab w:val="left" w:pos="900"/>
        </w:tabs>
        <w:adjustRightInd w:val="0"/>
        <w:snapToGrid w:val="0"/>
        <w:spacing w:line="360" w:lineRule="auto"/>
        <w:ind w:firstLine="560" w:firstLineChars="200"/>
        <w:outlineLvl w:val="5"/>
        <w:rPr>
          <w:rFonts w:ascii="仿宋" w:hAnsi="仿宋" w:eastAsia="仿宋" w:cs="仿宋"/>
          <w:sz w:val="28"/>
          <w:szCs w:val="28"/>
          <w:lang w:eastAsia="zh-CN"/>
        </w:rPr>
      </w:pPr>
      <w:r>
        <w:rPr>
          <w:rFonts w:hint="eastAsia" w:ascii="仿宋" w:hAnsi="仿宋" w:eastAsia="仿宋" w:cs="仿宋"/>
          <w:sz w:val="28"/>
          <w:szCs w:val="28"/>
          <w:lang w:val="en-US" w:eastAsia="zh-CN"/>
        </w:rPr>
        <w:t>1、交货地点：四川天府新区人民医院指定地点</w:t>
      </w:r>
      <w:r>
        <w:rPr>
          <w:rFonts w:ascii="仿宋" w:hAnsi="仿宋" w:eastAsia="仿宋" w:cs="仿宋"/>
          <w:sz w:val="28"/>
          <w:szCs w:val="28"/>
          <w:lang w:eastAsia="zh-CN"/>
        </w:rPr>
        <w:t>。</w:t>
      </w:r>
    </w:p>
    <w:p w14:paraId="6198CA7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2、支付方式：分期转账付款</w:t>
      </w:r>
    </w:p>
    <w:p w14:paraId="787E522D">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3、支付约定</w:t>
      </w:r>
    </w:p>
    <w:p w14:paraId="5ADBF15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采购合同签订后 ，达到付款条件起 10个工作日内，支付合同总金额的 40.00%。</w:t>
      </w:r>
    </w:p>
    <w:p w14:paraId="16B1CF1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（2）货物全部到达现场并安装验收合格后 ，达到付款条件起 10个工作日内，支付合同总金额的50.00%。</w:t>
      </w:r>
    </w:p>
    <w:p w14:paraId="5E7A1B1B">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（3）余10%待安装验收合格满一年后达到付款条件起 10个工作日内支付。</w:t>
      </w:r>
    </w:p>
    <w:p w14:paraId="00EEC79F">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4、履约验收：按照《财政部关于进一步加强政府采购需求和履约验收管理的指导意见》（财库〔2016〕205号）规定及招标文件的要求和响应文件的承诺执行。</w:t>
      </w:r>
    </w:p>
    <w:p w14:paraId="69367F9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包装方式及运输：涉及的商品包装和快递包装，均应符合《商品包装政府采购需求标准（试行）》《快递包装政府采购需求标准（试行）》的要求，包装应适应于远距离运输、防潮、防震、防锈和防野蛮装卸，以确保货物安全无损运抵指定地点。</w:t>
      </w:r>
    </w:p>
    <w:p w14:paraId="313A3AA2">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6、质保、维修要求</w:t>
      </w:r>
    </w:p>
    <w:p w14:paraId="75741924">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热水器保修期6年，严格遵照国家“新三包”规定进行包修服务。质保期内所提供的产品的质量问题，中标人应提供免费上门维修服务；质保期后实行终身维修，提供及时的、优质的、价格优惠的技术服务和备品备件供应。</w:t>
      </w:r>
    </w:p>
    <w:p w14:paraId="3FAD3E8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7、违约责任与解决争议的方法</w:t>
      </w:r>
    </w:p>
    <w:p w14:paraId="153A457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中标人工作人员在履行职务过程中的疏忽、失职、过错等故意或者过失原因给采购人造成损失或侵害，包括但不限于采购人本身的财产损失、由此而导致的采购人对任何第三方的法律责任等，中标人对此均应承担全部的赔偿责任。因为中标人对项目资料掌握不充分等原因，造成的项目无法实施，由中标人承担相应赔偿责任。双方如因履行本协议发生争议，首先应通过友好协商解决。协商不成，双方同意将争议提交采购人所在地法院管辖。</w:t>
      </w:r>
    </w:p>
    <w:p w14:paraId="6D164883">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二、其他要求</w:t>
      </w:r>
    </w:p>
    <w:p w14:paraId="256FA14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报价要求：投标报价是履行合同的最终价格，应包括货款、产品责任险、包装、运输、税金、以及安装、调试、售后服务等投标人完成本项目所需的一切费用，采购人不再支付任何费用；投标报价估算错误等引起的风险由投标人自行承担。</w:t>
      </w:r>
    </w:p>
    <w:p w14:paraId="3D2063F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2、在项目实施过程中的安全责任由中标人全权负责。</w:t>
      </w:r>
    </w:p>
    <w:p w14:paraId="23800C15">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3、未提及的与本项目履约切实相关的事宜，在采购人与成交供应商订立合同时按明细约定或后续补充约定（约定的内容须符合国家相关法律法规的规定，所需费用包含在投标报价中）。</w:t>
      </w:r>
    </w:p>
    <w:p w14:paraId="25AE6707">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三、服务要求：</w:t>
      </w:r>
    </w:p>
    <w:p w14:paraId="29D7593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1、在安装的过程中，要注意不损坏房屋和墙壁。要特别注意水管和气管的连接， 防止漏水、漏气现象出现。</w:t>
      </w:r>
    </w:p>
    <w:p w14:paraId="47FDD8A6">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2、在安装热水器时须严格按照操作规范执行，并遵守相关法律法规及国家（行业）标准要求。</w:t>
      </w:r>
    </w:p>
    <w:p w14:paraId="6893B83C">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3、热水器安装完成后必须保证能正常使用满足采购人需求，安装过程中所有费用（包括但不限于：烟管加长、水电气改管、开孔、配件等前置条件）应包含在投标人报价内。</w:t>
      </w:r>
    </w:p>
    <w:p w14:paraId="567D6AB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4、热水器完成安装后，安装工作人员应做好现场的环境清理。</w:t>
      </w:r>
    </w:p>
    <w:p w14:paraId="0CFD626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5、中标人负责提供热水器的运输、安装、调试等技术服务，并提供现场做操作培训，保证使用人员可正规操作设备的各项功能。</w:t>
      </w:r>
    </w:p>
    <w:p w14:paraId="0BA705C8">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6、中标人为本项目提供热水器须为全新未拆封的新品。</w:t>
      </w:r>
    </w:p>
    <w:p w14:paraId="668FFFDE">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7、项目履约过程中，中标人实际提供的产品的品牌型号须与投标文件中响应的产品品牌型号一致，招标人根据使用设备实际需求及项目实际情况对产品品牌型号进行调整的情况除外。招标人有权对中标人提供的产品进行抽检，若有不合格产品，有权终止合同并追究法律及赔偿责任。</w:t>
      </w:r>
    </w:p>
    <w:p w14:paraId="734737A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8、投标人应提供7×24小时技术服务热线。</w:t>
      </w:r>
    </w:p>
    <w:p w14:paraId="147287E0">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9、中标人接到热水器使用人问题反馈后，应在1小时内响应并到现场，12小时内解决问题，若12小时内产品问题未能解决，中标人应提供备用设备。并告知使用人预计问题解决所需时间。</w:t>
      </w:r>
    </w:p>
    <w:p w14:paraId="7ED1A259">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10、技术标准及规范：应满足现行有效的国家相关标准、行业标准、地方标准以及相关规范等。质量、安全、技术规格、物理特性等参数应满足国家、行业、地方相关标准和要求。</w:t>
      </w:r>
    </w:p>
    <w:p w14:paraId="01508891">
      <w:pPr>
        <w:shd w:val="clear" w:color="auto" w:fill="FFFFFF"/>
        <w:tabs>
          <w:tab w:val="left" w:pos="900"/>
        </w:tabs>
        <w:adjustRightInd w:val="0"/>
        <w:snapToGrid w:val="0"/>
        <w:spacing w:line="360" w:lineRule="auto"/>
        <w:ind w:firstLine="560" w:firstLineChars="200"/>
        <w:outlineLvl w:val="5"/>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11、投标人承诺中标后，需为投标热水器购买产品责任保险。</w:t>
      </w:r>
    </w:p>
    <w:p w14:paraId="69826C8B">
      <w:pPr>
        <w:rPr>
          <w:rFonts w:ascii="仿宋" w:hAnsi="仿宋" w:eastAsia="仿宋"/>
          <w:sz w:val="28"/>
          <w:szCs w:val="28"/>
          <w:u w:val="single"/>
        </w:rPr>
      </w:pPr>
      <w:r>
        <w:rPr>
          <w:rFonts w:hint="eastAsia" w:ascii="仿宋" w:hAnsi="仿宋" w:eastAsia="仿宋" w:cs="仿宋"/>
          <w:b/>
          <w:bCs/>
          <w:sz w:val="28"/>
          <w:szCs w:val="28"/>
        </w:rPr>
        <w:t>十、成交原则：</w:t>
      </w:r>
      <w:r>
        <w:rPr>
          <w:rFonts w:hint="eastAsia" w:ascii="仿宋" w:hAnsi="仿宋" w:eastAsia="仿宋" w:cs="仿宋"/>
          <w:sz w:val="28"/>
          <w:szCs w:val="28"/>
          <w:u w:val="single"/>
        </w:rPr>
        <w:t>本项目在询价小组对供应商响应文件审查结束后</w:t>
      </w:r>
      <w:r>
        <w:rPr>
          <w:rFonts w:ascii="仿宋" w:hAnsi="仿宋" w:eastAsia="仿宋" w:cs="仿宋"/>
          <w:sz w:val="28"/>
          <w:szCs w:val="28"/>
          <w:u w:val="single"/>
        </w:rPr>
        <w:t>,</w:t>
      </w:r>
      <w:r>
        <w:rPr>
          <w:rFonts w:hint="eastAsia" w:ascii="仿宋" w:hAnsi="仿宋" w:eastAsia="仿宋" w:cs="仿宋"/>
          <w:sz w:val="28"/>
          <w:szCs w:val="28"/>
          <w:u w:val="single"/>
        </w:rPr>
        <w:t>对所有实质性响应的供应商，按照供应商在响应文件中报出的一次不得更改的价格，符合采购需求、质量和服务且总价金额最低的原则确定成交供应商。</w:t>
      </w:r>
    </w:p>
    <w:p w14:paraId="2B165B56">
      <w:pPr>
        <w:rPr>
          <w:rFonts w:ascii="仿宋" w:hAnsi="仿宋" w:eastAsia="仿宋"/>
          <w:sz w:val="28"/>
          <w:szCs w:val="28"/>
        </w:rPr>
      </w:pPr>
      <w:r>
        <w:rPr>
          <w:rFonts w:hint="eastAsia" w:ascii="仿宋" w:hAnsi="仿宋" w:eastAsia="仿宋" w:cs="仿宋"/>
          <w:b/>
          <w:bCs/>
          <w:sz w:val="28"/>
          <w:szCs w:val="28"/>
        </w:rPr>
        <w:t>十一、本项目采取网络报名的方式：</w:t>
      </w:r>
      <w:r>
        <w:rPr>
          <w:rFonts w:hint="eastAsia" w:ascii="仿宋" w:hAnsi="仿宋" w:eastAsia="仿宋" w:cs="仿宋"/>
          <w:sz w:val="28"/>
          <w:szCs w:val="28"/>
        </w:rPr>
        <w:t>报名邮箱地址：</w:t>
      </w:r>
      <w:r>
        <w:rPr>
          <w:rFonts w:ascii="仿宋" w:hAnsi="仿宋" w:eastAsia="仿宋" w:cs="仿宋"/>
          <w:sz w:val="28"/>
          <w:szCs w:val="28"/>
        </w:rPr>
        <w:t>1531036850@qq.com,</w:t>
      </w:r>
      <w:r>
        <w:rPr>
          <w:rFonts w:hint="eastAsia" w:ascii="仿宋" w:hAnsi="仿宋" w:eastAsia="仿宋" w:cs="仿宋"/>
          <w:sz w:val="28"/>
          <w:szCs w:val="28"/>
        </w:rPr>
        <w:t>报名材料如下：</w:t>
      </w:r>
    </w:p>
    <w:p w14:paraId="53A8EA29">
      <w:pPr>
        <w:numPr>
          <w:ilvl w:val="0"/>
          <w:numId w:val="2"/>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供应商为法人或者其他组织的，需提供单位介绍信（需注明项目名称、项目编号、介绍信有效期）、被介绍人代表身份证（验原件，留加盖公司公章的复印件）；</w:t>
      </w:r>
    </w:p>
    <w:p w14:paraId="6BABFCAD">
      <w:pPr>
        <w:numPr>
          <w:ilvl w:val="0"/>
          <w:numId w:val="2"/>
        </w:numPr>
        <w:tabs>
          <w:tab w:val="left" w:pos="312"/>
        </w:tabs>
        <w:spacing w:line="360" w:lineRule="auto"/>
        <w:ind w:firstLine="560" w:firstLineChars="200"/>
        <w:jc w:val="left"/>
        <w:rPr>
          <w:rFonts w:ascii="仿宋" w:hAnsi="仿宋" w:eastAsia="仿宋"/>
          <w:sz w:val="28"/>
          <w:szCs w:val="28"/>
        </w:rPr>
      </w:pPr>
      <w:r>
        <w:rPr>
          <w:rFonts w:hint="eastAsia" w:ascii="仿宋" w:hAnsi="仿宋" w:eastAsia="仿宋" w:cs="仿宋"/>
          <w:sz w:val="28"/>
          <w:szCs w:val="28"/>
        </w:rPr>
        <w:t>供应商为自然人的，需提供本人身份证明（本人签字的复印件）。</w:t>
      </w:r>
    </w:p>
    <w:p w14:paraId="4DD1395B">
      <w:pPr>
        <w:pStyle w:val="14"/>
        <w:ind w:left="0" w:leftChars="0" w:firstLine="686" w:firstLineChars="245"/>
        <w:rPr>
          <w:rFonts w:hint="eastAsia" w:ascii="仿宋" w:hAnsi="仿宋" w:eastAsia="仿宋" w:cs="仿宋"/>
          <w:kern w:val="0"/>
          <w:sz w:val="28"/>
          <w:szCs w:val="28"/>
          <w:u w:color="000000"/>
          <w:lang w:val="zh-CN" w:eastAsia="zh-CN" w:bidi="ar-SA"/>
        </w:rPr>
      </w:pPr>
      <w:r>
        <w:rPr>
          <w:rFonts w:hint="eastAsia" w:ascii="仿宋" w:hAnsi="仿宋" w:eastAsia="仿宋" w:cs="仿宋"/>
          <w:kern w:val="0"/>
          <w:sz w:val="28"/>
          <w:szCs w:val="28"/>
          <w:u w:color="000000"/>
          <w:lang w:val="zh-CN" w:eastAsia="zh-CN" w:bidi="ar-SA"/>
        </w:rPr>
        <w:t>报名时间：</w:t>
      </w:r>
      <w:bookmarkEnd w:id="0"/>
      <w:bookmarkEnd w:id="1"/>
      <w:bookmarkEnd w:id="2"/>
      <w:bookmarkEnd w:id="3"/>
      <w:bookmarkEnd w:id="4"/>
      <w:bookmarkEnd w:id="5"/>
      <w:bookmarkEnd w:id="6"/>
      <w:bookmarkEnd w:id="7"/>
      <w:bookmarkEnd w:id="8"/>
      <w:r>
        <w:rPr>
          <w:rFonts w:hint="eastAsia" w:ascii="仿宋" w:hAnsi="仿宋" w:eastAsia="仿宋" w:cs="仿宋"/>
          <w:kern w:val="0"/>
          <w:sz w:val="28"/>
          <w:szCs w:val="28"/>
          <w:u w:color="000000"/>
          <w:lang w:val="zh-CN" w:eastAsia="zh-CN" w:bidi="ar-SA"/>
        </w:rPr>
        <w:t>2025年4月</w:t>
      </w:r>
      <w:r>
        <w:rPr>
          <w:rFonts w:hint="eastAsia" w:ascii="仿宋" w:hAnsi="仿宋" w:eastAsia="仿宋" w:cs="仿宋"/>
          <w:kern w:val="0"/>
          <w:sz w:val="28"/>
          <w:szCs w:val="28"/>
          <w:u w:color="000000"/>
          <w:lang w:val="en-US" w:eastAsia="zh-CN" w:bidi="ar-SA"/>
        </w:rPr>
        <w:t>28</w:t>
      </w:r>
      <w:r>
        <w:rPr>
          <w:rFonts w:hint="eastAsia" w:ascii="仿宋" w:hAnsi="仿宋" w:eastAsia="仿宋" w:cs="仿宋"/>
          <w:kern w:val="0"/>
          <w:sz w:val="28"/>
          <w:szCs w:val="28"/>
          <w:u w:color="000000"/>
          <w:lang w:val="zh-CN" w:eastAsia="zh-CN" w:bidi="ar-SA"/>
        </w:rPr>
        <w:t>日00:00:00至2025年4月</w:t>
      </w:r>
      <w:r>
        <w:rPr>
          <w:rFonts w:hint="eastAsia" w:ascii="仿宋" w:hAnsi="仿宋" w:eastAsia="仿宋" w:cs="仿宋"/>
          <w:kern w:val="0"/>
          <w:sz w:val="28"/>
          <w:szCs w:val="28"/>
          <w:u w:color="000000"/>
          <w:lang w:val="en-US" w:eastAsia="zh-CN" w:bidi="ar-SA"/>
        </w:rPr>
        <w:t>29</w:t>
      </w:r>
      <w:bookmarkStart w:id="26" w:name="_GoBack"/>
      <w:bookmarkEnd w:id="26"/>
      <w:r>
        <w:rPr>
          <w:rFonts w:hint="eastAsia" w:ascii="仿宋" w:hAnsi="仿宋" w:eastAsia="仿宋" w:cs="仿宋"/>
          <w:kern w:val="0"/>
          <w:sz w:val="28"/>
          <w:szCs w:val="28"/>
          <w:u w:color="000000"/>
          <w:lang w:val="zh-CN" w:eastAsia="zh-CN" w:bidi="ar-SA"/>
        </w:rPr>
        <w:t>日23:59:59（北京时间，法定节假日除外，以发送电子邮件报名信息时间为准）</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FD1D91">
    <w:pPr>
      <w:pStyle w:val="11"/>
      <w:framePr w:wrap="auto" w:vAnchor="text" w:hAnchor="margin" w:xAlign="center" w:y="1"/>
      <w:rPr>
        <w:rStyle w:val="18"/>
        <w:rFonts w:cs="Times New Roman"/>
      </w:rPr>
    </w:pPr>
    <w:r>
      <w:rPr>
        <w:rStyle w:val="18"/>
      </w:rPr>
      <w:fldChar w:fldCharType="begin"/>
    </w:r>
    <w:r>
      <w:rPr>
        <w:rStyle w:val="18"/>
      </w:rPr>
      <w:instrText xml:space="preserve">PAGE  </w:instrText>
    </w:r>
    <w:r>
      <w:rPr>
        <w:rStyle w:val="18"/>
      </w:rPr>
      <w:fldChar w:fldCharType="separate"/>
    </w:r>
    <w:r>
      <w:rPr>
        <w:rStyle w:val="18"/>
      </w:rPr>
      <w:t>- 1 -</w:t>
    </w:r>
    <w:r>
      <w:rPr>
        <w:rStyle w:val="18"/>
      </w:rPr>
      <w:fldChar w:fldCharType="end"/>
    </w:r>
  </w:p>
  <w:p w14:paraId="3B61174E">
    <w:pPr>
      <w:pStyle w:val="11"/>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FD9581"/>
    <w:multiLevelType w:val="singleLevel"/>
    <w:tmpl w:val="CCFD9581"/>
    <w:lvl w:ilvl="0" w:tentative="0">
      <w:start w:val="9"/>
      <w:numFmt w:val="chineseCounting"/>
      <w:pStyle w:val="48"/>
      <w:suff w:val="nothing"/>
      <w:lvlText w:val="%1、"/>
      <w:lvlJc w:val="left"/>
      <w:rPr>
        <w:rFonts w:hint="eastAsia"/>
      </w:rPr>
    </w:lvl>
  </w:abstractNum>
  <w:abstractNum w:abstractNumId="1">
    <w:nsid w:val="00000026"/>
    <w:multiLevelType w:val="singleLevel"/>
    <w:tmpl w:val="00000026"/>
    <w:lvl w:ilvl="0" w:tentative="0">
      <w:start w:val="1"/>
      <w:numFmt w:val="decimal"/>
      <w:suff w:val="nothing"/>
      <w:lvlText w:val="%1．"/>
      <w:lvlJc w:val="left"/>
      <w:pPr>
        <w:ind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GQyYTUwNTI2OTQ2MGZkMTEyMjU3YjYwMGU0ZTViZmMifQ=="/>
  </w:docVars>
  <w:rsids>
    <w:rsidRoot w:val="00F37A33"/>
    <w:rsid w:val="00004742"/>
    <w:rsid w:val="0000625D"/>
    <w:rsid w:val="00014E58"/>
    <w:rsid w:val="00031008"/>
    <w:rsid w:val="0003223A"/>
    <w:rsid w:val="00032484"/>
    <w:rsid w:val="000330A4"/>
    <w:rsid w:val="00036E94"/>
    <w:rsid w:val="000409D9"/>
    <w:rsid w:val="0004166C"/>
    <w:rsid w:val="000416DE"/>
    <w:rsid w:val="00044248"/>
    <w:rsid w:val="00046520"/>
    <w:rsid w:val="000540F4"/>
    <w:rsid w:val="0005548C"/>
    <w:rsid w:val="0006391B"/>
    <w:rsid w:val="00064D4F"/>
    <w:rsid w:val="00070884"/>
    <w:rsid w:val="00072425"/>
    <w:rsid w:val="0007342A"/>
    <w:rsid w:val="00077A4C"/>
    <w:rsid w:val="00080DAB"/>
    <w:rsid w:val="00083E5C"/>
    <w:rsid w:val="00085883"/>
    <w:rsid w:val="00090486"/>
    <w:rsid w:val="000937B1"/>
    <w:rsid w:val="0009679B"/>
    <w:rsid w:val="00096922"/>
    <w:rsid w:val="000A0E0B"/>
    <w:rsid w:val="000A306D"/>
    <w:rsid w:val="000A3493"/>
    <w:rsid w:val="000A419A"/>
    <w:rsid w:val="000A78D3"/>
    <w:rsid w:val="000B1888"/>
    <w:rsid w:val="000B2D51"/>
    <w:rsid w:val="000B2D97"/>
    <w:rsid w:val="000B2E61"/>
    <w:rsid w:val="000B6235"/>
    <w:rsid w:val="000B6E36"/>
    <w:rsid w:val="000C0582"/>
    <w:rsid w:val="000C4881"/>
    <w:rsid w:val="000C56C9"/>
    <w:rsid w:val="000D7434"/>
    <w:rsid w:val="000D79DD"/>
    <w:rsid w:val="000E0CFE"/>
    <w:rsid w:val="000E40D1"/>
    <w:rsid w:val="000E7C22"/>
    <w:rsid w:val="000F2AAD"/>
    <w:rsid w:val="000F3AA4"/>
    <w:rsid w:val="000F5ACA"/>
    <w:rsid w:val="00102584"/>
    <w:rsid w:val="00104145"/>
    <w:rsid w:val="001110C0"/>
    <w:rsid w:val="0011414E"/>
    <w:rsid w:val="00120302"/>
    <w:rsid w:val="00124532"/>
    <w:rsid w:val="00127479"/>
    <w:rsid w:val="00131ABB"/>
    <w:rsid w:val="001347BC"/>
    <w:rsid w:val="00144B2C"/>
    <w:rsid w:val="00145AB0"/>
    <w:rsid w:val="00151769"/>
    <w:rsid w:val="0015492C"/>
    <w:rsid w:val="0016136D"/>
    <w:rsid w:val="001678EF"/>
    <w:rsid w:val="0017197A"/>
    <w:rsid w:val="00172809"/>
    <w:rsid w:val="0017571E"/>
    <w:rsid w:val="00175D79"/>
    <w:rsid w:val="00177C6F"/>
    <w:rsid w:val="00185C19"/>
    <w:rsid w:val="00187379"/>
    <w:rsid w:val="00190CFE"/>
    <w:rsid w:val="00193413"/>
    <w:rsid w:val="001941A1"/>
    <w:rsid w:val="00194D1E"/>
    <w:rsid w:val="001A2B27"/>
    <w:rsid w:val="001A4A24"/>
    <w:rsid w:val="001A5146"/>
    <w:rsid w:val="001B1F98"/>
    <w:rsid w:val="001B25F5"/>
    <w:rsid w:val="001C4354"/>
    <w:rsid w:val="001C692F"/>
    <w:rsid w:val="001D0327"/>
    <w:rsid w:val="001D1174"/>
    <w:rsid w:val="001D485A"/>
    <w:rsid w:val="001D500F"/>
    <w:rsid w:val="001D5798"/>
    <w:rsid w:val="001D618D"/>
    <w:rsid w:val="001D64FD"/>
    <w:rsid w:val="001D69F4"/>
    <w:rsid w:val="001E065F"/>
    <w:rsid w:val="001E6449"/>
    <w:rsid w:val="001E6ADB"/>
    <w:rsid w:val="001F0905"/>
    <w:rsid w:val="0020276D"/>
    <w:rsid w:val="0020777E"/>
    <w:rsid w:val="0021086B"/>
    <w:rsid w:val="002110B8"/>
    <w:rsid w:val="0021266D"/>
    <w:rsid w:val="00214E9E"/>
    <w:rsid w:val="00216FCA"/>
    <w:rsid w:val="0022264B"/>
    <w:rsid w:val="00226B58"/>
    <w:rsid w:val="002355F1"/>
    <w:rsid w:val="00240944"/>
    <w:rsid w:val="00241140"/>
    <w:rsid w:val="0025138A"/>
    <w:rsid w:val="00265AA3"/>
    <w:rsid w:val="00267F33"/>
    <w:rsid w:val="00272FD8"/>
    <w:rsid w:val="00274F05"/>
    <w:rsid w:val="00275EA5"/>
    <w:rsid w:val="002825EB"/>
    <w:rsid w:val="002845F1"/>
    <w:rsid w:val="00286A6A"/>
    <w:rsid w:val="00292403"/>
    <w:rsid w:val="002951F4"/>
    <w:rsid w:val="002A51F7"/>
    <w:rsid w:val="002B13AD"/>
    <w:rsid w:val="002B1520"/>
    <w:rsid w:val="002B3939"/>
    <w:rsid w:val="002C34FD"/>
    <w:rsid w:val="002C6665"/>
    <w:rsid w:val="002C7AD5"/>
    <w:rsid w:val="002D0F72"/>
    <w:rsid w:val="002D2A2E"/>
    <w:rsid w:val="002E278A"/>
    <w:rsid w:val="002E574A"/>
    <w:rsid w:val="002F01EC"/>
    <w:rsid w:val="002F30D0"/>
    <w:rsid w:val="002F5E69"/>
    <w:rsid w:val="002F69B3"/>
    <w:rsid w:val="00300751"/>
    <w:rsid w:val="0030344A"/>
    <w:rsid w:val="0030632B"/>
    <w:rsid w:val="003076A2"/>
    <w:rsid w:val="0030778A"/>
    <w:rsid w:val="003079A4"/>
    <w:rsid w:val="00313843"/>
    <w:rsid w:val="00314725"/>
    <w:rsid w:val="0031740E"/>
    <w:rsid w:val="00331F74"/>
    <w:rsid w:val="00331F82"/>
    <w:rsid w:val="00342C64"/>
    <w:rsid w:val="00345803"/>
    <w:rsid w:val="003569B8"/>
    <w:rsid w:val="00362FC1"/>
    <w:rsid w:val="00363D68"/>
    <w:rsid w:val="00364F8E"/>
    <w:rsid w:val="00371937"/>
    <w:rsid w:val="0037372F"/>
    <w:rsid w:val="003756EF"/>
    <w:rsid w:val="003811F9"/>
    <w:rsid w:val="003823E9"/>
    <w:rsid w:val="00382CFA"/>
    <w:rsid w:val="00383CB4"/>
    <w:rsid w:val="00386FA4"/>
    <w:rsid w:val="0038761B"/>
    <w:rsid w:val="00387F21"/>
    <w:rsid w:val="0039420F"/>
    <w:rsid w:val="0039452C"/>
    <w:rsid w:val="003945AA"/>
    <w:rsid w:val="003A056B"/>
    <w:rsid w:val="003A4369"/>
    <w:rsid w:val="003A75D5"/>
    <w:rsid w:val="003B0E28"/>
    <w:rsid w:val="003B2E53"/>
    <w:rsid w:val="003B779A"/>
    <w:rsid w:val="003C343C"/>
    <w:rsid w:val="003C386E"/>
    <w:rsid w:val="003C47DE"/>
    <w:rsid w:val="003D5820"/>
    <w:rsid w:val="003D5973"/>
    <w:rsid w:val="003D59A1"/>
    <w:rsid w:val="003D5CBD"/>
    <w:rsid w:val="003D5D6F"/>
    <w:rsid w:val="003D7892"/>
    <w:rsid w:val="003E479E"/>
    <w:rsid w:val="003E7085"/>
    <w:rsid w:val="003F1DE4"/>
    <w:rsid w:val="003F3338"/>
    <w:rsid w:val="003F4E68"/>
    <w:rsid w:val="003F5CA8"/>
    <w:rsid w:val="003F6EDE"/>
    <w:rsid w:val="004009C5"/>
    <w:rsid w:val="004010CE"/>
    <w:rsid w:val="0040343A"/>
    <w:rsid w:val="00403812"/>
    <w:rsid w:val="00403FBA"/>
    <w:rsid w:val="0040500B"/>
    <w:rsid w:val="004073D6"/>
    <w:rsid w:val="00411217"/>
    <w:rsid w:val="00412E22"/>
    <w:rsid w:val="004135FD"/>
    <w:rsid w:val="004150BF"/>
    <w:rsid w:val="004223B5"/>
    <w:rsid w:val="0042292C"/>
    <w:rsid w:val="0042305F"/>
    <w:rsid w:val="004230DF"/>
    <w:rsid w:val="00426ABE"/>
    <w:rsid w:val="00434402"/>
    <w:rsid w:val="00436BC3"/>
    <w:rsid w:val="004379BA"/>
    <w:rsid w:val="00441FD1"/>
    <w:rsid w:val="00443861"/>
    <w:rsid w:val="0044741A"/>
    <w:rsid w:val="00447D32"/>
    <w:rsid w:val="00451655"/>
    <w:rsid w:val="004516C3"/>
    <w:rsid w:val="00451C7B"/>
    <w:rsid w:val="00452490"/>
    <w:rsid w:val="00455983"/>
    <w:rsid w:val="00457DC9"/>
    <w:rsid w:val="00457DCC"/>
    <w:rsid w:val="004605FC"/>
    <w:rsid w:val="004628AE"/>
    <w:rsid w:val="00463A2A"/>
    <w:rsid w:val="004665FB"/>
    <w:rsid w:val="004673DB"/>
    <w:rsid w:val="004724AE"/>
    <w:rsid w:val="00473778"/>
    <w:rsid w:val="0047747D"/>
    <w:rsid w:val="0048106B"/>
    <w:rsid w:val="00481D4D"/>
    <w:rsid w:val="004865BF"/>
    <w:rsid w:val="00491FD3"/>
    <w:rsid w:val="004935C5"/>
    <w:rsid w:val="00494A64"/>
    <w:rsid w:val="004952FE"/>
    <w:rsid w:val="00495898"/>
    <w:rsid w:val="00497C09"/>
    <w:rsid w:val="004B5B7F"/>
    <w:rsid w:val="004C1E9F"/>
    <w:rsid w:val="004C2C80"/>
    <w:rsid w:val="004D000A"/>
    <w:rsid w:val="004D3142"/>
    <w:rsid w:val="004E44F1"/>
    <w:rsid w:val="004E5EB5"/>
    <w:rsid w:val="004F3D8F"/>
    <w:rsid w:val="004F5C64"/>
    <w:rsid w:val="005021E4"/>
    <w:rsid w:val="00502AEE"/>
    <w:rsid w:val="00505C1D"/>
    <w:rsid w:val="00505F9B"/>
    <w:rsid w:val="00507B1B"/>
    <w:rsid w:val="00507EBA"/>
    <w:rsid w:val="00512193"/>
    <w:rsid w:val="00515100"/>
    <w:rsid w:val="00515240"/>
    <w:rsid w:val="005206DA"/>
    <w:rsid w:val="0053069F"/>
    <w:rsid w:val="00536C44"/>
    <w:rsid w:val="00542067"/>
    <w:rsid w:val="00543A5B"/>
    <w:rsid w:val="00547753"/>
    <w:rsid w:val="00547CC9"/>
    <w:rsid w:val="005530DA"/>
    <w:rsid w:val="0055417F"/>
    <w:rsid w:val="005555E6"/>
    <w:rsid w:val="00555A22"/>
    <w:rsid w:val="00555D47"/>
    <w:rsid w:val="00560CD7"/>
    <w:rsid w:val="005650A5"/>
    <w:rsid w:val="00565239"/>
    <w:rsid w:val="005671FF"/>
    <w:rsid w:val="00570120"/>
    <w:rsid w:val="00572500"/>
    <w:rsid w:val="00584896"/>
    <w:rsid w:val="00587DA3"/>
    <w:rsid w:val="00591889"/>
    <w:rsid w:val="00594259"/>
    <w:rsid w:val="00595208"/>
    <w:rsid w:val="005A1863"/>
    <w:rsid w:val="005A1A89"/>
    <w:rsid w:val="005B2216"/>
    <w:rsid w:val="005C0C5B"/>
    <w:rsid w:val="005C2D63"/>
    <w:rsid w:val="005C6EBA"/>
    <w:rsid w:val="005D6DA5"/>
    <w:rsid w:val="005E6B2C"/>
    <w:rsid w:val="005F4AFC"/>
    <w:rsid w:val="005F71F6"/>
    <w:rsid w:val="005F758A"/>
    <w:rsid w:val="0060791F"/>
    <w:rsid w:val="0061112D"/>
    <w:rsid w:val="0061589C"/>
    <w:rsid w:val="00617885"/>
    <w:rsid w:val="00636580"/>
    <w:rsid w:val="00647EFC"/>
    <w:rsid w:val="00650C02"/>
    <w:rsid w:val="00653A4D"/>
    <w:rsid w:val="0065786F"/>
    <w:rsid w:val="006604F8"/>
    <w:rsid w:val="00662ADB"/>
    <w:rsid w:val="00664427"/>
    <w:rsid w:val="00665B72"/>
    <w:rsid w:val="00666A27"/>
    <w:rsid w:val="00670D3F"/>
    <w:rsid w:val="006856A5"/>
    <w:rsid w:val="006A2429"/>
    <w:rsid w:val="006A3B49"/>
    <w:rsid w:val="006A7605"/>
    <w:rsid w:val="006A7EA9"/>
    <w:rsid w:val="006B1BFD"/>
    <w:rsid w:val="006C3876"/>
    <w:rsid w:val="006C4685"/>
    <w:rsid w:val="006D1A4C"/>
    <w:rsid w:val="006D4DCA"/>
    <w:rsid w:val="006E617E"/>
    <w:rsid w:val="006E702A"/>
    <w:rsid w:val="006F073E"/>
    <w:rsid w:val="006F0CA0"/>
    <w:rsid w:val="00702A95"/>
    <w:rsid w:val="007044E1"/>
    <w:rsid w:val="0070585E"/>
    <w:rsid w:val="00706E06"/>
    <w:rsid w:val="00710F03"/>
    <w:rsid w:val="007115C6"/>
    <w:rsid w:val="007214A6"/>
    <w:rsid w:val="00723EA0"/>
    <w:rsid w:val="00726ECF"/>
    <w:rsid w:val="007276F7"/>
    <w:rsid w:val="0073294C"/>
    <w:rsid w:val="00735984"/>
    <w:rsid w:val="00736352"/>
    <w:rsid w:val="0073643F"/>
    <w:rsid w:val="0074087A"/>
    <w:rsid w:val="0074255D"/>
    <w:rsid w:val="0074311E"/>
    <w:rsid w:val="0074378C"/>
    <w:rsid w:val="00745242"/>
    <w:rsid w:val="00747BEF"/>
    <w:rsid w:val="00755F5B"/>
    <w:rsid w:val="00760087"/>
    <w:rsid w:val="0076085D"/>
    <w:rsid w:val="007631F3"/>
    <w:rsid w:val="00765ED6"/>
    <w:rsid w:val="00785513"/>
    <w:rsid w:val="00786AD7"/>
    <w:rsid w:val="00797708"/>
    <w:rsid w:val="007A037A"/>
    <w:rsid w:val="007A18AF"/>
    <w:rsid w:val="007A7B7A"/>
    <w:rsid w:val="007B3E7A"/>
    <w:rsid w:val="007B6EB7"/>
    <w:rsid w:val="007B7D03"/>
    <w:rsid w:val="007C2C02"/>
    <w:rsid w:val="007C4699"/>
    <w:rsid w:val="007C49F8"/>
    <w:rsid w:val="007D0BD1"/>
    <w:rsid w:val="007D12E9"/>
    <w:rsid w:val="007D3AAB"/>
    <w:rsid w:val="007D6BA4"/>
    <w:rsid w:val="007E5303"/>
    <w:rsid w:val="007F602C"/>
    <w:rsid w:val="007F66BB"/>
    <w:rsid w:val="007F7BC0"/>
    <w:rsid w:val="007F7DA6"/>
    <w:rsid w:val="0080006A"/>
    <w:rsid w:val="00807496"/>
    <w:rsid w:val="0081023D"/>
    <w:rsid w:val="008137C6"/>
    <w:rsid w:val="00821344"/>
    <w:rsid w:val="00821B97"/>
    <w:rsid w:val="00824959"/>
    <w:rsid w:val="008258DB"/>
    <w:rsid w:val="00825F33"/>
    <w:rsid w:val="00833249"/>
    <w:rsid w:val="00846B2B"/>
    <w:rsid w:val="00847ADE"/>
    <w:rsid w:val="008502C6"/>
    <w:rsid w:val="00857D94"/>
    <w:rsid w:val="008602AD"/>
    <w:rsid w:val="00861032"/>
    <w:rsid w:val="00861D1D"/>
    <w:rsid w:val="008620EA"/>
    <w:rsid w:val="008673CA"/>
    <w:rsid w:val="008676BB"/>
    <w:rsid w:val="00871A34"/>
    <w:rsid w:val="00875E09"/>
    <w:rsid w:val="00885907"/>
    <w:rsid w:val="00891584"/>
    <w:rsid w:val="00891694"/>
    <w:rsid w:val="00891D31"/>
    <w:rsid w:val="008A1EB5"/>
    <w:rsid w:val="008A255B"/>
    <w:rsid w:val="008A3B00"/>
    <w:rsid w:val="008A60A5"/>
    <w:rsid w:val="008A6BB6"/>
    <w:rsid w:val="008B0A25"/>
    <w:rsid w:val="008B1174"/>
    <w:rsid w:val="008B4B24"/>
    <w:rsid w:val="008B4B74"/>
    <w:rsid w:val="008B6A28"/>
    <w:rsid w:val="008B6B44"/>
    <w:rsid w:val="008C76EF"/>
    <w:rsid w:val="008D26F8"/>
    <w:rsid w:val="008D7596"/>
    <w:rsid w:val="008E255E"/>
    <w:rsid w:val="008E5C94"/>
    <w:rsid w:val="008F2C4F"/>
    <w:rsid w:val="008F2EBD"/>
    <w:rsid w:val="008F50FD"/>
    <w:rsid w:val="008F7C73"/>
    <w:rsid w:val="009006F6"/>
    <w:rsid w:val="00902B81"/>
    <w:rsid w:val="00912143"/>
    <w:rsid w:val="009131EA"/>
    <w:rsid w:val="00914A4F"/>
    <w:rsid w:val="009204C2"/>
    <w:rsid w:val="00922306"/>
    <w:rsid w:val="00925353"/>
    <w:rsid w:val="00925C4F"/>
    <w:rsid w:val="00925E84"/>
    <w:rsid w:val="00927A6C"/>
    <w:rsid w:val="009345AA"/>
    <w:rsid w:val="00934DDA"/>
    <w:rsid w:val="00941118"/>
    <w:rsid w:val="009423D9"/>
    <w:rsid w:val="0095252C"/>
    <w:rsid w:val="00960681"/>
    <w:rsid w:val="009623F1"/>
    <w:rsid w:val="00963C4D"/>
    <w:rsid w:val="009674FB"/>
    <w:rsid w:val="00972287"/>
    <w:rsid w:val="00975313"/>
    <w:rsid w:val="0098425F"/>
    <w:rsid w:val="009922D7"/>
    <w:rsid w:val="00994CF0"/>
    <w:rsid w:val="009A4D78"/>
    <w:rsid w:val="009A6F65"/>
    <w:rsid w:val="009B0BEB"/>
    <w:rsid w:val="009B3752"/>
    <w:rsid w:val="009B4BE0"/>
    <w:rsid w:val="009B55B0"/>
    <w:rsid w:val="009C4BD8"/>
    <w:rsid w:val="009D0F21"/>
    <w:rsid w:val="009D189C"/>
    <w:rsid w:val="009D1BEB"/>
    <w:rsid w:val="009D55A3"/>
    <w:rsid w:val="009E03DE"/>
    <w:rsid w:val="009E0A45"/>
    <w:rsid w:val="009E2CB7"/>
    <w:rsid w:val="009E4339"/>
    <w:rsid w:val="009F0BDD"/>
    <w:rsid w:val="009F4732"/>
    <w:rsid w:val="009F6B6A"/>
    <w:rsid w:val="00A01ECC"/>
    <w:rsid w:val="00A040B7"/>
    <w:rsid w:val="00A0416F"/>
    <w:rsid w:val="00A065B7"/>
    <w:rsid w:val="00A07F1F"/>
    <w:rsid w:val="00A11CA7"/>
    <w:rsid w:val="00A141AD"/>
    <w:rsid w:val="00A1457C"/>
    <w:rsid w:val="00A17925"/>
    <w:rsid w:val="00A20EA0"/>
    <w:rsid w:val="00A23AB5"/>
    <w:rsid w:val="00A23FC9"/>
    <w:rsid w:val="00A3572A"/>
    <w:rsid w:val="00A369CB"/>
    <w:rsid w:val="00A40483"/>
    <w:rsid w:val="00A52527"/>
    <w:rsid w:val="00A56D1D"/>
    <w:rsid w:val="00A608D7"/>
    <w:rsid w:val="00A60A8E"/>
    <w:rsid w:val="00A632AA"/>
    <w:rsid w:val="00A65FF1"/>
    <w:rsid w:val="00A660BC"/>
    <w:rsid w:val="00A661E5"/>
    <w:rsid w:val="00A67999"/>
    <w:rsid w:val="00A67EFB"/>
    <w:rsid w:val="00A74956"/>
    <w:rsid w:val="00A74AE7"/>
    <w:rsid w:val="00A8167A"/>
    <w:rsid w:val="00A83E20"/>
    <w:rsid w:val="00A90455"/>
    <w:rsid w:val="00A90B99"/>
    <w:rsid w:val="00A91903"/>
    <w:rsid w:val="00A92406"/>
    <w:rsid w:val="00A94CC3"/>
    <w:rsid w:val="00AA13AA"/>
    <w:rsid w:val="00AA2261"/>
    <w:rsid w:val="00AA36F8"/>
    <w:rsid w:val="00AB03D1"/>
    <w:rsid w:val="00AB0876"/>
    <w:rsid w:val="00AC1E25"/>
    <w:rsid w:val="00AC23DE"/>
    <w:rsid w:val="00AC3B92"/>
    <w:rsid w:val="00AC41AD"/>
    <w:rsid w:val="00AC7F46"/>
    <w:rsid w:val="00AD06B8"/>
    <w:rsid w:val="00AD2BF7"/>
    <w:rsid w:val="00AD5E5C"/>
    <w:rsid w:val="00AD7A9E"/>
    <w:rsid w:val="00AE5F54"/>
    <w:rsid w:val="00AE77AE"/>
    <w:rsid w:val="00AE7C7B"/>
    <w:rsid w:val="00AF0E96"/>
    <w:rsid w:val="00AF2FAB"/>
    <w:rsid w:val="00AF315D"/>
    <w:rsid w:val="00B00463"/>
    <w:rsid w:val="00B009DA"/>
    <w:rsid w:val="00B07096"/>
    <w:rsid w:val="00B07F85"/>
    <w:rsid w:val="00B10012"/>
    <w:rsid w:val="00B1172A"/>
    <w:rsid w:val="00B13836"/>
    <w:rsid w:val="00B21723"/>
    <w:rsid w:val="00B257B8"/>
    <w:rsid w:val="00B2645A"/>
    <w:rsid w:val="00B26EAA"/>
    <w:rsid w:val="00B30816"/>
    <w:rsid w:val="00B3224B"/>
    <w:rsid w:val="00B32BED"/>
    <w:rsid w:val="00B4106B"/>
    <w:rsid w:val="00B436D0"/>
    <w:rsid w:val="00B43782"/>
    <w:rsid w:val="00B44C57"/>
    <w:rsid w:val="00B45E88"/>
    <w:rsid w:val="00B47640"/>
    <w:rsid w:val="00B50C3B"/>
    <w:rsid w:val="00B51863"/>
    <w:rsid w:val="00B52337"/>
    <w:rsid w:val="00B52F02"/>
    <w:rsid w:val="00B52F0C"/>
    <w:rsid w:val="00B52FCE"/>
    <w:rsid w:val="00B56E3B"/>
    <w:rsid w:val="00B56EA6"/>
    <w:rsid w:val="00B56FE9"/>
    <w:rsid w:val="00B579B5"/>
    <w:rsid w:val="00B60922"/>
    <w:rsid w:val="00B639F2"/>
    <w:rsid w:val="00B71DA3"/>
    <w:rsid w:val="00B73840"/>
    <w:rsid w:val="00B76647"/>
    <w:rsid w:val="00B76A87"/>
    <w:rsid w:val="00B76C30"/>
    <w:rsid w:val="00B77A09"/>
    <w:rsid w:val="00B85049"/>
    <w:rsid w:val="00B86224"/>
    <w:rsid w:val="00B8768B"/>
    <w:rsid w:val="00BA5767"/>
    <w:rsid w:val="00BB5BBD"/>
    <w:rsid w:val="00BB5FC0"/>
    <w:rsid w:val="00BB7AD2"/>
    <w:rsid w:val="00BC07BD"/>
    <w:rsid w:val="00BC352A"/>
    <w:rsid w:val="00BC48FE"/>
    <w:rsid w:val="00BD168C"/>
    <w:rsid w:val="00BE21D9"/>
    <w:rsid w:val="00BE4433"/>
    <w:rsid w:val="00BE67CB"/>
    <w:rsid w:val="00BF6C52"/>
    <w:rsid w:val="00BF6E7A"/>
    <w:rsid w:val="00BF72F5"/>
    <w:rsid w:val="00C10A23"/>
    <w:rsid w:val="00C13EE0"/>
    <w:rsid w:val="00C21217"/>
    <w:rsid w:val="00C21374"/>
    <w:rsid w:val="00C239A1"/>
    <w:rsid w:val="00C25981"/>
    <w:rsid w:val="00C3072F"/>
    <w:rsid w:val="00C33357"/>
    <w:rsid w:val="00C359D8"/>
    <w:rsid w:val="00C35B52"/>
    <w:rsid w:val="00C40A2C"/>
    <w:rsid w:val="00C40BDB"/>
    <w:rsid w:val="00C40C11"/>
    <w:rsid w:val="00C4783F"/>
    <w:rsid w:val="00C47ADB"/>
    <w:rsid w:val="00C52ED3"/>
    <w:rsid w:val="00C61892"/>
    <w:rsid w:val="00C647B1"/>
    <w:rsid w:val="00C649B2"/>
    <w:rsid w:val="00C64A81"/>
    <w:rsid w:val="00C66D14"/>
    <w:rsid w:val="00C66D29"/>
    <w:rsid w:val="00C67A70"/>
    <w:rsid w:val="00C67CC5"/>
    <w:rsid w:val="00C72763"/>
    <w:rsid w:val="00C76426"/>
    <w:rsid w:val="00C77EEA"/>
    <w:rsid w:val="00C803E1"/>
    <w:rsid w:val="00C807EA"/>
    <w:rsid w:val="00C80BB3"/>
    <w:rsid w:val="00C83282"/>
    <w:rsid w:val="00C83322"/>
    <w:rsid w:val="00C91131"/>
    <w:rsid w:val="00C91E2A"/>
    <w:rsid w:val="00CB3A12"/>
    <w:rsid w:val="00CC0B15"/>
    <w:rsid w:val="00CC2C39"/>
    <w:rsid w:val="00CC3B2E"/>
    <w:rsid w:val="00CC6072"/>
    <w:rsid w:val="00CD1A0E"/>
    <w:rsid w:val="00CD262F"/>
    <w:rsid w:val="00CD43DE"/>
    <w:rsid w:val="00CD66A6"/>
    <w:rsid w:val="00CD7604"/>
    <w:rsid w:val="00CD7E0A"/>
    <w:rsid w:val="00CE1ADB"/>
    <w:rsid w:val="00CE3701"/>
    <w:rsid w:val="00CE61ED"/>
    <w:rsid w:val="00CF7C10"/>
    <w:rsid w:val="00D143D5"/>
    <w:rsid w:val="00D2060E"/>
    <w:rsid w:val="00D23504"/>
    <w:rsid w:val="00D305FC"/>
    <w:rsid w:val="00D33E94"/>
    <w:rsid w:val="00D342B5"/>
    <w:rsid w:val="00D345CB"/>
    <w:rsid w:val="00D3491E"/>
    <w:rsid w:val="00D41FD8"/>
    <w:rsid w:val="00D45128"/>
    <w:rsid w:val="00D4525E"/>
    <w:rsid w:val="00D54AF2"/>
    <w:rsid w:val="00D54C78"/>
    <w:rsid w:val="00D603CB"/>
    <w:rsid w:val="00D61453"/>
    <w:rsid w:val="00D6751E"/>
    <w:rsid w:val="00D70379"/>
    <w:rsid w:val="00D705EF"/>
    <w:rsid w:val="00D811B0"/>
    <w:rsid w:val="00D82A13"/>
    <w:rsid w:val="00D861DD"/>
    <w:rsid w:val="00D876FA"/>
    <w:rsid w:val="00D9182D"/>
    <w:rsid w:val="00D92CEC"/>
    <w:rsid w:val="00D945FF"/>
    <w:rsid w:val="00D962B8"/>
    <w:rsid w:val="00D9653B"/>
    <w:rsid w:val="00DA0F0A"/>
    <w:rsid w:val="00DA42E6"/>
    <w:rsid w:val="00DB2225"/>
    <w:rsid w:val="00DB2E24"/>
    <w:rsid w:val="00DC0128"/>
    <w:rsid w:val="00DC36E8"/>
    <w:rsid w:val="00DD3AE4"/>
    <w:rsid w:val="00DD6016"/>
    <w:rsid w:val="00DE21E9"/>
    <w:rsid w:val="00DE3431"/>
    <w:rsid w:val="00DE5CBA"/>
    <w:rsid w:val="00DF5626"/>
    <w:rsid w:val="00DF59FE"/>
    <w:rsid w:val="00DF5F7A"/>
    <w:rsid w:val="00DF6595"/>
    <w:rsid w:val="00E04E9D"/>
    <w:rsid w:val="00E14B8A"/>
    <w:rsid w:val="00E237BC"/>
    <w:rsid w:val="00E2401C"/>
    <w:rsid w:val="00E27E3F"/>
    <w:rsid w:val="00E345CF"/>
    <w:rsid w:val="00E40215"/>
    <w:rsid w:val="00E42764"/>
    <w:rsid w:val="00E43F2A"/>
    <w:rsid w:val="00E456B2"/>
    <w:rsid w:val="00E45A9F"/>
    <w:rsid w:val="00E52444"/>
    <w:rsid w:val="00E53AD4"/>
    <w:rsid w:val="00E60B3F"/>
    <w:rsid w:val="00E61CD0"/>
    <w:rsid w:val="00E66234"/>
    <w:rsid w:val="00E73E43"/>
    <w:rsid w:val="00E7509C"/>
    <w:rsid w:val="00E755F5"/>
    <w:rsid w:val="00E759F1"/>
    <w:rsid w:val="00E75F34"/>
    <w:rsid w:val="00E770B3"/>
    <w:rsid w:val="00E776F7"/>
    <w:rsid w:val="00E8116F"/>
    <w:rsid w:val="00E8132B"/>
    <w:rsid w:val="00E866F7"/>
    <w:rsid w:val="00E86D5A"/>
    <w:rsid w:val="00E86DAE"/>
    <w:rsid w:val="00E93B54"/>
    <w:rsid w:val="00E93DA7"/>
    <w:rsid w:val="00E9654A"/>
    <w:rsid w:val="00E967FC"/>
    <w:rsid w:val="00EA1DE3"/>
    <w:rsid w:val="00EB3CBB"/>
    <w:rsid w:val="00EB45F3"/>
    <w:rsid w:val="00EB6A31"/>
    <w:rsid w:val="00EB7D27"/>
    <w:rsid w:val="00EC166D"/>
    <w:rsid w:val="00EC1CE8"/>
    <w:rsid w:val="00EC5897"/>
    <w:rsid w:val="00EC6583"/>
    <w:rsid w:val="00EC7233"/>
    <w:rsid w:val="00ED3B00"/>
    <w:rsid w:val="00ED53EF"/>
    <w:rsid w:val="00ED742C"/>
    <w:rsid w:val="00EE21C5"/>
    <w:rsid w:val="00EE53DC"/>
    <w:rsid w:val="00EF3877"/>
    <w:rsid w:val="00EF706E"/>
    <w:rsid w:val="00F003AA"/>
    <w:rsid w:val="00F00F4B"/>
    <w:rsid w:val="00F10FF9"/>
    <w:rsid w:val="00F140F5"/>
    <w:rsid w:val="00F1421B"/>
    <w:rsid w:val="00F14D71"/>
    <w:rsid w:val="00F17D8D"/>
    <w:rsid w:val="00F24401"/>
    <w:rsid w:val="00F248B8"/>
    <w:rsid w:val="00F3154F"/>
    <w:rsid w:val="00F333AA"/>
    <w:rsid w:val="00F356A1"/>
    <w:rsid w:val="00F36C29"/>
    <w:rsid w:val="00F37651"/>
    <w:rsid w:val="00F37A33"/>
    <w:rsid w:val="00F40820"/>
    <w:rsid w:val="00F42138"/>
    <w:rsid w:val="00F4516F"/>
    <w:rsid w:val="00F500EB"/>
    <w:rsid w:val="00F51149"/>
    <w:rsid w:val="00F534FE"/>
    <w:rsid w:val="00F577E0"/>
    <w:rsid w:val="00F63500"/>
    <w:rsid w:val="00F654FF"/>
    <w:rsid w:val="00F67DF6"/>
    <w:rsid w:val="00F71CB6"/>
    <w:rsid w:val="00F731E4"/>
    <w:rsid w:val="00F75947"/>
    <w:rsid w:val="00F805D4"/>
    <w:rsid w:val="00F81208"/>
    <w:rsid w:val="00F81B70"/>
    <w:rsid w:val="00F82987"/>
    <w:rsid w:val="00F836B2"/>
    <w:rsid w:val="00F861DA"/>
    <w:rsid w:val="00F86493"/>
    <w:rsid w:val="00F9111E"/>
    <w:rsid w:val="00F92729"/>
    <w:rsid w:val="00F9360B"/>
    <w:rsid w:val="00F971D0"/>
    <w:rsid w:val="00F97AFF"/>
    <w:rsid w:val="00FA04D1"/>
    <w:rsid w:val="00FA0D0F"/>
    <w:rsid w:val="00FA0D29"/>
    <w:rsid w:val="00FA1491"/>
    <w:rsid w:val="00FA78DB"/>
    <w:rsid w:val="00FB4B97"/>
    <w:rsid w:val="00FC01DA"/>
    <w:rsid w:val="00FC0E4E"/>
    <w:rsid w:val="00FC1614"/>
    <w:rsid w:val="00FC1FF4"/>
    <w:rsid w:val="00FC6B85"/>
    <w:rsid w:val="00FD0674"/>
    <w:rsid w:val="00FD0F21"/>
    <w:rsid w:val="00FD4D41"/>
    <w:rsid w:val="00FD53F7"/>
    <w:rsid w:val="00FE1A8B"/>
    <w:rsid w:val="00FE1F3C"/>
    <w:rsid w:val="00FE424A"/>
    <w:rsid w:val="00FE45A4"/>
    <w:rsid w:val="00FE4C3E"/>
    <w:rsid w:val="00FE7C1A"/>
    <w:rsid w:val="00FF1212"/>
    <w:rsid w:val="00FF2341"/>
    <w:rsid w:val="00FF7E8C"/>
    <w:rsid w:val="0F5A68DD"/>
    <w:rsid w:val="19B20738"/>
    <w:rsid w:val="1EF0652A"/>
    <w:rsid w:val="22247B80"/>
    <w:rsid w:val="28C327FA"/>
    <w:rsid w:val="2A5E41E8"/>
    <w:rsid w:val="2F4E2672"/>
    <w:rsid w:val="33F63DC1"/>
    <w:rsid w:val="3B7D40B5"/>
    <w:rsid w:val="3BD57BA4"/>
    <w:rsid w:val="3FC27A03"/>
    <w:rsid w:val="489801ED"/>
    <w:rsid w:val="496B5415"/>
    <w:rsid w:val="4AFB54B2"/>
    <w:rsid w:val="4B7C1AE3"/>
    <w:rsid w:val="4C0871B3"/>
    <w:rsid w:val="585B5F86"/>
    <w:rsid w:val="6ECA6005"/>
    <w:rsid w:val="7A607535"/>
    <w:rsid w:val="7C27295F"/>
    <w:rsid w:val="7D801697"/>
    <w:rsid w:val="7FCB010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9" w:name="heading 3" w:locked="1"/>
    <w:lsdException w:qFormat="1" w:unhideWhenUsed="0" w:uiPriority="99" w:semiHidden="0" w:name="heading 4" w:locked="1"/>
    <w:lsdException w:qFormat="1" w:uiPriority="9" w:name="heading 5" w:locked="1"/>
    <w:lsdException w:qFormat="1" w:unhideWhenUsed="0" w:uiPriority="99" w:semiHidden="0" w:name="heading 6"/>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qFormat="1" w:unhideWhenUsed="0" w:uiPriority="99"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qFormat="1" w:unhideWhenUsed="0" w:uiPriority="99" w:name="Body Text First Indent 2"/>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0"/>
    <w:qFormat/>
    <w:uiPriority w:val="99"/>
    <w:pPr>
      <w:keepNext/>
      <w:keepLines/>
      <w:spacing w:before="340" w:after="330" w:line="576" w:lineRule="auto"/>
      <w:outlineLvl w:val="0"/>
    </w:pPr>
    <w:rPr>
      <w:rFonts w:ascii="Calibri" w:hAnsi="Calibri" w:cs="Calibri"/>
      <w:b/>
      <w:bCs/>
      <w:kern w:val="44"/>
      <w:sz w:val="44"/>
      <w:szCs w:val="44"/>
    </w:rPr>
  </w:style>
  <w:style w:type="paragraph" w:styleId="3">
    <w:name w:val="heading 2"/>
    <w:basedOn w:val="1"/>
    <w:next w:val="1"/>
    <w:link w:val="21"/>
    <w:qFormat/>
    <w:locked/>
    <w:uiPriority w:val="99"/>
    <w:pPr>
      <w:keepNext/>
      <w:keepLines/>
      <w:spacing w:before="260" w:after="260" w:line="416" w:lineRule="auto"/>
      <w:outlineLvl w:val="1"/>
    </w:pPr>
    <w:rPr>
      <w:rFonts w:ascii="Cambria" w:hAnsi="Cambria" w:cs="Cambria"/>
      <w:b/>
      <w:bCs/>
      <w:kern w:val="0"/>
      <w:sz w:val="32"/>
      <w:szCs w:val="32"/>
    </w:rPr>
  </w:style>
  <w:style w:type="paragraph" w:styleId="4">
    <w:name w:val="heading 4"/>
    <w:basedOn w:val="1"/>
    <w:next w:val="1"/>
    <w:link w:val="22"/>
    <w:qFormat/>
    <w:locked/>
    <w:uiPriority w:val="99"/>
    <w:pPr>
      <w:keepNext/>
      <w:keepLines/>
      <w:spacing w:before="280" w:after="290" w:line="376" w:lineRule="auto"/>
      <w:outlineLvl w:val="3"/>
    </w:pPr>
    <w:rPr>
      <w:rFonts w:ascii="Cambria" w:hAnsi="Cambria" w:cs="Cambria"/>
      <w:b/>
      <w:bCs/>
      <w:kern w:val="0"/>
      <w:sz w:val="28"/>
      <w:szCs w:val="28"/>
    </w:rPr>
  </w:style>
  <w:style w:type="paragraph" w:styleId="5">
    <w:name w:val="heading 6"/>
    <w:basedOn w:val="1"/>
    <w:next w:val="1"/>
    <w:link w:val="23"/>
    <w:qFormat/>
    <w:uiPriority w:val="99"/>
    <w:pPr>
      <w:keepNext/>
      <w:keepLines/>
      <w:spacing w:before="240" w:after="64" w:line="320" w:lineRule="auto"/>
      <w:outlineLvl w:val="5"/>
    </w:pPr>
    <w:rPr>
      <w:rFonts w:ascii="Cambria" w:hAnsi="Cambria" w:cs="Cambria"/>
      <w:b/>
      <w:bCs/>
      <w:kern w:val="0"/>
      <w:sz w:val="24"/>
      <w:szCs w:val="24"/>
    </w:rPr>
  </w:style>
  <w:style w:type="character" w:default="1" w:styleId="17">
    <w:name w:val="Default Paragraph Font"/>
    <w:semiHidden/>
    <w:qFormat/>
    <w:uiPriority w:val="99"/>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4"/>
    <w:semiHidden/>
    <w:qFormat/>
    <w:uiPriority w:val="99"/>
    <w:pPr>
      <w:jc w:val="left"/>
    </w:pPr>
    <w:rPr>
      <w:rFonts w:ascii="Calibri" w:hAnsi="Calibri" w:cs="Calibri"/>
      <w:kern w:val="0"/>
      <w:sz w:val="24"/>
      <w:szCs w:val="24"/>
    </w:rPr>
  </w:style>
  <w:style w:type="paragraph" w:styleId="7">
    <w:name w:val="Body Text"/>
    <w:basedOn w:val="1"/>
    <w:link w:val="25"/>
    <w:qFormat/>
    <w:uiPriority w:val="99"/>
    <w:pPr>
      <w:spacing w:after="120"/>
    </w:pPr>
    <w:rPr>
      <w:kern w:val="0"/>
      <w:sz w:val="24"/>
      <w:szCs w:val="24"/>
    </w:rPr>
  </w:style>
  <w:style w:type="paragraph" w:styleId="8">
    <w:name w:val="Body Text Indent"/>
    <w:basedOn w:val="1"/>
    <w:link w:val="26"/>
    <w:semiHidden/>
    <w:qFormat/>
    <w:uiPriority w:val="99"/>
    <w:pPr>
      <w:spacing w:after="120"/>
      <w:ind w:left="420" w:leftChars="200"/>
    </w:pPr>
    <w:rPr>
      <w:kern w:val="0"/>
      <w:sz w:val="24"/>
      <w:szCs w:val="24"/>
    </w:rPr>
  </w:style>
  <w:style w:type="paragraph" w:styleId="9">
    <w:name w:val="Body Text Indent 2"/>
    <w:basedOn w:val="1"/>
    <w:link w:val="27"/>
    <w:qFormat/>
    <w:uiPriority w:val="99"/>
    <w:pPr>
      <w:spacing w:after="120" w:line="480" w:lineRule="auto"/>
      <w:ind w:left="420" w:leftChars="200"/>
    </w:pPr>
    <w:rPr>
      <w:kern w:val="0"/>
      <w:sz w:val="24"/>
      <w:szCs w:val="24"/>
    </w:rPr>
  </w:style>
  <w:style w:type="paragraph" w:styleId="10">
    <w:name w:val="Balloon Text"/>
    <w:basedOn w:val="1"/>
    <w:link w:val="28"/>
    <w:semiHidden/>
    <w:qFormat/>
    <w:uiPriority w:val="99"/>
    <w:rPr>
      <w:kern w:val="0"/>
      <w:sz w:val="18"/>
      <w:szCs w:val="18"/>
    </w:rPr>
  </w:style>
  <w:style w:type="paragraph" w:styleId="11">
    <w:name w:val="footer"/>
    <w:basedOn w:val="1"/>
    <w:link w:val="29"/>
    <w:qFormat/>
    <w:uiPriority w:val="99"/>
    <w:pPr>
      <w:tabs>
        <w:tab w:val="center" w:pos="4153"/>
        <w:tab w:val="right" w:pos="8306"/>
      </w:tabs>
      <w:snapToGrid w:val="0"/>
      <w:jc w:val="left"/>
    </w:pPr>
    <w:rPr>
      <w:rFonts w:ascii="等线" w:hAnsi="等线" w:eastAsia="等线" w:cs="等线"/>
      <w:kern w:val="0"/>
      <w:sz w:val="18"/>
      <w:szCs w:val="18"/>
    </w:rPr>
  </w:style>
  <w:style w:type="paragraph" w:styleId="12">
    <w:name w:val="header"/>
    <w:basedOn w:val="1"/>
    <w:link w:val="30"/>
    <w:qFormat/>
    <w:uiPriority w:val="99"/>
    <w:pPr>
      <w:pBdr>
        <w:bottom w:val="single" w:color="auto" w:sz="6" w:space="1"/>
      </w:pBdr>
      <w:tabs>
        <w:tab w:val="center" w:pos="4153"/>
        <w:tab w:val="right" w:pos="8306"/>
      </w:tabs>
      <w:snapToGrid w:val="0"/>
      <w:jc w:val="center"/>
    </w:pPr>
    <w:rPr>
      <w:rFonts w:ascii="等线" w:hAnsi="等线" w:eastAsia="等线" w:cs="等线"/>
      <w:kern w:val="0"/>
      <w:sz w:val="18"/>
      <w:szCs w:val="18"/>
    </w:rPr>
  </w:style>
  <w:style w:type="paragraph" w:styleId="13">
    <w:name w:val="annotation subject"/>
    <w:basedOn w:val="6"/>
    <w:next w:val="6"/>
    <w:link w:val="31"/>
    <w:semiHidden/>
    <w:qFormat/>
    <w:uiPriority w:val="99"/>
    <w:rPr>
      <w:rFonts w:ascii="Times New Roman" w:hAnsi="Times New Roman" w:cs="Times New Roman"/>
      <w:b/>
      <w:bCs/>
    </w:rPr>
  </w:style>
  <w:style w:type="paragraph" w:styleId="14">
    <w:name w:val="Body Text First Indent 2"/>
    <w:basedOn w:val="8"/>
    <w:link w:val="32"/>
    <w:semiHidden/>
    <w:qFormat/>
    <w:uiPriority w:val="99"/>
    <w:pPr>
      <w:spacing w:line="360" w:lineRule="auto"/>
      <w:ind w:firstLine="420" w:firstLineChars="200"/>
      <w:jc w:val="left"/>
    </w:pPr>
  </w:style>
  <w:style w:type="table" w:styleId="16">
    <w:name w:val="Table Grid"/>
    <w:basedOn w:val="15"/>
    <w:qFormat/>
    <w:locked/>
    <w:uiPriority w:val="99"/>
    <w:pPr>
      <w:widowControl w:val="0"/>
      <w:jc w:val="both"/>
    </w:pPr>
    <w:rPr>
      <w:rFonts w:cs="等线"/>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page number"/>
    <w:basedOn w:val="17"/>
    <w:qFormat/>
    <w:uiPriority w:val="99"/>
  </w:style>
  <w:style w:type="character" w:styleId="19">
    <w:name w:val="annotation reference"/>
    <w:basedOn w:val="17"/>
    <w:semiHidden/>
    <w:qFormat/>
    <w:uiPriority w:val="99"/>
    <w:rPr>
      <w:sz w:val="21"/>
      <w:szCs w:val="21"/>
    </w:rPr>
  </w:style>
  <w:style w:type="character" w:customStyle="1" w:styleId="20">
    <w:name w:val="Heading 1 Char"/>
    <w:basedOn w:val="17"/>
    <w:link w:val="2"/>
    <w:qFormat/>
    <w:locked/>
    <w:uiPriority w:val="99"/>
    <w:rPr>
      <w:rFonts w:ascii="Calibri" w:hAnsi="Calibri" w:eastAsia="宋体" w:cs="Calibri"/>
      <w:b/>
      <w:bCs/>
      <w:kern w:val="44"/>
      <w:sz w:val="44"/>
      <w:szCs w:val="44"/>
    </w:rPr>
  </w:style>
  <w:style w:type="character" w:customStyle="1" w:styleId="21">
    <w:name w:val="Heading 2 Char"/>
    <w:basedOn w:val="17"/>
    <w:link w:val="3"/>
    <w:semiHidden/>
    <w:qFormat/>
    <w:locked/>
    <w:uiPriority w:val="99"/>
    <w:rPr>
      <w:rFonts w:ascii="Cambria" w:hAnsi="Cambria" w:eastAsia="宋体" w:cs="Cambria"/>
      <w:b/>
      <w:bCs/>
      <w:sz w:val="32"/>
      <w:szCs w:val="32"/>
    </w:rPr>
  </w:style>
  <w:style w:type="character" w:customStyle="1" w:styleId="22">
    <w:name w:val="Heading 4 Char"/>
    <w:basedOn w:val="17"/>
    <w:link w:val="4"/>
    <w:semiHidden/>
    <w:qFormat/>
    <w:locked/>
    <w:uiPriority w:val="99"/>
    <w:rPr>
      <w:rFonts w:ascii="Cambria" w:hAnsi="Cambria" w:eastAsia="宋体" w:cs="Cambria"/>
      <w:b/>
      <w:bCs/>
      <w:sz w:val="28"/>
      <w:szCs w:val="28"/>
    </w:rPr>
  </w:style>
  <w:style w:type="character" w:customStyle="1" w:styleId="23">
    <w:name w:val="Heading 6 Char"/>
    <w:basedOn w:val="17"/>
    <w:link w:val="5"/>
    <w:qFormat/>
    <w:locked/>
    <w:uiPriority w:val="99"/>
    <w:rPr>
      <w:rFonts w:ascii="Cambria" w:hAnsi="Cambria" w:eastAsia="宋体" w:cs="Cambria"/>
      <w:b/>
      <w:bCs/>
      <w:kern w:val="0"/>
      <w:sz w:val="24"/>
      <w:szCs w:val="24"/>
    </w:rPr>
  </w:style>
  <w:style w:type="character" w:customStyle="1" w:styleId="24">
    <w:name w:val="Comment Text Char"/>
    <w:basedOn w:val="17"/>
    <w:link w:val="6"/>
    <w:qFormat/>
    <w:locked/>
    <w:uiPriority w:val="99"/>
    <w:rPr>
      <w:rFonts w:ascii="Calibri" w:hAnsi="Calibri" w:eastAsia="宋体" w:cs="Calibri"/>
      <w:sz w:val="24"/>
      <w:szCs w:val="24"/>
    </w:rPr>
  </w:style>
  <w:style w:type="character" w:customStyle="1" w:styleId="25">
    <w:name w:val="Body Text Char"/>
    <w:basedOn w:val="17"/>
    <w:link w:val="7"/>
    <w:semiHidden/>
    <w:qFormat/>
    <w:locked/>
    <w:uiPriority w:val="99"/>
    <w:rPr>
      <w:rFonts w:ascii="Times New Roman" w:hAnsi="Times New Roman" w:eastAsia="宋体" w:cs="Times New Roman"/>
      <w:sz w:val="24"/>
      <w:szCs w:val="24"/>
    </w:rPr>
  </w:style>
  <w:style w:type="character" w:customStyle="1" w:styleId="26">
    <w:name w:val="Body Text Indent Char"/>
    <w:basedOn w:val="17"/>
    <w:link w:val="8"/>
    <w:semiHidden/>
    <w:qFormat/>
    <w:locked/>
    <w:uiPriority w:val="99"/>
    <w:rPr>
      <w:rFonts w:ascii="Times New Roman" w:hAnsi="Times New Roman" w:eastAsia="宋体" w:cs="Times New Roman"/>
      <w:sz w:val="24"/>
      <w:szCs w:val="24"/>
    </w:rPr>
  </w:style>
  <w:style w:type="character" w:customStyle="1" w:styleId="27">
    <w:name w:val="Body Text Indent 2 Char"/>
    <w:basedOn w:val="17"/>
    <w:link w:val="9"/>
    <w:qFormat/>
    <w:locked/>
    <w:uiPriority w:val="99"/>
    <w:rPr>
      <w:rFonts w:ascii="Times New Roman" w:hAnsi="Times New Roman" w:eastAsia="宋体" w:cs="Times New Roman"/>
      <w:kern w:val="0"/>
      <w:sz w:val="24"/>
      <w:szCs w:val="24"/>
    </w:rPr>
  </w:style>
  <w:style w:type="character" w:customStyle="1" w:styleId="28">
    <w:name w:val="Balloon Text Char"/>
    <w:basedOn w:val="17"/>
    <w:link w:val="10"/>
    <w:semiHidden/>
    <w:qFormat/>
    <w:locked/>
    <w:uiPriority w:val="99"/>
    <w:rPr>
      <w:rFonts w:ascii="Times New Roman" w:hAnsi="Times New Roman" w:eastAsia="宋体" w:cs="Times New Roman"/>
      <w:sz w:val="18"/>
      <w:szCs w:val="18"/>
    </w:rPr>
  </w:style>
  <w:style w:type="character" w:customStyle="1" w:styleId="29">
    <w:name w:val="Footer Char"/>
    <w:basedOn w:val="17"/>
    <w:link w:val="11"/>
    <w:qFormat/>
    <w:locked/>
    <w:uiPriority w:val="99"/>
    <w:rPr>
      <w:sz w:val="18"/>
      <w:szCs w:val="18"/>
    </w:rPr>
  </w:style>
  <w:style w:type="character" w:customStyle="1" w:styleId="30">
    <w:name w:val="Header Char"/>
    <w:basedOn w:val="17"/>
    <w:link w:val="12"/>
    <w:qFormat/>
    <w:locked/>
    <w:uiPriority w:val="99"/>
    <w:rPr>
      <w:sz w:val="18"/>
      <w:szCs w:val="18"/>
    </w:rPr>
  </w:style>
  <w:style w:type="character" w:customStyle="1" w:styleId="31">
    <w:name w:val="Comment Subject Char"/>
    <w:basedOn w:val="24"/>
    <w:link w:val="13"/>
    <w:semiHidden/>
    <w:qFormat/>
    <w:locked/>
    <w:uiPriority w:val="99"/>
    <w:rPr>
      <w:rFonts w:ascii="Times New Roman" w:hAnsi="Times New Roman" w:cs="Times New Roman"/>
      <w:b/>
      <w:bCs/>
    </w:rPr>
  </w:style>
  <w:style w:type="character" w:customStyle="1" w:styleId="32">
    <w:name w:val="Body Text First Indent 2 Char"/>
    <w:basedOn w:val="26"/>
    <w:link w:val="14"/>
    <w:semiHidden/>
    <w:qFormat/>
    <w:locked/>
    <w:uiPriority w:val="99"/>
    <w:rPr>
      <w:kern w:val="0"/>
    </w:rPr>
  </w:style>
  <w:style w:type="character" w:customStyle="1" w:styleId="33">
    <w:name w:val="标题 3 Char Char Char"/>
    <w:qFormat/>
    <w:uiPriority w:val="99"/>
    <w:rPr>
      <w:rFonts w:eastAsia="宋体"/>
      <w:b/>
      <w:bCs/>
      <w:kern w:val="2"/>
      <w:sz w:val="32"/>
      <w:szCs w:val="32"/>
      <w:lang w:val="en-US" w:eastAsia="zh-CN"/>
    </w:rPr>
  </w:style>
  <w:style w:type="character" w:customStyle="1" w:styleId="34">
    <w:name w:val="Char Char74"/>
    <w:qFormat/>
    <w:uiPriority w:val="99"/>
    <w:rPr>
      <w:rFonts w:ascii="Courier New" w:hAnsi="Courier New" w:cs="Courier New"/>
      <w:b/>
      <w:bCs/>
      <w:kern w:val="44"/>
      <w:sz w:val="44"/>
      <w:szCs w:val="44"/>
    </w:rPr>
  </w:style>
  <w:style w:type="paragraph" w:customStyle="1" w:styleId="35">
    <w:name w:val="正文首行缩进两字符"/>
    <w:basedOn w:val="1"/>
    <w:qFormat/>
    <w:uiPriority w:val="99"/>
    <w:pPr>
      <w:spacing w:line="360" w:lineRule="auto"/>
      <w:ind w:firstLine="200" w:firstLineChars="200"/>
    </w:pPr>
    <w:rPr>
      <w:rFonts w:ascii="宋体" w:cs="宋体"/>
      <w:kern w:val="0"/>
      <w:sz w:val="34"/>
      <w:szCs w:val="34"/>
    </w:rPr>
  </w:style>
  <w:style w:type="paragraph" w:customStyle="1" w:styleId="36">
    <w:name w:val="列出段落1"/>
    <w:basedOn w:val="1"/>
    <w:qFormat/>
    <w:uiPriority w:val="99"/>
    <w:pPr>
      <w:ind w:firstLine="420" w:firstLineChars="200"/>
    </w:pPr>
  </w:style>
  <w:style w:type="character" w:customStyle="1" w:styleId="37">
    <w:name w:val="批注文字 字符2"/>
    <w:qFormat/>
    <w:uiPriority w:val="99"/>
    <w:rPr>
      <w:rFonts w:ascii="宋体" w:cs="宋体"/>
      <w:sz w:val="34"/>
      <w:szCs w:val="34"/>
    </w:rPr>
  </w:style>
  <w:style w:type="character" w:customStyle="1" w:styleId="38">
    <w:name w:val="Char Char15"/>
    <w:qFormat/>
    <w:uiPriority w:val="99"/>
    <w:rPr>
      <w:rFonts w:ascii="宋体" w:eastAsia="宋体" w:cs="宋体"/>
      <w:color w:val="000000"/>
      <w:sz w:val="34"/>
      <w:szCs w:val="34"/>
    </w:rPr>
  </w:style>
  <w:style w:type="paragraph" w:styleId="39">
    <w:name w:val="List Paragraph"/>
    <w:basedOn w:val="1"/>
    <w:link w:val="40"/>
    <w:qFormat/>
    <w:uiPriority w:val="99"/>
    <w:pPr>
      <w:ind w:firstLine="420" w:firstLineChars="200"/>
    </w:pPr>
    <w:rPr>
      <w:rFonts w:ascii="Calibri" w:hAnsi="Calibri" w:cs="Calibri"/>
      <w:kern w:val="0"/>
      <w:sz w:val="20"/>
      <w:szCs w:val="20"/>
    </w:rPr>
  </w:style>
  <w:style w:type="character" w:customStyle="1" w:styleId="40">
    <w:name w:val="List Paragraph Char"/>
    <w:link w:val="39"/>
    <w:qFormat/>
    <w:locked/>
    <w:uiPriority w:val="99"/>
    <w:rPr>
      <w:rFonts w:ascii="Calibri" w:hAnsi="Calibri" w:eastAsia="宋体" w:cs="Calibri"/>
      <w:lang w:val="en-US" w:eastAsia="zh-CN"/>
    </w:rPr>
  </w:style>
  <w:style w:type="paragraph" w:customStyle="1" w:styleId="41">
    <w:name w:val="正文首行缩进1"/>
    <w:basedOn w:val="1"/>
    <w:next w:val="1"/>
    <w:semiHidden/>
    <w:qFormat/>
    <w:uiPriority w:val="99"/>
    <w:pPr>
      <w:spacing w:before="100" w:beforeAutospacing="1" w:after="120"/>
      <w:ind w:firstLine="420" w:firstLineChars="100"/>
    </w:pPr>
  </w:style>
  <w:style w:type="character" w:customStyle="1" w:styleId="42">
    <w:name w:val="Char Char8"/>
    <w:qFormat/>
    <w:uiPriority w:val="99"/>
    <w:rPr>
      <w:rFonts w:eastAsia="宋体"/>
      <w:kern w:val="2"/>
      <w:sz w:val="18"/>
      <w:szCs w:val="18"/>
      <w:lang w:val="en-US" w:eastAsia="zh-CN"/>
    </w:rPr>
  </w:style>
  <w:style w:type="character" w:customStyle="1" w:styleId="43">
    <w:name w:val="Char Char2"/>
    <w:qFormat/>
    <w:locked/>
    <w:uiPriority w:val="99"/>
    <w:rPr>
      <w:rFonts w:ascii="宋体" w:hAnsi="宋体" w:eastAsia="宋体" w:cs="宋体"/>
      <w:sz w:val="34"/>
      <w:szCs w:val="34"/>
      <w:lang w:val="en-US" w:eastAsia="zh-CN"/>
    </w:rPr>
  </w:style>
  <w:style w:type="paragraph" w:customStyle="1" w:styleId="44">
    <w:name w:val="_正文段落"/>
    <w:basedOn w:val="1"/>
    <w:qFormat/>
    <w:uiPriority w:val="99"/>
    <w:pPr>
      <w:spacing w:beforeLines="15" w:afterLines="15" w:line="360" w:lineRule="auto"/>
      <w:ind w:firstLine="200" w:firstLineChars="200"/>
    </w:pPr>
    <w:rPr>
      <w:rFonts w:ascii="宋体" w:hAnsi="Calibri" w:eastAsia="Times New Roman" w:cs="宋体"/>
      <w:kern w:val="0"/>
      <w:sz w:val="28"/>
      <w:szCs w:val="28"/>
    </w:rPr>
  </w:style>
  <w:style w:type="character" w:customStyle="1" w:styleId="45">
    <w:name w:val="Char Char21"/>
    <w:qFormat/>
    <w:uiPriority w:val="99"/>
    <w:rPr>
      <w:rFonts w:ascii="宋体" w:eastAsia="宋体" w:cs="宋体"/>
      <w:sz w:val="34"/>
      <w:szCs w:val="34"/>
      <w:lang w:val="en-US" w:eastAsia="zh-CN"/>
    </w:rPr>
  </w:style>
  <w:style w:type="paragraph" w:customStyle="1" w:styleId="46">
    <w:name w:val="表格"/>
    <w:basedOn w:val="1"/>
    <w:qFormat/>
    <w:uiPriority w:val="99"/>
    <w:pPr>
      <w:spacing w:line="400" w:lineRule="exact"/>
    </w:pPr>
    <w:rPr>
      <w:sz w:val="24"/>
      <w:szCs w:val="24"/>
    </w:rPr>
  </w:style>
  <w:style w:type="paragraph" w:customStyle="1" w:styleId="47">
    <w:name w:val="15、“一、”二级标题"/>
    <w:basedOn w:val="1"/>
    <w:qFormat/>
    <w:uiPriority w:val="99"/>
    <w:pPr>
      <w:tabs>
        <w:tab w:val="left" w:pos="0"/>
      </w:tabs>
      <w:wordWrap w:val="0"/>
      <w:topLinePunct/>
      <w:autoSpaceDE w:val="0"/>
      <w:autoSpaceDN w:val="0"/>
      <w:ind w:firstLine="803" w:firstLineChars="200"/>
      <w:jc w:val="left"/>
      <w:outlineLvl w:val="1"/>
    </w:pPr>
    <w:rPr>
      <w:rFonts w:ascii="宋体" w:hAnsi="宋体" w:cs="宋体"/>
      <w:b/>
      <w:bCs/>
      <w:kern w:val="0"/>
      <w:sz w:val="22"/>
      <w:szCs w:val="22"/>
      <w:u w:color="000000"/>
      <w:lang w:val="zh-CN"/>
    </w:rPr>
  </w:style>
  <w:style w:type="paragraph" w:customStyle="1" w:styleId="48">
    <w:name w:val="05、“(一)”正文三级标题"/>
    <w:basedOn w:val="1"/>
    <w:qFormat/>
    <w:uiPriority w:val="99"/>
    <w:pPr>
      <w:numPr>
        <w:ilvl w:val="0"/>
        <w:numId w:val="1"/>
      </w:numPr>
      <w:tabs>
        <w:tab w:val="left" w:pos="0"/>
      </w:tabs>
      <w:wordWrap w:val="0"/>
      <w:topLinePunct/>
      <w:autoSpaceDE w:val="0"/>
      <w:autoSpaceDN w:val="0"/>
      <w:ind w:firstLine="803" w:firstLineChars="200"/>
      <w:jc w:val="left"/>
    </w:pPr>
    <w:rPr>
      <w:rFonts w:ascii="宋体" w:hAnsi="宋体" w:cs="宋体"/>
      <w:kern w:val="0"/>
      <w:sz w:val="22"/>
      <w:szCs w:val="22"/>
      <w:u w:color="000000"/>
      <w:lang w:val="zh-CN"/>
    </w:rPr>
  </w:style>
  <w:style w:type="paragraph" w:styleId="49">
    <w:name w:val="No Spacing"/>
    <w:qFormat/>
    <w:uiPriority w:val="99"/>
    <w:pPr>
      <w:widowControl w:val="0"/>
      <w:jc w:val="both"/>
    </w:pPr>
    <w:rPr>
      <w:rFonts w:ascii="Calibri" w:hAnsi="Calibri" w:eastAsia="宋体" w:cs="Calibri"/>
      <w:kern w:val="2"/>
      <w:sz w:val="21"/>
      <w:szCs w:val="21"/>
      <w:lang w:val="en-US" w:eastAsia="zh-CN" w:bidi="ar-SA"/>
    </w:rPr>
  </w:style>
  <w:style w:type="paragraph" w:customStyle="1" w:styleId="50">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8</Pages>
  <Words>3794</Words>
  <Characters>3968</Characters>
  <Lines>0</Lines>
  <Paragraphs>0</Paragraphs>
  <TotalTime>4</TotalTime>
  <ScaleCrop>false</ScaleCrop>
  <LinksUpToDate>false</LinksUpToDate>
  <CharactersWithSpaces>3980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2022-09-15T00:36:00Z</dcterms:created>
  <dc:creator>cheng</dc:creator>
  <cp:lastModifiedBy>cuiyao</cp:lastModifiedBy>
  <cp:lastPrinted>2021-12-02T01:03:00Z</cp:lastPrinted>
  <dcterms:modified xsi:type="dcterms:W3CDTF">2025-04-25T07:43:38Z</dcterms:modified>
  <dc:title>四川天府新区人民医院供应室设备采购项目比选文件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C1D8D55C0C304B1DB8598A718148E270</vt:lpwstr>
  </property>
</Properties>
</file>