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7B7D">
      <w:pPr>
        <w:pStyle w:val="2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3"/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Style w:val="33"/>
          <w:rFonts w:hint="eastAsia" w:ascii="黑体" w:hAnsi="黑体" w:eastAsia="黑体" w:cs="黑体"/>
          <w:b w:val="0"/>
          <w:bCs w:val="0"/>
          <w:sz w:val="28"/>
          <w:szCs w:val="28"/>
        </w:rPr>
        <w:t>四川天府新区人民医院</w:t>
      </w:r>
      <w:r>
        <w:rPr>
          <w:rStyle w:val="33"/>
          <w:rFonts w:hint="eastAsia" w:ascii="黑体" w:hAnsi="黑体" w:eastAsia="黑体" w:cs="黑体"/>
          <w:b w:val="0"/>
          <w:bCs w:val="0"/>
          <w:sz w:val="28"/>
          <w:szCs w:val="28"/>
          <w:lang w:val="en-US"/>
        </w:rPr>
        <w:t>2025年</w:t>
      </w:r>
      <w:r>
        <w:rPr>
          <w:rStyle w:val="33"/>
          <w:rFonts w:hint="eastAsia" w:ascii="黑体" w:hAnsi="黑体" w:eastAsia="黑体" w:cs="黑体"/>
          <w:b w:val="0"/>
          <w:bCs w:val="0"/>
          <w:sz w:val="28"/>
          <w:szCs w:val="28"/>
        </w:rPr>
        <w:t>护士工作鞋、头花及挂表采购项目</w:t>
      </w:r>
    </w:p>
    <w:p w14:paraId="31B9EA1B">
      <w:pPr>
        <w:pStyle w:val="2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3"/>
          <w:rFonts w:ascii="黑体" w:hAnsi="黑体" w:eastAsia="黑体" w:cs="Times New Roman"/>
          <w:b w:val="0"/>
          <w:bCs w:val="0"/>
          <w:sz w:val="28"/>
          <w:szCs w:val="28"/>
        </w:rPr>
      </w:pPr>
      <w:r>
        <w:rPr>
          <w:rStyle w:val="33"/>
          <w:rFonts w:hint="eastAsia" w:ascii="黑体" w:hAnsi="黑体" w:eastAsia="黑体" w:cs="黑体"/>
          <w:b w:val="0"/>
          <w:bCs w:val="0"/>
          <w:sz w:val="28"/>
          <w:szCs w:val="28"/>
        </w:rPr>
        <w:t>询价通知书</w:t>
      </w:r>
    </w:p>
    <w:p w14:paraId="21529BFE">
      <w:pPr>
        <w:spacing w:line="360" w:lineRule="auto"/>
        <w:rPr>
          <w:lang w:val="zh-CN"/>
        </w:rPr>
      </w:pPr>
      <w:bookmarkStart w:id="0" w:name="_Toc531764886"/>
      <w:bookmarkStart w:id="1" w:name="_Toc531665995"/>
      <w:bookmarkStart w:id="2" w:name="_Toc532292766"/>
      <w:bookmarkStart w:id="3" w:name="_Toc532877817"/>
      <w:bookmarkStart w:id="4" w:name="_Toc532292486"/>
      <w:bookmarkStart w:id="5" w:name="_Toc534008348"/>
      <w:bookmarkStart w:id="6" w:name="_Toc531661814"/>
      <w:bookmarkStart w:id="7" w:name="_Toc532292568"/>
      <w:bookmarkStart w:id="8" w:name="_Toc101338318"/>
    </w:p>
    <w:p w14:paraId="75CEF61B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一、采购编号：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504001</w:t>
      </w:r>
    </w:p>
    <w:p w14:paraId="7687F8D3">
      <w:pPr>
        <w:pStyle w:val="2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hAnsi="仿宋" w:eastAsia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</w:rPr>
        <w:t>四川天府新区人民医院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</w:rPr>
        <w:t>护士工作鞋、头花及挂表采购项目</w:t>
      </w:r>
    </w:p>
    <w:p w14:paraId="1B783866">
      <w:pPr>
        <w:widowControl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三、项目简介：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本项目共</w:t>
      </w:r>
      <w:r>
        <w:rPr>
          <w:rFonts w:ascii="仿宋" w:hAnsi="仿宋" w:eastAsia="仿宋" w:cs="仿宋"/>
          <w:spacing w:val="-2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个包，采购内容：因医院工作需要，拟采购护士工作鞋、头花及挂表。</w:t>
      </w:r>
    </w:p>
    <w:p w14:paraId="0B6560AE">
      <w:pPr>
        <w:widowControl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四、本项目最高限价：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预算金额：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75000</w:t>
      </w:r>
      <w:r>
        <w:rPr>
          <w:rFonts w:ascii="仿宋" w:hAnsi="仿宋" w:eastAsia="仿宋" w:cs="仿宋"/>
          <w:spacing w:val="-20"/>
          <w:sz w:val="28"/>
          <w:szCs w:val="28"/>
        </w:rPr>
        <w:t>.00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元；最高限价：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75000</w:t>
      </w:r>
      <w:r>
        <w:rPr>
          <w:rFonts w:ascii="仿宋" w:hAnsi="仿宋" w:eastAsia="仿宋" w:cs="仿宋"/>
          <w:spacing w:val="-20"/>
          <w:sz w:val="28"/>
          <w:szCs w:val="28"/>
        </w:rPr>
        <w:t>.00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元。报价超过预算金额或最高限价，作无效投标处理。（本项目所有运输、保险、装卸、安装、调试、培训、税费等一切相关费用均包含在报价中由中标人负责。）</w:t>
      </w:r>
    </w:p>
    <w:p w14:paraId="1451A9C0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hAnsi="仿宋" w:eastAsia="仿宋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家的，终止采购活动。</w:t>
      </w:r>
    </w:p>
    <w:p w14:paraId="3722F0D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hAnsi="仿宋" w:eastAsia="仿宋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六、本项目不允许分包或转包。</w:t>
      </w:r>
    </w:p>
    <w:p w14:paraId="4C7BBFB6">
      <w:pPr>
        <w:spacing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Style w:val="34"/>
          <w:rFonts w:hint="eastAsia" w:ascii="仿宋" w:hAnsi="仿宋" w:eastAsia="仿宋" w:cs="仿宋"/>
          <w:kern w:val="0"/>
          <w:sz w:val="28"/>
          <w:szCs w:val="28"/>
        </w:rPr>
        <w:t>七、供应商资格、资质性及其他类似效力要求：</w:t>
      </w:r>
    </w:p>
    <w:p w14:paraId="1350E606">
      <w:pPr>
        <w:pStyle w:val="5"/>
        <w:adjustRightInd w:val="0"/>
        <w:snapToGrid w:val="0"/>
        <w:spacing w:before="0" w:after="0"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（一）供应商资格、资质性及其他类似效力要求</w:t>
      </w:r>
    </w:p>
    <w:p w14:paraId="2093C672">
      <w:pPr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14:paraId="3CDEC9C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具有独立承担民事责任的能力；</w:t>
      </w:r>
    </w:p>
    <w:p w14:paraId="54D9609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具有良好的商业信誉和健全的财务会计制度；</w:t>
      </w:r>
    </w:p>
    <w:p w14:paraId="5426189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1.3 </w:t>
      </w:r>
      <w:r>
        <w:rPr>
          <w:rFonts w:hint="eastAsia" w:ascii="仿宋" w:hAnsi="仿宋" w:eastAsia="仿宋" w:cs="仿宋"/>
          <w:sz w:val="28"/>
          <w:szCs w:val="28"/>
        </w:rPr>
        <w:t>具有履行合同所必需的设备和专业技术能力；</w:t>
      </w:r>
    </w:p>
    <w:p w14:paraId="363641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1.4</w:t>
      </w:r>
      <w:r>
        <w:rPr>
          <w:rFonts w:hint="eastAsia" w:ascii="仿宋" w:hAnsi="仿宋" w:eastAsia="仿宋" w:cs="仿宋"/>
          <w:sz w:val="28"/>
          <w:szCs w:val="28"/>
        </w:rPr>
        <w:t>有依法缴纳税收和社会保障资金的良好记录；</w:t>
      </w:r>
    </w:p>
    <w:p w14:paraId="2F5043E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参加政府采购活动前三年内，在经营活动中没有重大违法记录；</w:t>
      </w:r>
    </w:p>
    <w:p w14:paraId="136BE59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1.6</w:t>
      </w:r>
      <w:r>
        <w:rPr>
          <w:rFonts w:hint="eastAsia" w:ascii="仿宋" w:hAnsi="仿宋" w:eastAsia="仿宋" w:cs="仿宋"/>
          <w:sz w:val="28"/>
          <w:szCs w:val="28"/>
        </w:rPr>
        <w:t>法律、行政法规规定的其他条件。</w:t>
      </w:r>
    </w:p>
    <w:p w14:paraId="7A5ADB4F">
      <w:pPr>
        <w:pStyle w:val="35"/>
        <w:ind w:firstLine="316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根据采购项目提出的特殊条件：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无</w:t>
      </w:r>
    </w:p>
    <w:p w14:paraId="2775893B">
      <w:pPr>
        <w:spacing w:line="360" w:lineRule="auto"/>
        <w:ind w:firstLine="551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其他类似效力要求：见第八第（三）点</w:t>
      </w:r>
    </w:p>
    <w:p w14:paraId="20606688">
      <w:pPr>
        <w:rPr>
          <w:rStyle w:val="34"/>
          <w:rFonts w:ascii="仿宋" w:hAnsi="仿宋" w:eastAsia="仿宋" w:cs="Times New Roman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八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、</w:t>
      </w:r>
      <w:r>
        <w:rPr>
          <w:rStyle w:val="34"/>
          <w:rFonts w:hint="eastAsia" w:ascii="仿宋" w:hAnsi="仿宋" w:eastAsia="仿宋" w:cs="仿宋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14:paraId="59FB9475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（一）、应当提供的资格、资质性文件及其他类似效力的要求的相关证明材料</w:t>
      </w:r>
    </w:p>
    <w:p w14:paraId="68DEDAE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bookmarkStart w:id="9" w:name="_Toc320624224"/>
      <w:bookmarkEnd w:id="9"/>
      <w:bookmarkStart w:id="10" w:name="_Toc320624218"/>
      <w:bookmarkEnd w:id="10"/>
      <w:bookmarkStart w:id="11" w:name="_Toc320624219"/>
      <w:bookmarkEnd w:id="11"/>
      <w:bookmarkStart w:id="12" w:name="_Toc320624220"/>
      <w:bookmarkEnd w:id="12"/>
      <w:bookmarkStart w:id="13" w:name="_Toc320624222"/>
      <w:bookmarkEnd w:id="13"/>
      <w:bookmarkStart w:id="14" w:name="_Toc320624223"/>
      <w:bookmarkEnd w:id="14"/>
      <w:bookmarkStart w:id="15" w:name="_Toc320624217"/>
      <w:bookmarkEnd w:id="15"/>
      <w:bookmarkStart w:id="16" w:name="_Toc320624213"/>
      <w:bookmarkEnd w:id="16"/>
      <w:bookmarkStart w:id="17" w:name="_Toc320624215"/>
      <w:bookmarkEnd w:id="17"/>
      <w:bookmarkStart w:id="18" w:name="_Toc320624214"/>
      <w:bookmarkEnd w:id="18"/>
      <w:bookmarkStart w:id="19" w:name="_Toc320624221"/>
      <w:bookmarkEnd w:id="19"/>
      <w:bookmarkStart w:id="20" w:name="_Toc320624212"/>
      <w:bookmarkEnd w:id="20"/>
      <w:bookmarkStart w:id="21" w:name="_Toc320624216"/>
      <w:bookmarkEnd w:id="21"/>
      <w:r>
        <w:rPr>
          <w:rFonts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具有独立承担民事责任的能力提供以下证明材料：</w:t>
      </w:r>
    </w:p>
    <w:p w14:paraId="3096ABCA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14:paraId="003C020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14:paraId="6BF1065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14:paraId="51EA86F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）供应商为个体工商户的提交有效的“统一社会信用代码的营业执照”或“营业执照、税务登记证”；</w:t>
      </w:r>
    </w:p>
    <w:p w14:paraId="744F8AE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）供应商为自然人的，提供“身份证明文件”。</w:t>
      </w:r>
    </w:p>
    <w:p w14:paraId="2605DF67">
      <w:pPr>
        <w:pStyle w:val="9"/>
        <w:spacing w:line="360" w:lineRule="auto"/>
        <w:ind w:left="258" w:leftChars="123"/>
        <w:rPr>
          <w:rFonts w:hAnsi="宋体"/>
          <w:b/>
          <w:bCs/>
        </w:rPr>
      </w:pPr>
      <w:r>
        <w:rPr>
          <w:rFonts w:hint="eastAsia" w:hAnsi="宋体" w:cs="宋体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int="eastAsia" w:hAnsi="宋体" w:cs="宋体"/>
          <w:b/>
          <w:bCs/>
        </w:rPr>
        <w:t>项具有同等的投标效力，提供任一项即可。</w:t>
      </w:r>
    </w:p>
    <w:p w14:paraId="7694648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51" w:firstLineChars="196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具有良好的商业信誉和健全的财务会计制度提供以下证明材料：</w:t>
      </w:r>
    </w:p>
    <w:p w14:paraId="3306587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65BF9A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具有履行合同所必需的设备和专业技术能力的证明材料：</w:t>
      </w:r>
    </w:p>
    <w:p w14:paraId="0AD5E12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5CD2E0FE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有依法缴纳税收和社会保障资金的良好记录：</w:t>
      </w:r>
    </w:p>
    <w:p w14:paraId="685DF36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3FDF13D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参加政府采购活动前三年内，在经营活动中没有重大违法记录提供以下证明材料：</w:t>
      </w:r>
    </w:p>
    <w:p w14:paraId="4C84E86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）参加政府采购活动前三年内，在经营活动中没有重大违法记录的书面声明原件。</w:t>
      </w:r>
    </w:p>
    <w:p w14:paraId="08525D45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（二）其他根据采购项目提出的特殊条件：</w:t>
      </w:r>
    </w:p>
    <w:p w14:paraId="134AE12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700" w:firstLineChars="25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49C7362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（三）其他类似效力要求相关证明材料：</w:t>
      </w:r>
    </w:p>
    <w:p w14:paraId="51C69E6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14:paraId="6DF54BF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14:paraId="72F314C3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hAnsi="仿宋" w:eastAsia="仿宋" w:cs="仿宋"/>
          <w:sz w:val="28"/>
          <w:szCs w:val="28"/>
        </w:rPr>
        <w:t>[</w:t>
      </w:r>
      <w:r>
        <w:rPr>
          <w:rFonts w:hint="eastAsia" w:ascii="仿宋" w:hAnsi="仿宋" w:eastAsia="仿宋" w:cs="仿宋"/>
          <w:sz w:val="28"/>
          <w:szCs w:val="28"/>
        </w:rPr>
        <w:t>身份证复印件或护照复印件（外籍人士适用）</w:t>
      </w:r>
      <w:r>
        <w:rPr>
          <w:rFonts w:ascii="仿宋" w:hAnsi="仿宋" w:eastAsia="仿宋" w:cs="仿宋"/>
          <w:sz w:val="28"/>
          <w:szCs w:val="28"/>
        </w:rPr>
        <w:t>]</w:t>
      </w:r>
      <w:r>
        <w:rPr>
          <w:rFonts w:hint="eastAsia" w:ascii="仿宋" w:hAnsi="仿宋" w:eastAsia="仿宋" w:cs="仿宋"/>
          <w:sz w:val="28"/>
          <w:szCs w:val="28"/>
        </w:rPr>
        <w:t>上姓名一致。）</w:t>
      </w:r>
    </w:p>
    <w:p w14:paraId="5CE158E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482" w:firstLineChars="200"/>
        <w:outlineLvl w:val="5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hAnsi="仿宋" w:eastAsia="仿宋" w:cs="仿宋"/>
          <w:b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所有外层密封袋的封口处应粘贴牢固。</w:t>
      </w:r>
    </w:p>
    <w:p w14:paraId="49A92C34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本项目技术、服务、履约主要条款及其他要求条款。</w:t>
      </w:r>
    </w:p>
    <w:p w14:paraId="0AF2E8E2">
      <w:pPr>
        <w:rPr>
          <w:rFonts w:ascii="仿宋" w:hAnsi="仿宋" w:eastAsia="仿宋"/>
          <w:color w:val="000000"/>
          <w:sz w:val="28"/>
          <w:szCs w:val="28"/>
        </w:rPr>
      </w:pPr>
      <w:bookmarkStart w:id="22" w:name="_Toc27048"/>
      <w:bookmarkStart w:id="23" w:name="_Toc29518"/>
      <w:bookmarkStart w:id="24" w:name="_Toc487393124"/>
      <w:bookmarkStart w:id="25" w:name="_Toc1488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第一部分：技术要求</w:t>
      </w:r>
      <w:r>
        <w:rPr>
          <w:rFonts w:ascii="仿宋" w:hAnsi="仿宋" w:eastAsia="仿宋" w:cs="仿宋"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供应商不满足的，将按照无效响应处理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color w:val="000000"/>
          <w:sz w:val="28"/>
          <w:szCs w:val="28"/>
        </w:rPr>
        <w:t>)</w:t>
      </w:r>
    </w:p>
    <w:bookmarkEnd w:id="22"/>
    <w:bookmarkEnd w:id="23"/>
    <w:bookmarkEnd w:id="24"/>
    <w:bookmarkEnd w:id="25"/>
    <w:tbl>
      <w:tblPr>
        <w:tblStyle w:val="15"/>
        <w:tblpPr w:leftFromText="180" w:rightFromText="180" w:vertAnchor="text" w:horzAnchor="margin" w:tblpY="158"/>
        <w:tblW w:w="49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407"/>
        <w:gridCol w:w="728"/>
        <w:gridCol w:w="901"/>
        <w:gridCol w:w="1978"/>
      </w:tblGrid>
      <w:tr w14:paraId="0100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pct"/>
            <w:vAlign w:val="center"/>
          </w:tcPr>
          <w:p w14:paraId="0C2E01F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2031" w:type="pct"/>
            <w:vAlign w:val="center"/>
          </w:tcPr>
          <w:p w14:paraId="52F2824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技术参数</w:t>
            </w:r>
          </w:p>
        </w:tc>
        <w:tc>
          <w:tcPr>
            <w:tcW w:w="434" w:type="pct"/>
            <w:vAlign w:val="center"/>
          </w:tcPr>
          <w:p w14:paraId="6475CBC5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537" w:type="pct"/>
            <w:vAlign w:val="center"/>
          </w:tcPr>
          <w:p w14:paraId="37408EE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179" w:type="pct"/>
            <w:vAlign w:val="center"/>
          </w:tcPr>
          <w:p w14:paraId="69D0D5C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单价限价</w:t>
            </w:r>
          </w:p>
        </w:tc>
      </w:tr>
      <w:tr w14:paraId="6202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8" w:type="pct"/>
            <w:vAlign w:val="center"/>
          </w:tcPr>
          <w:p w14:paraId="0B4DF6F9"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护士鞋</w:t>
            </w:r>
          </w:p>
        </w:tc>
        <w:tc>
          <w:tcPr>
            <w:tcW w:w="2031" w:type="pct"/>
          </w:tcPr>
          <w:p w14:paraId="635A4FE3">
            <w:pPr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1.鞋面材质：皮革</w:t>
            </w:r>
          </w:p>
          <w:p w14:paraId="08453113">
            <w:pPr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2.鞋底材质：橡胶或PU</w:t>
            </w:r>
          </w:p>
          <w:p w14:paraId="4E0FAF8D">
            <w:pPr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3.</w:t>
            </w:r>
            <w:r>
              <w:rPr>
                <w:rFonts w:hint="eastAsia" w:ascii="宋体" w:hAnsi="Times New Roman" w:eastAsia="宋体" w:cs="宋体"/>
              </w:rPr>
              <w:t>闭合方式：一脚蹬</w:t>
            </w:r>
          </w:p>
          <w:p w14:paraId="49BACEF4">
            <w:pPr>
              <w:rPr>
                <w:rFonts w:hint="eastAsia"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4.</w:t>
            </w:r>
            <w:r>
              <w:rPr>
                <w:rFonts w:hint="eastAsia" w:ascii="宋体" w:hAnsi="Times New Roman" w:eastAsia="宋体" w:cs="宋体"/>
              </w:rPr>
              <w:t>颜色：白色</w:t>
            </w:r>
          </w:p>
          <w:p w14:paraId="2B11798A">
            <w:pPr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5.功能要求：轻便</w:t>
            </w:r>
          </w:p>
        </w:tc>
        <w:tc>
          <w:tcPr>
            <w:tcW w:w="434" w:type="pct"/>
            <w:vAlign w:val="center"/>
          </w:tcPr>
          <w:p w14:paraId="5820EBE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双</w:t>
            </w:r>
          </w:p>
        </w:tc>
        <w:tc>
          <w:tcPr>
            <w:tcW w:w="537" w:type="pct"/>
            <w:vAlign w:val="center"/>
          </w:tcPr>
          <w:p w14:paraId="0E07D286">
            <w:pPr>
              <w:tabs>
                <w:tab w:val="left" w:pos="312"/>
              </w:tabs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500</w:t>
            </w:r>
          </w:p>
        </w:tc>
        <w:tc>
          <w:tcPr>
            <w:tcW w:w="1179" w:type="pct"/>
            <w:vAlign w:val="center"/>
          </w:tcPr>
          <w:p w14:paraId="4EDBC0C9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100</w:t>
            </w:r>
            <w:r>
              <w:rPr>
                <w:rFonts w:hint="eastAsia" w:ascii="宋体" w:cs="宋体"/>
              </w:rPr>
              <w:t>元</w:t>
            </w:r>
          </w:p>
        </w:tc>
      </w:tr>
      <w:tr w14:paraId="1B18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8" w:type="pct"/>
            <w:vAlign w:val="center"/>
          </w:tcPr>
          <w:p w14:paraId="304725C4">
            <w:pPr>
              <w:jc w:val="center"/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头花</w:t>
            </w:r>
          </w:p>
        </w:tc>
        <w:tc>
          <w:tcPr>
            <w:tcW w:w="2031" w:type="pct"/>
            <w:vAlign w:val="center"/>
          </w:tcPr>
          <w:p w14:paraId="6B3EBAAC">
            <w:pPr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1.材质：棉布、丝绸、合成纤维</w:t>
            </w:r>
          </w:p>
          <w:p w14:paraId="53BC7429">
            <w:pPr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2.尺寸：最宽处11-12cm</w:t>
            </w:r>
          </w:p>
          <w:p w14:paraId="5BE9C7AC">
            <w:pPr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3.颜色：蓝色</w:t>
            </w:r>
          </w:p>
          <w:p w14:paraId="607E6C62">
            <w:pPr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4.功能要求：防滑、耐洗</w:t>
            </w:r>
          </w:p>
        </w:tc>
        <w:tc>
          <w:tcPr>
            <w:tcW w:w="434" w:type="pct"/>
            <w:vAlign w:val="center"/>
          </w:tcPr>
          <w:p w14:paraId="2706336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个</w:t>
            </w:r>
          </w:p>
        </w:tc>
        <w:tc>
          <w:tcPr>
            <w:tcW w:w="537" w:type="pct"/>
            <w:vAlign w:val="center"/>
          </w:tcPr>
          <w:p w14:paraId="0237FD49">
            <w:pPr>
              <w:tabs>
                <w:tab w:val="left" w:pos="312"/>
              </w:tabs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500</w:t>
            </w:r>
          </w:p>
        </w:tc>
        <w:tc>
          <w:tcPr>
            <w:tcW w:w="1179" w:type="pct"/>
            <w:vAlign w:val="center"/>
          </w:tcPr>
          <w:p w14:paraId="233C915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hint="eastAsia" w:ascii="宋体" w:cs="宋体"/>
                <w:lang w:val="en-US" w:eastAsia="zh-CN"/>
              </w:rPr>
              <w:t>0</w:t>
            </w:r>
            <w:r>
              <w:rPr>
                <w:rFonts w:hint="eastAsia" w:ascii="宋体" w:cs="宋体"/>
              </w:rPr>
              <w:t>元</w:t>
            </w:r>
          </w:p>
        </w:tc>
      </w:tr>
      <w:tr w14:paraId="4B75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18" w:type="pct"/>
            <w:vAlign w:val="center"/>
          </w:tcPr>
          <w:p w14:paraId="30F0D1B1">
            <w:pPr>
              <w:jc w:val="center"/>
              <w:rPr>
                <w:rFonts w:hint="eastAsia"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挂表</w:t>
            </w:r>
          </w:p>
        </w:tc>
        <w:tc>
          <w:tcPr>
            <w:tcW w:w="2031" w:type="pct"/>
          </w:tcPr>
          <w:p w14:paraId="3E5BDA94">
            <w:pPr>
              <w:jc w:val="both"/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1.表盘材质：不锈钢/合金</w:t>
            </w:r>
          </w:p>
          <w:p w14:paraId="63ECB0BF">
            <w:pPr>
              <w:jc w:val="both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2.表带材质：硅胶/不锈钢/合金</w:t>
            </w:r>
          </w:p>
          <w:p w14:paraId="2F80E963">
            <w:pPr>
              <w:jc w:val="both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3.表盘形状：圆形</w:t>
            </w:r>
          </w:p>
          <w:p w14:paraId="5FAC68FA">
            <w:pPr>
              <w:jc w:val="both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4.机芯：石英</w:t>
            </w:r>
          </w:p>
          <w:p w14:paraId="21C39758">
            <w:pPr>
              <w:jc w:val="both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5.显示方式：指针式</w:t>
            </w:r>
          </w:p>
          <w:p w14:paraId="665E25A9">
            <w:pPr>
              <w:jc w:val="both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6.佩戴方式：夹子</w:t>
            </w:r>
          </w:p>
        </w:tc>
        <w:tc>
          <w:tcPr>
            <w:tcW w:w="434" w:type="pct"/>
            <w:vAlign w:val="center"/>
          </w:tcPr>
          <w:p w14:paraId="38F0E31F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个</w:t>
            </w:r>
          </w:p>
        </w:tc>
        <w:tc>
          <w:tcPr>
            <w:tcW w:w="537" w:type="pct"/>
            <w:vAlign w:val="center"/>
          </w:tcPr>
          <w:p w14:paraId="5584BEF6">
            <w:pPr>
              <w:tabs>
                <w:tab w:val="left" w:pos="312"/>
              </w:tabs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500</w:t>
            </w:r>
          </w:p>
        </w:tc>
        <w:tc>
          <w:tcPr>
            <w:tcW w:w="1179" w:type="pct"/>
            <w:vAlign w:val="center"/>
          </w:tcPr>
          <w:p w14:paraId="513E6A44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  <w:r>
              <w:rPr>
                <w:rFonts w:hint="eastAsia" w:ascii="宋体" w:cs="宋体"/>
              </w:rPr>
              <w:t>元</w:t>
            </w:r>
          </w:p>
        </w:tc>
      </w:tr>
      <w:tr w14:paraId="325F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3820" w:type="pct"/>
            <w:gridSpan w:val="4"/>
            <w:vAlign w:val="center"/>
          </w:tcPr>
          <w:p w14:paraId="6BE47501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总价限价</w:t>
            </w:r>
          </w:p>
        </w:tc>
        <w:tc>
          <w:tcPr>
            <w:tcW w:w="1179" w:type="pct"/>
            <w:vAlign w:val="center"/>
          </w:tcPr>
          <w:p w14:paraId="2694E144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75000</w:t>
            </w:r>
            <w:r>
              <w:rPr>
                <w:rFonts w:hint="eastAsia" w:ascii="宋体" w:cs="宋体"/>
              </w:rPr>
              <w:t>元</w:t>
            </w:r>
          </w:p>
        </w:tc>
      </w:tr>
    </w:tbl>
    <w:p w14:paraId="43F79A21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第二部分：商务条款及其它要求</w:t>
      </w:r>
      <w:r>
        <w:rPr>
          <w:rFonts w:hint="eastAsia" w:ascii="仿宋" w:hAnsi="仿宋" w:eastAsia="仿宋" w:cs="仿宋"/>
          <w:sz w:val="28"/>
          <w:szCs w:val="28"/>
        </w:rPr>
        <w:t>（实质性要求）</w:t>
      </w:r>
    </w:p>
    <w:p w14:paraId="47D73ECB">
      <w:pPr>
        <w:widowControl/>
        <w:wordWrap w:val="0"/>
        <w:spacing w:line="36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送货地点：采购人指定地点。</w:t>
      </w:r>
    </w:p>
    <w:p w14:paraId="17FB1AB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合同履行时间：</w:t>
      </w:r>
    </w:p>
    <w:p w14:paraId="51C7D650">
      <w:pPr>
        <w:spacing w:line="360" w:lineRule="auto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合同履行期限：自签订合同之日起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日内将货物送到采购人。</w:t>
      </w:r>
    </w:p>
    <w:p w14:paraId="5039055B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售后服务要求：若成交供应商未在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日内解决质量问题而给采购人造成经济损失，由成交人全额承担。</w:t>
      </w:r>
    </w:p>
    <w:p w14:paraId="1EE87E63">
      <w:pPr>
        <w:spacing w:line="400" w:lineRule="exact"/>
        <w:jc w:val="left"/>
        <w:outlineLvl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、售后服务要求：</w:t>
      </w:r>
    </w:p>
    <w:p w14:paraId="33519636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4.1 </w:t>
      </w:r>
      <w:r>
        <w:rPr>
          <w:rFonts w:hint="eastAsia" w:ascii="仿宋" w:hAnsi="仿宋" w:eastAsia="仿宋" w:cs="仿宋"/>
          <w:sz w:val="28"/>
          <w:szCs w:val="28"/>
        </w:rPr>
        <w:t>供应商应提供详细的售后服务方案。售后服务方案中应包括售后服务机构、服务措施、质保期响应时间等。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4.2 </w:t>
      </w:r>
      <w:r>
        <w:rPr>
          <w:rFonts w:hint="eastAsia" w:ascii="仿宋" w:hAnsi="仿宋" w:eastAsia="仿宋" w:cs="仿宋"/>
          <w:sz w:val="28"/>
          <w:szCs w:val="28"/>
        </w:rPr>
        <w:t>质保期外如发现产品存在质量问题，由供应商负责解决并承担有关费用。</w:t>
      </w:r>
    </w:p>
    <w:p w14:paraId="28E5D662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、交货日期、地点、标准及合同履行期限：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5.1.1 </w:t>
      </w:r>
      <w:r>
        <w:rPr>
          <w:rFonts w:hint="eastAsia" w:ascii="仿宋" w:hAnsi="仿宋" w:eastAsia="仿宋" w:cs="仿宋"/>
          <w:sz w:val="28"/>
          <w:szCs w:val="28"/>
        </w:rPr>
        <w:t>交货日期：自签订合同之日起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日内将货物送到采购人。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5.1.2 </w:t>
      </w:r>
      <w:r>
        <w:rPr>
          <w:rFonts w:hint="eastAsia" w:ascii="仿宋" w:hAnsi="仿宋" w:eastAsia="仿宋" w:cs="仿宋"/>
          <w:sz w:val="28"/>
          <w:szCs w:val="28"/>
        </w:rPr>
        <w:t>合同履行期限：自签订合同之日起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日内将货物送到采购人。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5.1.3 </w:t>
      </w:r>
      <w:r>
        <w:rPr>
          <w:rFonts w:hint="eastAsia" w:ascii="仿宋" w:hAnsi="仿宋" w:eastAsia="仿宋" w:cs="仿宋"/>
          <w:sz w:val="28"/>
          <w:szCs w:val="28"/>
        </w:rPr>
        <w:t>交货地点：采购人指定地点。</w:t>
      </w:r>
    </w:p>
    <w:p w14:paraId="447A8D00">
      <w:pPr>
        <w:pStyle w:val="48"/>
        <w:numPr>
          <w:ilvl w:val="0"/>
          <w:numId w:val="0"/>
        </w:numPr>
        <w:spacing w:line="360" w:lineRule="auto"/>
        <w:rPr>
          <w:rFonts w:cs="Times New Roman"/>
          <w:sz w:val="24"/>
          <w:szCs w:val="24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、付款方式：签订合同后，</w:t>
      </w:r>
      <w:r>
        <w:rPr>
          <w:rFonts w:hint="eastAsia" w:ascii="仿宋" w:hAnsi="仿宋" w:eastAsia="仿宋" w:cs="仿宋"/>
          <w:kern w:val="2"/>
          <w:sz w:val="28"/>
          <w:szCs w:val="28"/>
        </w:rPr>
        <w:t>供应商应开具有效等额增值税发票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，采购人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</w:rPr>
        <w:t>个工作日内支付总成交金额的</w:t>
      </w:r>
      <w:r>
        <w:rPr>
          <w:rFonts w:ascii="仿宋" w:hAnsi="仿宋" w:eastAsia="仿宋" w:cs="仿宋"/>
          <w:kern w:val="2"/>
          <w:sz w:val="28"/>
          <w:szCs w:val="28"/>
        </w:rPr>
        <w:t>30%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验收合格后一次性支付剩余</w:t>
      </w:r>
      <w:r>
        <w:rPr>
          <w:rFonts w:ascii="仿宋" w:hAnsi="仿宋" w:eastAsia="仿宋" w:cs="仿宋"/>
          <w:sz w:val="28"/>
          <w:szCs w:val="28"/>
        </w:rPr>
        <w:t>70%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72201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、质保期：自交货之日起不低于一年。</w:t>
      </w:r>
    </w:p>
    <w:p w14:paraId="69826C8B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十、成交原则：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本项目在询价小组对供应商响应文件审查结束后</w:t>
      </w:r>
      <w:r>
        <w:rPr>
          <w:rFonts w:ascii="仿宋" w:hAnsi="仿宋" w:eastAsia="仿宋" w:cs="仿宋"/>
          <w:sz w:val="28"/>
          <w:szCs w:val="28"/>
          <w:u w:val="single"/>
        </w:rPr>
        <w:t>,</w:t>
      </w:r>
      <w:r>
        <w:rPr>
          <w:rFonts w:hint="eastAsia" w:ascii="仿宋" w:hAnsi="仿宋" w:eastAsia="仿宋" w:cs="仿宋"/>
          <w:sz w:val="28"/>
          <w:szCs w:val="28"/>
          <w:u w:val="single"/>
        </w:rPr>
        <w:t>对所有实质性响应的供应商，按照供应商在响应文件中报出的一次不得更改的价格，符合采购需求、质量和服务且总价金额最低的原则确定成交供应商。</w:t>
      </w:r>
    </w:p>
    <w:p w14:paraId="2B165B5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十一、本项目采取网络报名的方式：</w:t>
      </w:r>
      <w:r>
        <w:rPr>
          <w:rFonts w:hint="eastAsia" w:ascii="仿宋" w:hAnsi="仿宋" w:eastAsia="仿宋" w:cs="仿宋"/>
          <w:sz w:val="28"/>
          <w:szCs w:val="28"/>
        </w:rPr>
        <w:t>报名邮箱地址：</w:t>
      </w:r>
      <w:r>
        <w:rPr>
          <w:rFonts w:ascii="仿宋" w:hAnsi="仿宋" w:eastAsia="仿宋" w:cs="仿宋"/>
          <w:sz w:val="28"/>
          <w:szCs w:val="28"/>
        </w:rPr>
        <w:t>1531036850@qq.com,</w:t>
      </w:r>
      <w:r>
        <w:rPr>
          <w:rFonts w:hint="eastAsia" w:ascii="仿宋" w:hAnsi="仿宋" w:eastAsia="仿宋" w:cs="仿宋"/>
          <w:sz w:val="28"/>
          <w:szCs w:val="28"/>
        </w:rPr>
        <w:t>报名材料如下：</w:t>
      </w:r>
    </w:p>
    <w:p w14:paraId="53A8EA29">
      <w:pPr>
        <w:numPr>
          <w:ilvl w:val="0"/>
          <w:numId w:val="2"/>
        </w:numPr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  <w:bookmarkStart w:id="26" w:name="_GoBack"/>
      <w:bookmarkEnd w:id="26"/>
    </w:p>
    <w:p w14:paraId="6BABFCAD">
      <w:pPr>
        <w:numPr>
          <w:ilvl w:val="0"/>
          <w:numId w:val="2"/>
        </w:numPr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供应商为自然人的，需提供本人身份证明（本人签字的复印件）。</w:t>
      </w:r>
    </w:p>
    <w:p w14:paraId="4DD1395B">
      <w:pPr>
        <w:pStyle w:val="14"/>
        <w:ind w:left="0" w:leftChars="0" w:firstLine="686" w:firstLineChars="245"/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报名时间：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2025年4月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en-US" w:eastAsia="zh-CN" w:bidi="ar-SA"/>
        </w:rPr>
        <w:t>22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日00:00:00至2025年4月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en-US" w:eastAsia="zh-CN" w:bidi="ar-SA"/>
        </w:rPr>
        <w:t>23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日23:59:59（北京时间，法定节假日除外，以发送电子邮件报名信息时间为准）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D1D91">
    <w:pPr>
      <w:pStyle w:val="11"/>
      <w:framePr w:wrap="auto" w:vAnchor="text" w:hAnchor="margin" w:xAlign="center" w:y="1"/>
      <w:rPr>
        <w:rStyle w:val="18"/>
        <w:rFonts w:cs="Times New Roman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- 1 -</w:t>
    </w:r>
    <w:r>
      <w:rPr>
        <w:rStyle w:val="18"/>
      </w:rPr>
      <w:fldChar w:fldCharType="end"/>
    </w:r>
  </w:p>
  <w:p w14:paraId="3B61174E">
    <w:pPr>
      <w:pStyle w:val="11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D9581"/>
    <w:multiLevelType w:val="singleLevel"/>
    <w:tmpl w:val="CCFD9581"/>
    <w:lvl w:ilvl="0" w:tentative="0">
      <w:start w:val="9"/>
      <w:numFmt w:val="chineseCounting"/>
      <w:pStyle w:val="48"/>
      <w:suff w:val="nothing"/>
      <w:lvlText w:val="%1、"/>
      <w:lvlJc w:val="left"/>
      <w:rPr>
        <w:rFonts w:hint="eastAsia"/>
      </w:rPr>
    </w:lvl>
  </w:abstractNum>
  <w:abstractNum w:abstractNumId="1">
    <w:nsid w:val="00000026"/>
    <w:multiLevelType w:val="singleLevel"/>
    <w:tmpl w:val="00000026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yYTUwNTI2OTQ2MGZkMTEyMjU3YjYwMGU0ZTViZmMifQ=="/>
  </w:docVars>
  <w:rsids>
    <w:rsidRoot w:val="00F37A33"/>
    <w:rsid w:val="00004742"/>
    <w:rsid w:val="0000625D"/>
    <w:rsid w:val="00014E58"/>
    <w:rsid w:val="00031008"/>
    <w:rsid w:val="0003223A"/>
    <w:rsid w:val="00032484"/>
    <w:rsid w:val="000330A4"/>
    <w:rsid w:val="00036E94"/>
    <w:rsid w:val="000409D9"/>
    <w:rsid w:val="0004166C"/>
    <w:rsid w:val="000416DE"/>
    <w:rsid w:val="00044248"/>
    <w:rsid w:val="00046520"/>
    <w:rsid w:val="000540F4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0E0B"/>
    <w:rsid w:val="000A306D"/>
    <w:rsid w:val="000A3493"/>
    <w:rsid w:val="000A419A"/>
    <w:rsid w:val="000A78D3"/>
    <w:rsid w:val="000B1888"/>
    <w:rsid w:val="000B2D51"/>
    <w:rsid w:val="000B2D97"/>
    <w:rsid w:val="000B2E61"/>
    <w:rsid w:val="000B6235"/>
    <w:rsid w:val="000B6E36"/>
    <w:rsid w:val="000C0582"/>
    <w:rsid w:val="000C4881"/>
    <w:rsid w:val="000C56C9"/>
    <w:rsid w:val="000D7434"/>
    <w:rsid w:val="000D79DD"/>
    <w:rsid w:val="000E0CFE"/>
    <w:rsid w:val="000E40D1"/>
    <w:rsid w:val="000E7C22"/>
    <w:rsid w:val="000F2AAD"/>
    <w:rsid w:val="000F3AA4"/>
    <w:rsid w:val="000F5ACA"/>
    <w:rsid w:val="00102584"/>
    <w:rsid w:val="00104145"/>
    <w:rsid w:val="001110C0"/>
    <w:rsid w:val="0011414E"/>
    <w:rsid w:val="00120302"/>
    <w:rsid w:val="00124532"/>
    <w:rsid w:val="00127479"/>
    <w:rsid w:val="00131ABB"/>
    <w:rsid w:val="001347BC"/>
    <w:rsid w:val="00144B2C"/>
    <w:rsid w:val="00145AB0"/>
    <w:rsid w:val="00151769"/>
    <w:rsid w:val="0015492C"/>
    <w:rsid w:val="0016136D"/>
    <w:rsid w:val="001678EF"/>
    <w:rsid w:val="0017197A"/>
    <w:rsid w:val="00172809"/>
    <w:rsid w:val="0017571E"/>
    <w:rsid w:val="00175D79"/>
    <w:rsid w:val="00177C6F"/>
    <w:rsid w:val="00185C1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C4354"/>
    <w:rsid w:val="001C692F"/>
    <w:rsid w:val="001D0327"/>
    <w:rsid w:val="001D1174"/>
    <w:rsid w:val="001D485A"/>
    <w:rsid w:val="001D500F"/>
    <w:rsid w:val="001D5798"/>
    <w:rsid w:val="001D618D"/>
    <w:rsid w:val="001D64FD"/>
    <w:rsid w:val="001D69F4"/>
    <w:rsid w:val="001E065F"/>
    <w:rsid w:val="001E6449"/>
    <w:rsid w:val="001E6ADB"/>
    <w:rsid w:val="001F0905"/>
    <w:rsid w:val="0020276D"/>
    <w:rsid w:val="0020777E"/>
    <w:rsid w:val="0021086B"/>
    <w:rsid w:val="002110B8"/>
    <w:rsid w:val="0021266D"/>
    <w:rsid w:val="00214E9E"/>
    <w:rsid w:val="00216FCA"/>
    <w:rsid w:val="0022264B"/>
    <w:rsid w:val="00226B58"/>
    <w:rsid w:val="002355F1"/>
    <w:rsid w:val="00240944"/>
    <w:rsid w:val="00241140"/>
    <w:rsid w:val="0025138A"/>
    <w:rsid w:val="00265AA3"/>
    <w:rsid w:val="00267F33"/>
    <w:rsid w:val="00272FD8"/>
    <w:rsid w:val="00274F05"/>
    <w:rsid w:val="00275EA5"/>
    <w:rsid w:val="002825EB"/>
    <w:rsid w:val="002845F1"/>
    <w:rsid w:val="00286A6A"/>
    <w:rsid w:val="00292403"/>
    <w:rsid w:val="002951F4"/>
    <w:rsid w:val="002A51F7"/>
    <w:rsid w:val="002B13AD"/>
    <w:rsid w:val="002B1520"/>
    <w:rsid w:val="002B3939"/>
    <w:rsid w:val="002C34FD"/>
    <w:rsid w:val="002C6665"/>
    <w:rsid w:val="002C7AD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344A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42C64"/>
    <w:rsid w:val="00345803"/>
    <w:rsid w:val="003569B8"/>
    <w:rsid w:val="00362FC1"/>
    <w:rsid w:val="00363D68"/>
    <w:rsid w:val="00364F8E"/>
    <w:rsid w:val="00371937"/>
    <w:rsid w:val="0037372F"/>
    <w:rsid w:val="003756EF"/>
    <w:rsid w:val="003811F9"/>
    <w:rsid w:val="003823E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B779A"/>
    <w:rsid w:val="003C343C"/>
    <w:rsid w:val="003C386E"/>
    <w:rsid w:val="003C47DE"/>
    <w:rsid w:val="003D5820"/>
    <w:rsid w:val="003D5973"/>
    <w:rsid w:val="003D59A1"/>
    <w:rsid w:val="003D5CBD"/>
    <w:rsid w:val="003D5D6F"/>
    <w:rsid w:val="003D7892"/>
    <w:rsid w:val="003E479E"/>
    <w:rsid w:val="003E7085"/>
    <w:rsid w:val="003F1DE4"/>
    <w:rsid w:val="003F3338"/>
    <w:rsid w:val="003F4E68"/>
    <w:rsid w:val="003F5CA8"/>
    <w:rsid w:val="003F6EDE"/>
    <w:rsid w:val="004009C5"/>
    <w:rsid w:val="004010CE"/>
    <w:rsid w:val="0040343A"/>
    <w:rsid w:val="00403812"/>
    <w:rsid w:val="00403FBA"/>
    <w:rsid w:val="0040500B"/>
    <w:rsid w:val="004073D6"/>
    <w:rsid w:val="00411217"/>
    <w:rsid w:val="00412E22"/>
    <w:rsid w:val="004135FD"/>
    <w:rsid w:val="004150BF"/>
    <w:rsid w:val="004223B5"/>
    <w:rsid w:val="0042292C"/>
    <w:rsid w:val="0042305F"/>
    <w:rsid w:val="004230DF"/>
    <w:rsid w:val="00426ABE"/>
    <w:rsid w:val="00434402"/>
    <w:rsid w:val="00436BC3"/>
    <w:rsid w:val="004379BA"/>
    <w:rsid w:val="00441FD1"/>
    <w:rsid w:val="00443861"/>
    <w:rsid w:val="0044741A"/>
    <w:rsid w:val="00447D32"/>
    <w:rsid w:val="00451655"/>
    <w:rsid w:val="004516C3"/>
    <w:rsid w:val="00451C7B"/>
    <w:rsid w:val="00452490"/>
    <w:rsid w:val="00455983"/>
    <w:rsid w:val="00457DC9"/>
    <w:rsid w:val="00457DCC"/>
    <w:rsid w:val="004605FC"/>
    <w:rsid w:val="004628AE"/>
    <w:rsid w:val="00463A2A"/>
    <w:rsid w:val="004665FB"/>
    <w:rsid w:val="004673DB"/>
    <w:rsid w:val="004724AE"/>
    <w:rsid w:val="00473778"/>
    <w:rsid w:val="0047747D"/>
    <w:rsid w:val="0048106B"/>
    <w:rsid w:val="00481D4D"/>
    <w:rsid w:val="004865BF"/>
    <w:rsid w:val="00491FD3"/>
    <w:rsid w:val="004935C5"/>
    <w:rsid w:val="00494A64"/>
    <w:rsid w:val="004952FE"/>
    <w:rsid w:val="00495898"/>
    <w:rsid w:val="00497C09"/>
    <w:rsid w:val="004B5B7F"/>
    <w:rsid w:val="004C1E9F"/>
    <w:rsid w:val="004C2C80"/>
    <w:rsid w:val="004D000A"/>
    <w:rsid w:val="004D3142"/>
    <w:rsid w:val="004E44F1"/>
    <w:rsid w:val="004E5EB5"/>
    <w:rsid w:val="004F3D8F"/>
    <w:rsid w:val="004F5C64"/>
    <w:rsid w:val="005021E4"/>
    <w:rsid w:val="00502AEE"/>
    <w:rsid w:val="00505C1D"/>
    <w:rsid w:val="00505F9B"/>
    <w:rsid w:val="00507B1B"/>
    <w:rsid w:val="00507EBA"/>
    <w:rsid w:val="00512193"/>
    <w:rsid w:val="00515100"/>
    <w:rsid w:val="00515240"/>
    <w:rsid w:val="005206DA"/>
    <w:rsid w:val="0053069F"/>
    <w:rsid w:val="00536C44"/>
    <w:rsid w:val="00542067"/>
    <w:rsid w:val="00543A5B"/>
    <w:rsid w:val="00547753"/>
    <w:rsid w:val="00547CC9"/>
    <w:rsid w:val="005530DA"/>
    <w:rsid w:val="0055417F"/>
    <w:rsid w:val="005555E6"/>
    <w:rsid w:val="00555A22"/>
    <w:rsid w:val="00555D47"/>
    <w:rsid w:val="00560CD7"/>
    <w:rsid w:val="005650A5"/>
    <w:rsid w:val="00565239"/>
    <w:rsid w:val="005671FF"/>
    <w:rsid w:val="00570120"/>
    <w:rsid w:val="00572500"/>
    <w:rsid w:val="00584896"/>
    <w:rsid w:val="00587DA3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4AFC"/>
    <w:rsid w:val="005F71F6"/>
    <w:rsid w:val="005F758A"/>
    <w:rsid w:val="0060791F"/>
    <w:rsid w:val="0061112D"/>
    <w:rsid w:val="0061589C"/>
    <w:rsid w:val="00617885"/>
    <w:rsid w:val="00636580"/>
    <w:rsid w:val="00647EFC"/>
    <w:rsid w:val="00650C02"/>
    <w:rsid w:val="00653A4D"/>
    <w:rsid w:val="0065786F"/>
    <w:rsid w:val="006604F8"/>
    <w:rsid w:val="00662ADB"/>
    <w:rsid w:val="00664427"/>
    <w:rsid w:val="00665B72"/>
    <w:rsid w:val="00666A27"/>
    <w:rsid w:val="00670D3F"/>
    <w:rsid w:val="006856A5"/>
    <w:rsid w:val="006A2429"/>
    <w:rsid w:val="006A3B49"/>
    <w:rsid w:val="006A7605"/>
    <w:rsid w:val="006A7EA9"/>
    <w:rsid w:val="006B1BFD"/>
    <w:rsid w:val="006C3876"/>
    <w:rsid w:val="006C4685"/>
    <w:rsid w:val="006D1A4C"/>
    <w:rsid w:val="006D4DCA"/>
    <w:rsid w:val="006E617E"/>
    <w:rsid w:val="006E702A"/>
    <w:rsid w:val="006F073E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26ECF"/>
    <w:rsid w:val="007276F7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47BEF"/>
    <w:rsid w:val="00755F5B"/>
    <w:rsid w:val="00760087"/>
    <w:rsid w:val="0076085D"/>
    <w:rsid w:val="007631F3"/>
    <w:rsid w:val="00765ED6"/>
    <w:rsid w:val="00785513"/>
    <w:rsid w:val="00786AD7"/>
    <w:rsid w:val="00797708"/>
    <w:rsid w:val="007A037A"/>
    <w:rsid w:val="007A18AF"/>
    <w:rsid w:val="007A7B7A"/>
    <w:rsid w:val="007B3E7A"/>
    <w:rsid w:val="007B6EB7"/>
    <w:rsid w:val="007B7D03"/>
    <w:rsid w:val="007C2C02"/>
    <w:rsid w:val="007C4699"/>
    <w:rsid w:val="007C49F8"/>
    <w:rsid w:val="007D0BD1"/>
    <w:rsid w:val="007D12E9"/>
    <w:rsid w:val="007D3AAB"/>
    <w:rsid w:val="007D6BA4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8DB"/>
    <w:rsid w:val="00825F33"/>
    <w:rsid w:val="00833249"/>
    <w:rsid w:val="00846B2B"/>
    <w:rsid w:val="00847ADE"/>
    <w:rsid w:val="008502C6"/>
    <w:rsid w:val="00857D94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91584"/>
    <w:rsid w:val="00891694"/>
    <w:rsid w:val="00891D31"/>
    <w:rsid w:val="008A1EB5"/>
    <w:rsid w:val="008A255B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06F6"/>
    <w:rsid w:val="00902B81"/>
    <w:rsid w:val="00912143"/>
    <w:rsid w:val="009131EA"/>
    <w:rsid w:val="00914A4F"/>
    <w:rsid w:val="009204C2"/>
    <w:rsid w:val="00922306"/>
    <w:rsid w:val="00925353"/>
    <w:rsid w:val="00925C4F"/>
    <w:rsid w:val="00925E84"/>
    <w:rsid w:val="00927A6C"/>
    <w:rsid w:val="009345AA"/>
    <w:rsid w:val="00934DDA"/>
    <w:rsid w:val="00941118"/>
    <w:rsid w:val="009423D9"/>
    <w:rsid w:val="0095252C"/>
    <w:rsid w:val="00960681"/>
    <w:rsid w:val="009623F1"/>
    <w:rsid w:val="00963C4D"/>
    <w:rsid w:val="009674FB"/>
    <w:rsid w:val="00972287"/>
    <w:rsid w:val="00975313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0F21"/>
    <w:rsid w:val="009D189C"/>
    <w:rsid w:val="009D1BEB"/>
    <w:rsid w:val="009D55A3"/>
    <w:rsid w:val="009E03DE"/>
    <w:rsid w:val="009E0A45"/>
    <w:rsid w:val="009E2CB7"/>
    <w:rsid w:val="009E4339"/>
    <w:rsid w:val="009F0BDD"/>
    <w:rsid w:val="009F4732"/>
    <w:rsid w:val="009F6B6A"/>
    <w:rsid w:val="00A01ECC"/>
    <w:rsid w:val="00A040B7"/>
    <w:rsid w:val="00A0416F"/>
    <w:rsid w:val="00A065B7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369CB"/>
    <w:rsid w:val="00A40483"/>
    <w:rsid w:val="00A52527"/>
    <w:rsid w:val="00A56D1D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74AE7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B03D1"/>
    <w:rsid w:val="00AB0876"/>
    <w:rsid w:val="00AC1E25"/>
    <w:rsid w:val="00AC23DE"/>
    <w:rsid w:val="00AC3B92"/>
    <w:rsid w:val="00AC41AD"/>
    <w:rsid w:val="00AC7F46"/>
    <w:rsid w:val="00AD06B8"/>
    <w:rsid w:val="00AD2BF7"/>
    <w:rsid w:val="00AD5E5C"/>
    <w:rsid w:val="00AD7A9E"/>
    <w:rsid w:val="00AE5F54"/>
    <w:rsid w:val="00AE77AE"/>
    <w:rsid w:val="00AE7C7B"/>
    <w:rsid w:val="00AF0E96"/>
    <w:rsid w:val="00AF2FAB"/>
    <w:rsid w:val="00AF315D"/>
    <w:rsid w:val="00B00463"/>
    <w:rsid w:val="00B009DA"/>
    <w:rsid w:val="00B07096"/>
    <w:rsid w:val="00B07F85"/>
    <w:rsid w:val="00B10012"/>
    <w:rsid w:val="00B1172A"/>
    <w:rsid w:val="00B13836"/>
    <w:rsid w:val="00B21723"/>
    <w:rsid w:val="00B257B8"/>
    <w:rsid w:val="00B2645A"/>
    <w:rsid w:val="00B26EAA"/>
    <w:rsid w:val="00B30816"/>
    <w:rsid w:val="00B3224B"/>
    <w:rsid w:val="00B32BED"/>
    <w:rsid w:val="00B4106B"/>
    <w:rsid w:val="00B436D0"/>
    <w:rsid w:val="00B43782"/>
    <w:rsid w:val="00B44C57"/>
    <w:rsid w:val="00B45E88"/>
    <w:rsid w:val="00B47640"/>
    <w:rsid w:val="00B50C3B"/>
    <w:rsid w:val="00B51863"/>
    <w:rsid w:val="00B52337"/>
    <w:rsid w:val="00B52F02"/>
    <w:rsid w:val="00B52F0C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5049"/>
    <w:rsid w:val="00B86224"/>
    <w:rsid w:val="00B8768B"/>
    <w:rsid w:val="00BA5767"/>
    <w:rsid w:val="00BB5BBD"/>
    <w:rsid w:val="00BB5FC0"/>
    <w:rsid w:val="00BB7AD2"/>
    <w:rsid w:val="00BC07BD"/>
    <w:rsid w:val="00BC352A"/>
    <w:rsid w:val="00BC48FE"/>
    <w:rsid w:val="00BD168C"/>
    <w:rsid w:val="00BE21D9"/>
    <w:rsid w:val="00BE4433"/>
    <w:rsid w:val="00BE67CB"/>
    <w:rsid w:val="00BF6C52"/>
    <w:rsid w:val="00BF6E7A"/>
    <w:rsid w:val="00BF72F5"/>
    <w:rsid w:val="00C10A23"/>
    <w:rsid w:val="00C13EE0"/>
    <w:rsid w:val="00C21217"/>
    <w:rsid w:val="00C21374"/>
    <w:rsid w:val="00C239A1"/>
    <w:rsid w:val="00C25981"/>
    <w:rsid w:val="00C3072F"/>
    <w:rsid w:val="00C33357"/>
    <w:rsid w:val="00C359D8"/>
    <w:rsid w:val="00C35B52"/>
    <w:rsid w:val="00C40A2C"/>
    <w:rsid w:val="00C40BDB"/>
    <w:rsid w:val="00C40C11"/>
    <w:rsid w:val="00C4783F"/>
    <w:rsid w:val="00C47ADB"/>
    <w:rsid w:val="00C52ED3"/>
    <w:rsid w:val="00C61892"/>
    <w:rsid w:val="00C647B1"/>
    <w:rsid w:val="00C649B2"/>
    <w:rsid w:val="00C64A81"/>
    <w:rsid w:val="00C66D14"/>
    <w:rsid w:val="00C66D29"/>
    <w:rsid w:val="00C67A70"/>
    <w:rsid w:val="00C67CC5"/>
    <w:rsid w:val="00C72763"/>
    <w:rsid w:val="00C76426"/>
    <w:rsid w:val="00C77EEA"/>
    <w:rsid w:val="00C803E1"/>
    <w:rsid w:val="00C807EA"/>
    <w:rsid w:val="00C80BB3"/>
    <w:rsid w:val="00C83282"/>
    <w:rsid w:val="00C83322"/>
    <w:rsid w:val="00C91131"/>
    <w:rsid w:val="00C91E2A"/>
    <w:rsid w:val="00CB3A12"/>
    <w:rsid w:val="00CC0B15"/>
    <w:rsid w:val="00CC2C39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CF7C10"/>
    <w:rsid w:val="00D143D5"/>
    <w:rsid w:val="00D2060E"/>
    <w:rsid w:val="00D23504"/>
    <w:rsid w:val="00D305FC"/>
    <w:rsid w:val="00D33E94"/>
    <w:rsid w:val="00D342B5"/>
    <w:rsid w:val="00D345CB"/>
    <w:rsid w:val="00D3491E"/>
    <w:rsid w:val="00D41FD8"/>
    <w:rsid w:val="00D45128"/>
    <w:rsid w:val="00D4525E"/>
    <w:rsid w:val="00D54AF2"/>
    <w:rsid w:val="00D54C78"/>
    <w:rsid w:val="00D603CB"/>
    <w:rsid w:val="00D61453"/>
    <w:rsid w:val="00D6751E"/>
    <w:rsid w:val="00D70379"/>
    <w:rsid w:val="00D705EF"/>
    <w:rsid w:val="00D811B0"/>
    <w:rsid w:val="00D82A13"/>
    <w:rsid w:val="00D861DD"/>
    <w:rsid w:val="00D876FA"/>
    <w:rsid w:val="00D9182D"/>
    <w:rsid w:val="00D92CEC"/>
    <w:rsid w:val="00D945FF"/>
    <w:rsid w:val="00D962B8"/>
    <w:rsid w:val="00D9653B"/>
    <w:rsid w:val="00DA0F0A"/>
    <w:rsid w:val="00DA42E6"/>
    <w:rsid w:val="00DB2225"/>
    <w:rsid w:val="00DB2E24"/>
    <w:rsid w:val="00DC0128"/>
    <w:rsid w:val="00DC36E8"/>
    <w:rsid w:val="00DD3AE4"/>
    <w:rsid w:val="00DD6016"/>
    <w:rsid w:val="00DE21E9"/>
    <w:rsid w:val="00DE3431"/>
    <w:rsid w:val="00DE5CBA"/>
    <w:rsid w:val="00DF5626"/>
    <w:rsid w:val="00DF59FE"/>
    <w:rsid w:val="00DF5F7A"/>
    <w:rsid w:val="00DF6595"/>
    <w:rsid w:val="00E04E9D"/>
    <w:rsid w:val="00E14B8A"/>
    <w:rsid w:val="00E237BC"/>
    <w:rsid w:val="00E2401C"/>
    <w:rsid w:val="00E27E3F"/>
    <w:rsid w:val="00E345CF"/>
    <w:rsid w:val="00E40215"/>
    <w:rsid w:val="00E42764"/>
    <w:rsid w:val="00E43F2A"/>
    <w:rsid w:val="00E456B2"/>
    <w:rsid w:val="00E45A9F"/>
    <w:rsid w:val="00E52444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0B3"/>
    <w:rsid w:val="00E776F7"/>
    <w:rsid w:val="00E8116F"/>
    <w:rsid w:val="00E8132B"/>
    <w:rsid w:val="00E866F7"/>
    <w:rsid w:val="00E86D5A"/>
    <w:rsid w:val="00E86DAE"/>
    <w:rsid w:val="00E93B54"/>
    <w:rsid w:val="00E93DA7"/>
    <w:rsid w:val="00E9654A"/>
    <w:rsid w:val="00E967FC"/>
    <w:rsid w:val="00EA1DE3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401"/>
    <w:rsid w:val="00F248B8"/>
    <w:rsid w:val="00F3154F"/>
    <w:rsid w:val="00F333AA"/>
    <w:rsid w:val="00F356A1"/>
    <w:rsid w:val="00F36C29"/>
    <w:rsid w:val="00F37651"/>
    <w:rsid w:val="00F37A33"/>
    <w:rsid w:val="00F40820"/>
    <w:rsid w:val="00F42138"/>
    <w:rsid w:val="00F4516F"/>
    <w:rsid w:val="00F500EB"/>
    <w:rsid w:val="00F51149"/>
    <w:rsid w:val="00F534FE"/>
    <w:rsid w:val="00F577E0"/>
    <w:rsid w:val="00F63500"/>
    <w:rsid w:val="00F654FF"/>
    <w:rsid w:val="00F67DF6"/>
    <w:rsid w:val="00F71CB6"/>
    <w:rsid w:val="00F731E4"/>
    <w:rsid w:val="00F75947"/>
    <w:rsid w:val="00F805D4"/>
    <w:rsid w:val="00F81208"/>
    <w:rsid w:val="00F81B70"/>
    <w:rsid w:val="00F82987"/>
    <w:rsid w:val="00F836B2"/>
    <w:rsid w:val="00F861DA"/>
    <w:rsid w:val="00F86493"/>
    <w:rsid w:val="00F9111E"/>
    <w:rsid w:val="00F92729"/>
    <w:rsid w:val="00F9360B"/>
    <w:rsid w:val="00F971D0"/>
    <w:rsid w:val="00F97AFF"/>
    <w:rsid w:val="00FA04D1"/>
    <w:rsid w:val="00FA0D0F"/>
    <w:rsid w:val="00FA0D29"/>
    <w:rsid w:val="00FA1491"/>
    <w:rsid w:val="00FA78DB"/>
    <w:rsid w:val="00FB4B97"/>
    <w:rsid w:val="00FC01DA"/>
    <w:rsid w:val="00FC0E4E"/>
    <w:rsid w:val="00FC1614"/>
    <w:rsid w:val="00FC1FF4"/>
    <w:rsid w:val="00FC6B85"/>
    <w:rsid w:val="00FD0674"/>
    <w:rsid w:val="00FD0F21"/>
    <w:rsid w:val="00FD4D41"/>
    <w:rsid w:val="00FD53F7"/>
    <w:rsid w:val="00FE1A8B"/>
    <w:rsid w:val="00FE1F3C"/>
    <w:rsid w:val="00FE424A"/>
    <w:rsid w:val="00FE45A4"/>
    <w:rsid w:val="00FE4C3E"/>
    <w:rsid w:val="00FE7C1A"/>
    <w:rsid w:val="00FF1212"/>
    <w:rsid w:val="00FF2341"/>
    <w:rsid w:val="00FF7E8C"/>
    <w:rsid w:val="19B20738"/>
    <w:rsid w:val="22247B80"/>
    <w:rsid w:val="28C327FA"/>
    <w:rsid w:val="2A5E41E8"/>
    <w:rsid w:val="2F4E2672"/>
    <w:rsid w:val="33F63DC1"/>
    <w:rsid w:val="3B7D40B5"/>
    <w:rsid w:val="3BD57BA4"/>
    <w:rsid w:val="489801ED"/>
    <w:rsid w:val="496B5415"/>
    <w:rsid w:val="4AFB54B2"/>
    <w:rsid w:val="4B7C1AE3"/>
    <w:rsid w:val="4C0871B3"/>
    <w:rsid w:val="585B5F86"/>
    <w:rsid w:val="7A607535"/>
    <w:rsid w:val="7C27295F"/>
    <w:rsid w:val="7FC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4"/>
    <w:basedOn w:val="1"/>
    <w:next w:val="1"/>
    <w:link w:val="22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5">
    <w:name w:val="heading 6"/>
    <w:basedOn w:val="1"/>
    <w:next w:val="1"/>
    <w:link w:val="23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semiHidden/>
    <w:qFormat/>
    <w:uiPriority w:val="99"/>
    <w:pPr>
      <w:jc w:val="left"/>
    </w:pPr>
    <w:rPr>
      <w:rFonts w:ascii="Calibri" w:hAnsi="Calibri" w:cs="Calibri"/>
      <w:kern w:val="0"/>
      <w:sz w:val="24"/>
      <w:szCs w:val="24"/>
    </w:rPr>
  </w:style>
  <w:style w:type="paragraph" w:styleId="7">
    <w:name w:val="Body Text"/>
    <w:basedOn w:val="1"/>
    <w:link w:val="25"/>
    <w:qFormat/>
    <w:uiPriority w:val="99"/>
    <w:pPr>
      <w:spacing w:after="120"/>
    </w:pPr>
    <w:rPr>
      <w:kern w:val="0"/>
      <w:sz w:val="24"/>
      <w:szCs w:val="24"/>
    </w:rPr>
  </w:style>
  <w:style w:type="paragraph" w:styleId="8">
    <w:name w:val="Body Text Indent"/>
    <w:basedOn w:val="1"/>
    <w:link w:val="26"/>
    <w:semiHidden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9">
    <w:name w:val="Body Text Indent 2"/>
    <w:basedOn w:val="1"/>
    <w:link w:val="27"/>
    <w:qFormat/>
    <w:uiPriority w:val="99"/>
    <w:pPr>
      <w:spacing w:after="120" w:line="480" w:lineRule="auto"/>
      <w:ind w:left="420" w:leftChars="200"/>
    </w:pPr>
    <w:rPr>
      <w:kern w:val="0"/>
      <w:sz w:val="24"/>
      <w:szCs w:val="24"/>
    </w:rPr>
  </w:style>
  <w:style w:type="paragraph" w:styleId="10">
    <w:name w:val="Balloon Text"/>
    <w:basedOn w:val="1"/>
    <w:link w:val="28"/>
    <w:semiHidden/>
    <w:qFormat/>
    <w:uiPriority w:val="99"/>
    <w:rPr>
      <w:kern w:val="0"/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kern w:val="0"/>
      <w:sz w:val="18"/>
      <w:szCs w:val="18"/>
    </w:rPr>
  </w:style>
  <w:style w:type="paragraph" w:styleId="12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kern w:val="0"/>
      <w:sz w:val="18"/>
      <w:szCs w:val="18"/>
    </w:rPr>
  </w:style>
  <w:style w:type="paragraph" w:styleId="13">
    <w:name w:val="annotation subject"/>
    <w:basedOn w:val="6"/>
    <w:next w:val="6"/>
    <w:link w:val="31"/>
    <w:semiHidden/>
    <w:qFormat/>
    <w:uiPriority w:val="99"/>
    <w:rPr>
      <w:rFonts w:ascii="Times New Roman" w:hAnsi="Times New Roman" w:cs="Times New Roman"/>
      <w:b/>
      <w:bCs/>
    </w:rPr>
  </w:style>
  <w:style w:type="paragraph" w:styleId="14">
    <w:name w:val="Body Text First Indent 2"/>
    <w:basedOn w:val="8"/>
    <w:link w:val="32"/>
    <w:semiHidden/>
    <w:qFormat/>
    <w:uiPriority w:val="99"/>
    <w:pPr>
      <w:spacing w:line="360" w:lineRule="auto"/>
      <w:ind w:firstLine="420" w:firstLineChars="200"/>
      <w:jc w:val="left"/>
    </w:pPr>
  </w:style>
  <w:style w:type="table" w:styleId="16">
    <w:name w:val="Table Grid"/>
    <w:basedOn w:val="15"/>
    <w:qFormat/>
    <w:locked/>
    <w:uiPriority w:val="99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</w:style>
  <w:style w:type="character" w:styleId="19">
    <w:name w:val="annotation reference"/>
    <w:basedOn w:val="17"/>
    <w:semiHidden/>
    <w:qFormat/>
    <w:uiPriority w:val="99"/>
    <w:rPr>
      <w:sz w:val="21"/>
      <w:szCs w:val="21"/>
    </w:rPr>
  </w:style>
  <w:style w:type="character" w:customStyle="1" w:styleId="20">
    <w:name w:val="Heading 1 Char"/>
    <w:basedOn w:val="17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Heading 2 Char"/>
    <w:basedOn w:val="17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2">
    <w:name w:val="Heading 4 Char"/>
    <w:basedOn w:val="17"/>
    <w:link w:val="4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3">
    <w:name w:val="Heading 6 Char"/>
    <w:basedOn w:val="17"/>
    <w:link w:val="5"/>
    <w:qFormat/>
    <w:locked/>
    <w:uiPriority w:val="99"/>
    <w:rPr>
      <w:rFonts w:ascii="Cambria" w:hAnsi="Cambria" w:eastAsia="宋体" w:cs="Cambria"/>
      <w:b/>
      <w:bCs/>
      <w:kern w:val="0"/>
      <w:sz w:val="24"/>
      <w:szCs w:val="24"/>
    </w:rPr>
  </w:style>
  <w:style w:type="character" w:customStyle="1" w:styleId="24">
    <w:name w:val="Comment Text Char"/>
    <w:basedOn w:val="17"/>
    <w:link w:val="6"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25">
    <w:name w:val="Body Text Char"/>
    <w:basedOn w:val="17"/>
    <w:link w:val="7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Body Text Indent Char"/>
    <w:basedOn w:val="17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Body Text Indent 2 Char"/>
    <w:basedOn w:val="17"/>
    <w:link w:val="9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8">
    <w:name w:val="Balloon Text Char"/>
    <w:basedOn w:val="17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oter Char"/>
    <w:basedOn w:val="17"/>
    <w:link w:val="11"/>
    <w:qFormat/>
    <w:locked/>
    <w:uiPriority w:val="99"/>
    <w:rPr>
      <w:sz w:val="18"/>
      <w:szCs w:val="18"/>
    </w:rPr>
  </w:style>
  <w:style w:type="character" w:customStyle="1" w:styleId="30">
    <w:name w:val="Header Char"/>
    <w:basedOn w:val="17"/>
    <w:link w:val="12"/>
    <w:qFormat/>
    <w:locked/>
    <w:uiPriority w:val="99"/>
    <w:rPr>
      <w:sz w:val="18"/>
      <w:szCs w:val="18"/>
    </w:rPr>
  </w:style>
  <w:style w:type="character" w:customStyle="1" w:styleId="31">
    <w:name w:val="Comment Subject Char"/>
    <w:basedOn w:val="24"/>
    <w:link w:val="13"/>
    <w:semiHidden/>
    <w:qFormat/>
    <w:locked/>
    <w:uiPriority w:val="99"/>
    <w:rPr>
      <w:rFonts w:ascii="Times New Roman" w:hAnsi="Times New Roman" w:cs="Times New Roman"/>
      <w:b/>
      <w:bCs/>
    </w:rPr>
  </w:style>
  <w:style w:type="character" w:customStyle="1" w:styleId="32">
    <w:name w:val="Body Text First Indent 2 Char"/>
    <w:basedOn w:val="26"/>
    <w:link w:val="14"/>
    <w:semiHidden/>
    <w:qFormat/>
    <w:locked/>
    <w:uiPriority w:val="99"/>
    <w:rPr>
      <w:kern w:val="0"/>
    </w:rPr>
  </w:style>
  <w:style w:type="character" w:customStyle="1" w:styleId="33">
    <w:name w:val="标题 3 Char Char Char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Char Char74"/>
    <w:qFormat/>
    <w:uiPriority w:val="99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35">
    <w:name w:val="正文首行缩进两字符"/>
    <w:basedOn w:val="1"/>
    <w:qFormat/>
    <w:uiPriority w:val="99"/>
    <w:pPr>
      <w:spacing w:line="360" w:lineRule="auto"/>
      <w:ind w:firstLine="200" w:firstLineChars="200"/>
    </w:pPr>
    <w:rPr>
      <w:rFonts w:ascii="宋体" w:cs="宋体"/>
      <w:kern w:val="0"/>
      <w:sz w:val="34"/>
      <w:szCs w:val="34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</w:style>
  <w:style w:type="character" w:customStyle="1" w:styleId="37">
    <w:name w:val="批注文字 字符2"/>
    <w:qFormat/>
    <w:uiPriority w:val="99"/>
    <w:rPr>
      <w:rFonts w:ascii="宋体" w:cs="宋体"/>
      <w:sz w:val="34"/>
      <w:szCs w:val="34"/>
    </w:rPr>
  </w:style>
  <w:style w:type="character" w:customStyle="1" w:styleId="38">
    <w:name w:val="Char Char15"/>
    <w:qFormat/>
    <w:uiPriority w:val="99"/>
    <w:rPr>
      <w:rFonts w:ascii="宋体" w:eastAsia="宋体" w:cs="宋体"/>
      <w:color w:val="000000"/>
      <w:sz w:val="34"/>
      <w:szCs w:val="34"/>
    </w:rPr>
  </w:style>
  <w:style w:type="paragraph" w:styleId="39">
    <w:name w:val="List Paragraph"/>
    <w:basedOn w:val="1"/>
    <w:link w:val="40"/>
    <w:qFormat/>
    <w:uiPriority w:val="99"/>
    <w:pPr>
      <w:ind w:firstLine="420" w:firstLineChars="200"/>
    </w:pPr>
    <w:rPr>
      <w:rFonts w:ascii="Calibri" w:hAnsi="Calibri" w:cs="Calibri"/>
      <w:kern w:val="0"/>
      <w:sz w:val="20"/>
      <w:szCs w:val="20"/>
    </w:rPr>
  </w:style>
  <w:style w:type="character" w:customStyle="1" w:styleId="40">
    <w:name w:val="List Paragraph Char"/>
    <w:link w:val="39"/>
    <w:qFormat/>
    <w:locked/>
    <w:uiPriority w:val="99"/>
    <w:rPr>
      <w:rFonts w:ascii="Calibri" w:hAnsi="Calibri" w:eastAsia="宋体" w:cs="Calibri"/>
      <w:lang w:val="en-US" w:eastAsia="zh-CN"/>
    </w:rPr>
  </w:style>
  <w:style w:type="paragraph" w:customStyle="1" w:styleId="41">
    <w:name w:val="正文首行缩进1"/>
    <w:basedOn w:val="1"/>
    <w:next w:val="1"/>
    <w:semiHidden/>
    <w:qFormat/>
    <w:uiPriority w:val="99"/>
    <w:pPr>
      <w:spacing w:before="100" w:beforeAutospacing="1" w:after="120"/>
      <w:ind w:firstLine="420" w:firstLineChars="100"/>
    </w:pPr>
  </w:style>
  <w:style w:type="character" w:customStyle="1" w:styleId="42">
    <w:name w:val="Char Char8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43">
    <w:name w:val="Char Char2"/>
    <w:qFormat/>
    <w:locked/>
    <w:uiPriority w:val="99"/>
    <w:rPr>
      <w:rFonts w:ascii="宋体" w:hAnsi="宋体" w:eastAsia="宋体" w:cs="宋体"/>
      <w:sz w:val="34"/>
      <w:szCs w:val="34"/>
      <w:lang w:val="en-US" w:eastAsia="zh-CN"/>
    </w:rPr>
  </w:style>
  <w:style w:type="paragraph" w:customStyle="1" w:styleId="44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hAnsi="Calibri" w:eastAsia="Times New Roman" w:cs="宋体"/>
      <w:kern w:val="0"/>
      <w:sz w:val="28"/>
      <w:szCs w:val="28"/>
    </w:rPr>
  </w:style>
  <w:style w:type="character" w:customStyle="1" w:styleId="45">
    <w:name w:val="Char Char21"/>
    <w:qFormat/>
    <w:uiPriority w:val="99"/>
    <w:rPr>
      <w:rFonts w:ascii="宋体" w:eastAsia="宋体" w:cs="宋体"/>
      <w:sz w:val="34"/>
      <w:szCs w:val="34"/>
      <w:lang w:val="en-US" w:eastAsia="zh-CN"/>
    </w:rPr>
  </w:style>
  <w:style w:type="paragraph" w:customStyle="1" w:styleId="46">
    <w:name w:val="表格"/>
    <w:basedOn w:val="1"/>
    <w:qFormat/>
    <w:uiPriority w:val="99"/>
    <w:pPr>
      <w:spacing w:line="400" w:lineRule="exact"/>
    </w:pPr>
    <w:rPr>
      <w:sz w:val="24"/>
      <w:szCs w:val="24"/>
    </w:rPr>
  </w:style>
  <w:style w:type="paragraph" w:customStyle="1" w:styleId="47">
    <w:name w:val="15、“一、”二级标题"/>
    <w:basedOn w:val="1"/>
    <w:qFormat/>
    <w:uiPriority w:val="99"/>
    <w:pPr>
      <w:tabs>
        <w:tab w:val="left" w:pos="0"/>
      </w:tabs>
      <w:wordWrap w:val="0"/>
      <w:topLinePunct/>
      <w:autoSpaceDE w:val="0"/>
      <w:autoSpaceDN w:val="0"/>
      <w:ind w:firstLine="803" w:firstLineChars="200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48">
    <w:name w:val="05、“(一)”正文三级标题"/>
    <w:basedOn w:val="1"/>
    <w:qFormat/>
    <w:uiPriority w:val="99"/>
    <w:pPr>
      <w:numPr>
        <w:ilvl w:val="0"/>
        <w:numId w:val="1"/>
      </w:numPr>
      <w:tabs>
        <w:tab w:val="left" w:pos="0"/>
      </w:tabs>
      <w:wordWrap w:val="0"/>
      <w:topLinePunct/>
      <w:autoSpaceDE w:val="0"/>
      <w:autoSpaceDN w:val="0"/>
      <w:ind w:firstLine="803" w:firstLineChars="200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49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2427</Words>
  <Characters>2583</Characters>
  <Lines>0</Lines>
  <Paragraphs>0</Paragraphs>
  <TotalTime>13</TotalTime>
  <ScaleCrop>false</ScaleCrop>
  <LinksUpToDate>false</LinksUpToDate>
  <CharactersWithSpaces>2592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2022-09-15T00:36:00Z</dcterms:created>
  <dc:creator>cheng</dc:creator>
  <cp:lastModifiedBy>cuiyao</cp:lastModifiedBy>
  <cp:lastPrinted>2021-12-02T01:03:00Z</cp:lastPrinted>
  <dcterms:modified xsi:type="dcterms:W3CDTF">2025-04-18T02:03:56Z</dcterms:modified>
  <dc:title>四川天府新区人民医院供应室设备采购项目比选文件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C1D8D55C0C304B1DB8598A718148E270</vt:lpwstr>
  </property>
</Properties>
</file>