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EF" w:rsidRPr="00091477" w:rsidRDefault="00E260EF">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sidRPr="00091477">
        <w:rPr>
          <w:rStyle w:val="3CharCharChar"/>
          <w:rFonts w:ascii="黑体" w:eastAsia="黑体" w:hAnsi="黑体" w:cs="黑体" w:hint="eastAsia"/>
          <w:sz w:val="28"/>
          <w:szCs w:val="28"/>
        </w:rPr>
        <w:t>四川天府新区人民医院抢救车采购项目</w:t>
      </w:r>
      <w:r w:rsidRPr="00091477">
        <w:rPr>
          <w:rStyle w:val="3CharCharChar"/>
          <w:rFonts w:ascii="黑体" w:eastAsia="黑体" w:hAnsi="黑体" w:cs="黑体"/>
          <w:sz w:val="28"/>
          <w:szCs w:val="28"/>
        </w:rPr>
        <w:t>(</w:t>
      </w:r>
      <w:r>
        <w:rPr>
          <w:rStyle w:val="3CharCharChar"/>
          <w:rFonts w:ascii="黑体" w:eastAsia="黑体" w:hAnsi="黑体" w:cs="黑体" w:hint="eastAsia"/>
          <w:sz w:val="28"/>
          <w:szCs w:val="28"/>
        </w:rPr>
        <w:t>三次</w:t>
      </w:r>
      <w:r w:rsidRPr="00091477">
        <w:rPr>
          <w:rStyle w:val="3CharCharChar"/>
          <w:rFonts w:ascii="黑体" w:eastAsia="黑体" w:hAnsi="黑体" w:cs="黑体"/>
          <w:sz w:val="28"/>
          <w:szCs w:val="28"/>
        </w:rPr>
        <w:t>)</w:t>
      </w:r>
      <w:r w:rsidRPr="00091477">
        <w:rPr>
          <w:rStyle w:val="3CharCharChar"/>
          <w:rFonts w:ascii="黑体" w:eastAsia="黑体" w:hAnsi="黑体" w:cs="黑体" w:hint="eastAsia"/>
          <w:sz w:val="28"/>
          <w:szCs w:val="28"/>
        </w:rPr>
        <w:t>询价通知书</w:t>
      </w:r>
    </w:p>
    <w:p w:rsidR="00E260EF" w:rsidRDefault="00E260EF">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p>
    <w:p w:rsidR="00E260EF" w:rsidRDefault="00E260EF">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202210001</w:t>
      </w:r>
    </w:p>
    <w:p w:rsidR="00E260EF" w:rsidRPr="00F248B8" w:rsidRDefault="00E260EF">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四川天府新区人民医院抢救车采购项目</w:t>
      </w:r>
      <w:r w:rsidRPr="00B1370B">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三次</w:t>
      </w:r>
      <w:r w:rsidRPr="00B1370B">
        <w:rPr>
          <w:rFonts w:ascii="仿宋" w:eastAsia="仿宋" w:hAnsi="仿宋" w:cs="仿宋"/>
          <w:b w:val="0"/>
          <w:bCs w:val="0"/>
          <w:spacing w:val="-20"/>
          <w:kern w:val="2"/>
          <w:sz w:val="28"/>
          <w:szCs w:val="28"/>
        </w:rPr>
        <w:t>)</w:t>
      </w:r>
    </w:p>
    <w:p w:rsidR="00E260EF" w:rsidRPr="00A23AB5" w:rsidRDefault="00E260EF">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抢救车</w:t>
      </w:r>
      <w:r w:rsidRPr="00A23AB5">
        <w:rPr>
          <w:rFonts w:ascii="仿宋" w:eastAsia="仿宋" w:hAnsi="仿宋" w:cs="仿宋" w:hint="eastAsia"/>
          <w:spacing w:val="-20"/>
          <w:sz w:val="28"/>
          <w:szCs w:val="28"/>
        </w:rPr>
        <w:t>。</w:t>
      </w:r>
    </w:p>
    <w:p w:rsidR="00E260EF" w:rsidRDefault="00E260EF">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E260EF" w:rsidRDefault="00E260EF">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E260EF" w:rsidRDefault="00E260EF">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E260EF" w:rsidRDefault="00E260EF">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E260EF" w:rsidRDefault="00E260EF">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E260EF" w:rsidRDefault="00E260EF" w:rsidP="00E01D66">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E260EF" w:rsidRDefault="00E260EF" w:rsidP="00E01D66">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E260EF" w:rsidRDefault="00E260EF" w:rsidP="00E01D66">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E260EF" w:rsidRDefault="00E260EF">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E260EF" w:rsidRDefault="00E260EF" w:rsidP="00E01D66">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E260EF" w:rsidRDefault="00E260EF" w:rsidP="00E01D66">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E260EF" w:rsidRPr="00565239"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E260EF" w:rsidRDefault="00E260EF" w:rsidP="00E01D66">
      <w:pPr>
        <w:shd w:val="clear" w:color="auto" w:fill="FFFFFF"/>
        <w:tabs>
          <w:tab w:val="left" w:pos="900"/>
        </w:tabs>
        <w:adjustRightInd w:val="0"/>
        <w:snapToGrid w:val="0"/>
        <w:spacing w:line="360" w:lineRule="auto"/>
        <w:ind w:firstLineChars="250" w:firstLine="31680"/>
        <w:outlineLvl w:val="5"/>
        <w:rPr>
          <w:rFonts w:ascii="仿宋" w:eastAsia="仿宋" w:hAnsi="仿宋"/>
          <w:sz w:val="28"/>
          <w:szCs w:val="28"/>
        </w:rPr>
      </w:pPr>
      <w:r>
        <w:rPr>
          <w:rFonts w:ascii="仿宋" w:eastAsia="仿宋" w:hAnsi="仿宋" w:cs="仿宋" w:hint="eastAsia"/>
          <w:sz w:val="28"/>
          <w:szCs w:val="28"/>
        </w:rPr>
        <w:t>无</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E260EF" w:rsidRDefault="00E260EF" w:rsidP="00E01D66">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E260EF" w:rsidRDefault="00E260EF">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E260EF" w:rsidRPr="00274F05" w:rsidRDefault="00E260EF" w:rsidP="00274F05">
      <w:pPr>
        <w:rPr>
          <w:rFonts w:ascii="仿宋" w:eastAsia="仿宋" w:hAnsi="仿宋"/>
          <w:color w:val="000000"/>
          <w:sz w:val="28"/>
          <w:szCs w:val="28"/>
        </w:rPr>
      </w:pPr>
      <w:bookmarkStart w:id="22" w:name="_Toc27048"/>
      <w:bookmarkStart w:id="23" w:name="_Toc487393124"/>
      <w:bookmarkStart w:id="24" w:name="_Toc14885"/>
      <w:bookmarkStart w:id="25" w:name="_Toc29518"/>
      <w:r w:rsidRPr="00274F05">
        <w:rPr>
          <w:rFonts w:ascii="仿宋" w:eastAsia="仿宋" w:hAnsi="仿宋" w:cs="仿宋" w:hint="eastAsia"/>
          <w:b/>
          <w:bCs/>
          <w:color w:val="000000"/>
          <w:sz w:val="28"/>
          <w:szCs w:val="28"/>
        </w:rPr>
        <w:t>第一部分：</w:t>
      </w:r>
      <w:r>
        <w:rPr>
          <w:rFonts w:ascii="仿宋" w:eastAsia="仿宋" w:hAnsi="仿宋" w:cs="仿宋" w:hint="eastAsia"/>
          <w:color w:val="000000"/>
          <w:sz w:val="28"/>
          <w:szCs w:val="28"/>
        </w:rPr>
        <w:t>技术</w:t>
      </w:r>
      <w:r w:rsidRPr="00274F05">
        <w:rPr>
          <w:rFonts w:ascii="仿宋" w:eastAsia="仿宋" w:hAnsi="仿宋" w:cs="仿宋" w:hint="eastAsia"/>
          <w:color w:val="000000"/>
          <w:sz w:val="28"/>
          <w:szCs w:val="28"/>
        </w:rPr>
        <w:t>要求</w:t>
      </w:r>
      <w:r w:rsidRPr="00274F05">
        <w:rPr>
          <w:rFonts w:ascii="仿宋" w:eastAsia="仿宋" w:hAnsi="仿宋" w:cs="仿宋"/>
          <w:color w:val="000000"/>
          <w:sz w:val="28"/>
          <w:szCs w:val="28"/>
        </w:rPr>
        <w:t>(</w:t>
      </w:r>
      <w:r w:rsidRPr="00274F05">
        <w:rPr>
          <w:rFonts w:ascii="仿宋" w:eastAsia="仿宋" w:hAnsi="仿宋" w:cs="仿宋" w:hint="eastAsia"/>
          <w:color w:val="000000"/>
          <w:sz w:val="28"/>
          <w:szCs w:val="28"/>
        </w:rPr>
        <w:t>实质性要求，供应商不满足的，将按照无效响应处理。</w:t>
      </w:r>
      <w:r w:rsidRPr="00274F05">
        <w:rPr>
          <w:rFonts w:ascii="仿宋" w:eastAsia="仿宋" w:hAnsi="仿宋" w:cs="仿宋"/>
          <w:color w:val="000000"/>
          <w:sz w:val="28"/>
          <w:szCs w:val="28"/>
        </w:rPr>
        <w:t>)</w:t>
      </w:r>
    </w:p>
    <w:tbl>
      <w:tblPr>
        <w:tblpPr w:leftFromText="180" w:rightFromText="180" w:vertAnchor="text" w:horzAnchor="margin" w:tblpY="158"/>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3"/>
        <w:gridCol w:w="3406"/>
        <w:gridCol w:w="369"/>
        <w:gridCol w:w="542"/>
        <w:gridCol w:w="1264"/>
        <w:gridCol w:w="1254"/>
      </w:tblGrid>
      <w:tr w:rsidR="00E260EF" w:rsidRPr="00DE5CBA">
        <w:tc>
          <w:tcPr>
            <w:tcW w:w="836" w:type="pct"/>
            <w:vAlign w:val="center"/>
          </w:tcPr>
          <w:bookmarkEnd w:id="22"/>
          <w:bookmarkEnd w:id="23"/>
          <w:bookmarkEnd w:id="24"/>
          <w:bookmarkEnd w:id="25"/>
          <w:p w:rsidR="00E260EF" w:rsidRPr="00A065B7" w:rsidRDefault="00E260EF" w:rsidP="00FF7E8C">
            <w:pPr>
              <w:spacing w:line="360" w:lineRule="auto"/>
              <w:jc w:val="center"/>
              <w:rPr>
                <w:rFonts w:ascii="宋体"/>
              </w:rPr>
            </w:pPr>
            <w:r w:rsidRPr="00A065B7">
              <w:rPr>
                <w:rFonts w:ascii="宋体" w:hAnsi="宋体" w:cs="宋体" w:hint="eastAsia"/>
              </w:rPr>
              <w:t>名称</w:t>
            </w:r>
          </w:p>
        </w:tc>
        <w:tc>
          <w:tcPr>
            <w:tcW w:w="2075" w:type="pct"/>
            <w:vAlign w:val="center"/>
          </w:tcPr>
          <w:p w:rsidR="00E260EF" w:rsidRPr="00A065B7" w:rsidRDefault="00E260EF" w:rsidP="00FF7E8C">
            <w:pPr>
              <w:spacing w:line="360" w:lineRule="auto"/>
              <w:jc w:val="center"/>
              <w:rPr>
                <w:rFonts w:ascii="宋体"/>
              </w:rPr>
            </w:pPr>
            <w:r w:rsidRPr="00A065B7">
              <w:rPr>
                <w:rFonts w:ascii="宋体" w:hAnsi="宋体" w:cs="宋体" w:hint="eastAsia"/>
              </w:rPr>
              <w:t>技术参数</w:t>
            </w:r>
          </w:p>
        </w:tc>
        <w:tc>
          <w:tcPr>
            <w:tcW w:w="225" w:type="pct"/>
            <w:vAlign w:val="center"/>
          </w:tcPr>
          <w:p w:rsidR="00E260EF" w:rsidRDefault="00E260EF" w:rsidP="00FF7E8C">
            <w:pPr>
              <w:spacing w:line="360" w:lineRule="auto"/>
              <w:jc w:val="center"/>
              <w:rPr>
                <w:rFonts w:ascii="宋体"/>
              </w:rPr>
            </w:pPr>
            <w:r>
              <w:rPr>
                <w:rFonts w:ascii="宋体" w:hAnsi="宋体" w:cs="宋体" w:hint="eastAsia"/>
              </w:rPr>
              <w:t>单位</w:t>
            </w:r>
          </w:p>
        </w:tc>
        <w:tc>
          <w:tcPr>
            <w:tcW w:w="330" w:type="pct"/>
            <w:vAlign w:val="center"/>
          </w:tcPr>
          <w:p w:rsidR="00E260EF" w:rsidRDefault="00E260EF" w:rsidP="00FF7E8C">
            <w:pPr>
              <w:spacing w:line="360" w:lineRule="auto"/>
              <w:jc w:val="center"/>
              <w:rPr>
                <w:rFonts w:ascii="宋体"/>
              </w:rPr>
            </w:pPr>
            <w:r>
              <w:rPr>
                <w:rFonts w:ascii="宋体" w:hAnsi="宋体" w:cs="宋体" w:hint="eastAsia"/>
              </w:rPr>
              <w:t>数量</w:t>
            </w:r>
          </w:p>
        </w:tc>
        <w:tc>
          <w:tcPr>
            <w:tcW w:w="770" w:type="pct"/>
            <w:vAlign w:val="center"/>
          </w:tcPr>
          <w:p w:rsidR="00E260EF" w:rsidRDefault="00E260EF" w:rsidP="00FF7E8C">
            <w:pPr>
              <w:spacing w:line="360" w:lineRule="auto"/>
              <w:jc w:val="center"/>
              <w:rPr>
                <w:rFonts w:ascii="宋体"/>
              </w:rPr>
            </w:pPr>
            <w:r>
              <w:rPr>
                <w:rFonts w:ascii="宋体" w:hAnsi="宋体" w:cs="宋体" w:hint="eastAsia"/>
              </w:rPr>
              <w:t>单价</w:t>
            </w:r>
          </w:p>
        </w:tc>
        <w:tc>
          <w:tcPr>
            <w:tcW w:w="764" w:type="pct"/>
            <w:vAlign w:val="center"/>
          </w:tcPr>
          <w:p w:rsidR="00E260EF" w:rsidRDefault="00E260EF" w:rsidP="00FF7E8C">
            <w:pPr>
              <w:spacing w:line="360" w:lineRule="auto"/>
              <w:jc w:val="center"/>
              <w:rPr>
                <w:rFonts w:ascii="宋体"/>
              </w:rPr>
            </w:pPr>
            <w:r>
              <w:rPr>
                <w:rFonts w:ascii="宋体" w:hAnsi="宋体" w:cs="宋体" w:hint="eastAsia"/>
              </w:rPr>
              <w:t>总价</w:t>
            </w:r>
          </w:p>
        </w:tc>
      </w:tr>
      <w:tr w:rsidR="00E260EF" w:rsidRPr="00DE5CBA">
        <w:trPr>
          <w:trHeight w:val="3866"/>
        </w:trPr>
        <w:tc>
          <w:tcPr>
            <w:tcW w:w="836" w:type="pct"/>
            <w:vAlign w:val="center"/>
          </w:tcPr>
          <w:p w:rsidR="00E260EF" w:rsidRPr="00A065B7" w:rsidRDefault="00E260EF" w:rsidP="001B2558">
            <w:pPr>
              <w:spacing w:line="360" w:lineRule="auto"/>
              <w:jc w:val="center"/>
              <w:rPr>
                <w:rFonts w:ascii="宋体"/>
              </w:rPr>
            </w:pPr>
            <w:r>
              <w:rPr>
                <w:rFonts w:ascii="宋体" w:hAnsi="宋体" w:cs="宋体" w:hint="eastAsia"/>
              </w:rPr>
              <w:t>抢救车</w:t>
            </w:r>
          </w:p>
        </w:tc>
        <w:tc>
          <w:tcPr>
            <w:tcW w:w="2075" w:type="pct"/>
          </w:tcPr>
          <w:p w:rsidR="00E260EF" w:rsidRDefault="00E260EF" w:rsidP="001B2558">
            <w:pPr>
              <w:jc w:val="left"/>
              <w:rPr>
                <w:rFonts w:ascii="宋体" w:hAnsi="宋体" w:cs="宋体"/>
                <w:color w:val="000000"/>
              </w:rPr>
            </w:pPr>
            <w:r>
              <w:rPr>
                <w:rFonts w:ascii="宋体" w:hAnsi="宋体" w:cs="宋体"/>
                <w:color w:val="000000"/>
              </w:rPr>
              <w:t>1.</w:t>
            </w:r>
            <w:r>
              <w:rPr>
                <w:rFonts w:ascii="宋体" w:hAnsi="宋体" w:cs="宋体" w:hint="eastAsia"/>
                <w:color w:val="000000"/>
              </w:rPr>
              <w:t>规格不小于</w:t>
            </w:r>
            <w:r>
              <w:rPr>
                <w:rFonts w:ascii="宋体" w:hAnsi="宋体" w:cs="宋体"/>
                <w:color w:val="000000"/>
              </w:rPr>
              <w:t>740mm*520mm*960mm;</w:t>
            </w:r>
          </w:p>
          <w:p w:rsidR="00E260EF" w:rsidRDefault="00E260EF" w:rsidP="001B2558">
            <w:pPr>
              <w:jc w:val="left"/>
              <w:rPr>
                <w:rFonts w:ascii="宋体"/>
                <w:color w:val="000000"/>
              </w:rPr>
            </w:pPr>
            <w:r>
              <w:rPr>
                <w:rFonts w:ascii="宋体" w:hAnsi="宋体" w:cs="宋体"/>
                <w:color w:val="000000"/>
              </w:rPr>
              <w:t>2.</w:t>
            </w:r>
            <w:r>
              <w:rPr>
                <w:rFonts w:ascii="宋体" w:hAnsi="宋体" w:cs="宋体" w:hint="eastAsia"/>
                <w:color w:val="000000"/>
              </w:rPr>
              <w:t>推车立柱采用高强度铝合金型材，侧板与背板采用厚度为</w:t>
            </w:r>
            <w:r>
              <w:rPr>
                <w:rFonts w:ascii="宋体" w:hAnsi="宋体" w:cs="宋体"/>
                <w:color w:val="000000"/>
              </w:rPr>
              <w:t>4mm</w:t>
            </w:r>
            <w:r>
              <w:rPr>
                <w:rFonts w:ascii="宋体" w:hAnsi="宋体" w:cs="宋体" w:hint="eastAsia"/>
                <w:color w:val="000000"/>
              </w:rPr>
              <w:t>优质工业铝塑板，整体搭配合理，外形美观，推行方便；</w:t>
            </w:r>
          </w:p>
          <w:p w:rsidR="00E260EF" w:rsidRDefault="00E260EF" w:rsidP="001B2558">
            <w:pPr>
              <w:jc w:val="left"/>
              <w:rPr>
                <w:rFonts w:ascii="宋体"/>
                <w:color w:val="000000"/>
              </w:rPr>
            </w:pPr>
            <w:r>
              <w:rPr>
                <w:rFonts w:ascii="宋体" w:hAnsi="宋体" w:cs="宋体"/>
                <w:color w:val="000000"/>
              </w:rPr>
              <w:t xml:space="preserve">3. </w:t>
            </w:r>
            <w:r>
              <w:rPr>
                <w:rFonts w:ascii="宋体" w:hAnsi="宋体" w:cs="宋体" w:hint="eastAsia"/>
                <w:color w:val="000000"/>
              </w:rPr>
              <w:t>台面及底座采用</w:t>
            </w:r>
            <w:r>
              <w:rPr>
                <w:rFonts w:ascii="宋体" w:hAnsi="宋体" w:cs="宋体"/>
                <w:color w:val="000000"/>
              </w:rPr>
              <w:t>ABS</w:t>
            </w:r>
            <w:r>
              <w:rPr>
                <w:rFonts w:ascii="宋体" w:hAnsi="宋体" w:cs="宋体" w:hint="eastAsia"/>
                <w:color w:val="000000"/>
              </w:rPr>
              <w:t>高级工程塑料一次性注塑成型，台面三方带</w:t>
            </w:r>
            <w:r>
              <w:rPr>
                <w:rFonts w:ascii="宋体" w:hAnsi="宋体" w:cs="宋体"/>
                <w:color w:val="000000"/>
              </w:rPr>
              <w:t>ABS</w:t>
            </w:r>
            <w:r>
              <w:rPr>
                <w:rFonts w:ascii="宋体" w:hAnsi="宋体" w:cs="宋体" w:hint="eastAsia"/>
                <w:color w:val="000000"/>
              </w:rPr>
              <w:t>围栏，外表光洁、美观；</w:t>
            </w:r>
          </w:p>
          <w:p w:rsidR="00E260EF" w:rsidRDefault="00E260EF" w:rsidP="001B2558">
            <w:pPr>
              <w:rPr>
                <w:rFonts w:ascii="宋体"/>
                <w:color w:val="000000"/>
              </w:rPr>
            </w:pPr>
            <w:r>
              <w:rPr>
                <w:rFonts w:ascii="宋体" w:hAnsi="宋体" w:cs="宋体"/>
                <w:color w:val="000000"/>
              </w:rPr>
              <w:t xml:space="preserve">4. </w:t>
            </w:r>
            <w:r>
              <w:rPr>
                <w:rFonts w:ascii="宋体" w:hAnsi="宋体" w:cs="宋体" w:hint="eastAsia"/>
                <w:color w:val="000000"/>
              </w:rPr>
              <w:t>抽屉主要由抽屉面板、抽屉框架、抽屉塑料药盘和活动分隔板组成，抽屉面板和框架为钢制结构，抽屉拉手为</w:t>
            </w:r>
            <w:r>
              <w:rPr>
                <w:rFonts w:ascii="宋体" w:hAnsi="宋体" w:cs="宋体"/>
                <w:color w:val="000000"/>
              </w:rPr>
              <w:t>ABS</w:t>
            </w:r>
            <w:r>
              <w:rPr>
                <w:rFonts w:ascii="宋体" w:hAnsi="宋体" w:cs="宋体" w:hint="eastAsia"/>
                <w:color w:val="000000"/>
              </w:rPr>
              <w:t>弧形拉手；</w:t>
            </w:r>
          </w:p>
          <w:p w:rsidR="00E260EF" w:rsidRDefault="00E260EF" w:rsidP="001B2558">
            <w:pPr>
              <w:jc w:val="left"/>
              <w:rPr>
                <w:rFonts w:ascii="宋体"/>
                <w:color w:val="000000"/>
              </w:rPr>
            </w:pPr>
            <w:r>
              <w:rPr>
                <w:rFonts w:ascii="宋体" w:hAnsi="宋体" w:cs="宋体"/>
                <w:color w:val="000000"/>
              </w:rPr>
              <w:t xml:space="preserve">5. </w:t>
            </w:r>
            <w:r>
              <w:rPr>
                <w:rFonts w:ascii="宋体" w:hAnsi="宋体" w:cs="宋体" w:hint="eastAsia"/>
                <w:color w:val="000000"/>
              </w:rPr>
              <w:t>急救车后方输液架为可调式，根据需要自行调节高度。输液架材料采用Φ</w:t>
            </w:r>
            <w:r>
              <w:rPr>
                <w:rFonts w:ascii="宋体" w:hAnsi="宋体" w:cs="宋体"/>
                <w:color w:val="000000"/>
              </w:rPr>
              <w:t>16</w:t>
            </w:r>
            <w:r>
              <w:rPr>
                <w:rFonts w:ascii="宋体" w:hAnsi="宋体" w:cs="宋体" w:hint="eastAsia"/>
                <w:color w:val="000000"/>
              </w:rPr>
              <w:t>不锈钢圆管，急救托盘采用优质冷轧板材加工而成，上方配置捆绑带四根，托盘可</w:t>
            </w:r>
            <w:r>
              <w:rPr>
                <w:rFonts w:ascii="宋体" w:hAnsi="宋体" w:cs="宋体"/>
                <w:color w:val="000000"/>
              </w:rPr>
              <w:t>360</w:t>
            </w:r>
            <w:r>
              <w:rPr>
                <w:rFonts w:ascii="宋体" w:hAnsi="宋体" w:cs="宋体" w:hint="eastAsia"/>
                <w:color w:val="000000"/>
              </w:rPr>
              <w:t>°自由旋转；</w:t>
            </w:r>
          </w:p>
          <w:p w:rsidR="00E260EF" w:rsidRDefault="00E260EF" w:rsidP="001B2558">
            <w:pPr>
              <w:jc w:val="left"/>
              <w:rPr>
                <w:rFonts w:ascii="宋体"/>
                <w:color w:val="000000"/>
              </w:rPr>
            </w:pPr>
            <w:r>
              <w:rPr>
                <w:rFonts w:ascii="宋体" w:hAnsi="宋体" w:cs="宋体"/>
                <w:color w:val="000000"/>
              </w:rPr>
              <w:t xml:space="preserve">6. </w:t>
            </w:r>
            <w:r>
              <w:rPr>
                <w:rFonts w:ascii="宋体" w:hAnsi="宋体" w:cs="宋体" w:hint="eastAsia"/>
                <w:color w:val="000000"/>
              </w:rPr>
              <w:t>抽屉采用优质三节静音阻尼滑槽，有效伸缩距离为</w:t>
            </w:r>
            <w:r>
              <w:rPr>
                <w:rFonts w:ascii="宋体" w:hAnsi="宋体" w:cs="宋体"/>
                <w:color w:val="000000"/>
              </w:rPr>
              <w:t>40cm,</w:t>
            </w:r>
            <w:r>
              <w:rPr>
                <w:rFonts w:ascii="宋体" w:hAnsi="宋体" w:cs="宋体" w:hint="eastAsia"/>
                <w:color w:val="000000"/>
              </w:rPr>
              <w:t>确保抽屉能够完全拉出，便于使用，后方带自锁功能；</w:t>
            </w:r>
          </w:p>
          <w:p w:rsidR="00E260EF" w:rsidRDefault="00E260EF" w:rsidP="001B2558">
            <w:pPr>
              <w:jc w:val="left"/>
              <w:rPr>
                <w:rFonts w:ascii="宋体"/>
                <w:color w:val="000000"/>
              </w:rPr>
            </w:pPr>
            <w:r>
              <w:rPr>
                <w:rFonts w:ascii="宋体" w:hAnsi="宋体" w:cs="宋体"/>
                <w:color w:val="000000"/>
              </w:rPr>
              <w:t>7.</w:t>
            </w:r>
            <w:r>
              <w:rPr>
                <w:rFonts w:ascii="宋体" w:hAnsi="宋体" w:cs="宋体" w:hint="eastAsia"/>
                <w:color w:val="000000"/>
              </w:rPr>
              <w:t>抽屉分为三种规格，内置三种不同规格的活动式塑料筐，塑料筐规格为（长×宽×高）：</w:t>
            </w:r>
            <w:r>
              <w:rPr>
                <w:rFonts w:ascii="宋体" w:hAnsi="宋体" w:cs="宋体"/>
                <w:color w:val="000000"/>
              </w:rPr>
              <w:t xml:space="preserve"> 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200mm</w:t>
            </w:r>
            <w:r>
              <w:rPr>
                <w:rFonts w:ascii="宋体" w:hAnsi="宋体" w:cs="宋体" w:hint="eastAsia"/>
                <w:color w:val="000000"/>
              </w:rPr>
              <w:t>（大号）；</w:t>
            </w:r>
            <w:r>
              <w:rPr>
                <w:rFonts w:ascii="宋体" w:hAnsi="宋体" w:cs="宋体"/>
                <w:color w:val="000000"/>
              </w:rPr>
              <w:t>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100mm</w:t>
            </w:r>
            <w:r>
              <w:rPr>
                <w:rFonts w:ascii="宋体" w:hAnsi="宋体" w:cs="宋体" w:hint="eastAsia"/>
                <w:color w:val="000000"/>
              </w:rPr>
              <w:t>（中号）；</w:t>
            </w:r>
            <w:r>
              <w:rPr>
                <w:rFonts w:ascii="宋体" w:hAnsi="宋体" w:cs="宋体"/>
                <w:color w:val="000000"/>
              </w:rPr>
              <w:t xml:space="preserve"> 400</w:t>
            </w:r>
            <w:r>
              <w:rPr>
                <w:rFonts w:ascii="宋体" w:hAnsi="宋体" w:cs="宋体" w:hint="eastAsia"/>
                <w:color w:val="000000"/>
              </w:rPr>
              <w:t>×</w:t>
            </w:r>
            <w:r>
              <w:rPr>
                <w:rFonts w:ascii="宋体" w:hAnsi="宋体" w:cs="宋体"/>
                <w:color w:val="000000"/>
              </w:rPr>
              <w:t>600</w:t>
            </w:r>
            <w:r>
              <w:rPr>
                <w:rFonts w:ascii="宋体" w:hAnsi="宋体" w:cs="宋体" w:hint="eastAsia"/>
                <w:color w:val="000000"/>
              </w:rPr>
              <w:t>×</w:t>
            </w:r>
            <w:r>
              <w:rPr>
                <w:rFonts w:ascii="宋体" w:hAnsi="宋体" w:cs="宋体"/>
                <w:color w:val="000000"/>
              </w:rPr>
              <w:t>50mm</w:t>
            </w:r>
            <w:r>
              <w:rPr>
                <w:rFonts w:ascii="宋体" w:hAnsi="宋体" w:cs="宋体" w:hint="eastAsia"/>
                <w:color w:val="000000"/>
              </w:rPr>
              <w:t>（小号），</w:t>
            </w:r>
            <w:r w:rsidRPr="0063216A">
              <w:rPr>
                <w:rFonts w:ascii="宋体" w:hAnsi="宋体" w:cs="宋体" w:hint="eastAsia"/>
                <w:color w:val="000000"/>
              </w:rPr>
              <w:t>每只塑料筐承重≥</w:t>
            </w:r>
            <w:r w:rsidRPr="0063216A">
              <w:rPr>
                <w:rFonts w:ascii="宋体" w:hAnsi="宋体" w:cs="宋体"/>
                <w:color w:val="000000"/>
              </w:rPr>
              <w:t>20Kg(</w:t>
            </w:r>
            <w:r w:rsidRPr="0063216A">
              <w:rPr>
                <w:rFonts w:ascii="宋体" w:hAnsi="宋体" w:cs="宋体" w:hint="eastAsia"/>
                <w:color w:val="000000"/>
              </w:rPr>
              <w:t>提供塑料筐耐冲击、负载检测报告</w:t>
            </w:r>
            <w:r w:rsidRPr="0063216A">
              <w:rPr>
                <w:rFonts w:ascii="宋体" w:hAnsi="宋体" w:cs="宋体"/>
                <w:color w:val="000000"/>
              </w:rPr>
              <w:t>)</w:t>
            </w:r>
            <w:r w:rsidRPr="0063216A">
              <w:rPr>
                <w:rFonts w:ascii="宋体" w:hAnsi="宋体" w:cs="宋体" w:hint="eastAsia"/>
                <w:color w:val="000000"/>
              </w:rPr>
              <w:t>；</w:t>
            </w:r>
          </w:p>
          <w:p w:rsidR="00E260EF" w:rsidRDefault="00E260EF" w:rsidP="001B2558">
            <w:pPr>
              <w:jc w:val="left"/>
              <w:rPr>
                <w:rFonts w:ascii="宋体"/>
                <w:color w:val="000000"/>
              </w:rPr>
            </w:pPr>
            <w:r>
              <w:rPr>
                <w:rFonts w:ascii="宋体" w:hAnsi="宋体" w:cs="宋体"/>
                <w:color w:val="000000"/>
              </w:rPr>
              <w:t>8.</w:t>
            </w:r>
            <w:r>
              <w:rPr>
                <w:rFonts w:ascii="宋体" w:hAnsi="宋体" w:cs="宋体" w:hint="eastAsia"/>
                <w:color w:val="000000"/>
              </w:rPr>
              <w:t>抽屉内部塑料筐内部配置标准</w:t>
            </w:r>
            <w:r>
              <w:rPr>
                <w:rFonts w:ascii="宋体" w:hAnsi="宋体" w:cs="宋体"/>
                <w:color w:val="000000"/>
              </w:rPr>
              <w:t>ABS</w:t>
            </w:r>
            <w:r>
              <w:rPr>
                <w:rFonts w:ascii="宋体" w:hAnsi="宋体" w:cs="宋体" w:hint="eastAsia"/>
                <w:color w:val="000000"/>
              </w:rPr>
              <w:t>塑料活动式隔条，用户可以根据需要进行自由组合（</w:t>
            </w:r>
            <w:r>
              <w:rPr>
                <w:rFonts w:ascii="宋体" w:hAnsi="宋体" w:cs="宋体"/>
                <w:color w:val="000000"/>
              </w:rPr>
              <w:t>ABS</w:t>
            </w:r>
            <w:r>
              <w:rPr>
                <w:rFonts w:ascii="宋体" w:hAnsi="宋体" w:cs="宋体" w:hint="eastAsia"/>
                <w:color w:val="000000"/>
              </w:rPr>
              <w:t>塑料活动式隔条既能实现平均分隔，也能实现异形分隔），并配置标准的标识牌，可对每一分隔进行标识，实现物品放置分类明确、标识明确。充分提升药品存放量，改善医院形象。塑料筐采用注塑工艺制作而成符合</w:t>
            </w:r>
            <w:r>
              <w:rPr>
                <w:rFonts w:ascii="宋体" w:hAnsi="宋体" w:cs="宋体"/>
                <w:color w:val="000000"/>
              </w:rPr>
              <w:t>ISO3394</w:t>
            </w:r>
            <w:r>
              <w:rPr>
                <w:rFonts w:ascii="宋体" w:hAnsi="宋体" w:cs="宋体" w:hint="eastAsia"/>
                <w:color w:val="000000"/>
              </w:rPr>
              <w:t>标准的外部尺寸（</w:t>
            </w:r>
            <w:r>
              <w:rPr>
                <w:rFonts w:ascii="宋体" w:hAnsi="宋体" w:cs="宋体"/>
                <w:color w:val="000000"/>
              </w:rPr>
              <w:t>400</w:t>
            </w:r>
            <w:r>
              <w:rPr>
                <w:rFonts w:ascii="宋体" w:hAnsi="宋体" w:cs="宋体" w:hint="eastAsia"/>
                <w:color w:val="000000"/>
              </w:rPr>
              <w:t>×</w:t>
            </w:r>
            <w:r>
              <w:rPr>
                <w:rFonts w:ascii="宋体" w:hAnsi="宋体" w:cs="宋体"/>
                <w:color w:val="000000"/>
              </w:rPr>
              <w:t>600mm</w:t>
            </w:r>
            <w:r>
              <w:rPr>
                <w:rFonts w:ascii="宋体" w:hAnsi="宋体" w:cs="宋体" w:hint="eastAsia"/>
                <w:color w:val="000000"/>
              </w:rPr>
              <w:t>）确保塑料筐可以用于所有同标准的储存和运输系统</w:t>
            </w:r>
            <w:r>
              <w:rPr>
                <w:rFonts w:cs="宋体" w:hint="eastAsia"/>
                <w:color w:val="000000"/>
              </w:rPr>
              <w:t>。</w:t>
            </w:r>
          </w:p>
          <w:p w:rsidR="00E260EF" w:rsidRDefault="00E260EF" w:rsidP="001B2558">
            <w:pPr>
              <w:jc w:val="left"/>
              <w:rPr>
                <w:rFonts w:ascii="宋体"/>
                <w:color w:val="000000"/>
              </w:rPr>
            </w:pPr>
            <w:r>
              <w:rPr>
                <w:rFonts w:ascii="宋体" w:hAnsi="宋体" w:cs="宋体"/>
                <w:color w:val="000000"/>
              </w:rPr>
              <w:t xml:space="preserve">9. </w:t>
            </w:r>
            <w:r>
              <w:rPr>
                <w:rFonts w:ascii="宋体" w:hAnsi="宋体" w:cs="宋体" w:hint="eastAsia"/>
                <w:color w:val="000000"/>
              </w:rPr>
              <w:t>整车配置五层抽屉，三只小号抽屉、一只中号抽屉、一只大号抽屉，抽屉整体带一次性安全锁控制；配置透明</w:t>
            </w:r>
            <w:r>
              <w:rPr>
                <w:rFonts w:ascii="宋体" w:hAnsi="宋体" w:cs="宋体"/>
                <w:color w:val="000000"/>
              </w:rPr>
              <w:t>ABS</w:t>
            </w:r>
            <w:r>
              <w:rPr>
                <w:rFonts w:ascii="宋体" w:hAnsi="宋体" w:cs="宋体" w:hint="eastAsia"/>
                <w:color w:val="000000"/>
              </w:rPr>
              <w:t>文件盒一个、心肺复苏版一个、氧气瓶挂架一个、电源插座一个、锐器盒一个、两个塑料翻盖式污物桶；推车右侧面带侧抽板，有效扩大治疗时所需操作面积；推车左侧带铝合金扶手；</w:t>
            </w:r>
          </w:p>
          <w:p w:rsidR="00E260EF" w:rsidRPr="001B2558" w:rsidRDefault="00E260EF" w:rsidP="001B2558">
            <w:pPr>
              <w:jc w:val="left"/>
              <w:rPr>
                <w:rFonts w:ascii="宋体"/>
                <w:color w:val="000000"/>
                <w:sz w:val="24"/>
                <w:szCs w:val="24"/>
              </w:rPr>
            </w:pPr>
            <w:r>
              <w:rPr>
                <w:rFonts w:ascii="宋体" w:hAnsi="宋体" w:cs="宋体"/>
                <w:color w:val="000000"/>
              </w:rPr>
              <w:t xml:space="preserve">10. </w:t>
            </w:r>
            <w:r>
              <w:rPr>
                <w:rFonts w:ascii="宋体" w:hAnsi="宋体" w:cs="宋体" w:hint="eastAsia"/>
                <w:color w:val="000000"/>
              </w:rPr>
              <w:t>整车配置</w:t>
            </w:r>
            <w:r>
              <w:rPr>
                <w:rFonts w:ascii="宋体" w:hAnsi="宋体" w:cs="宋体"/>
                <w:color w:val="000000"/>
              </w:rPr>
              <w:t>4</w:t>
            </w:r>
            <w:r>
              <w:rPr>
                <w:rFonts w:ascii="宋体" w:hAnsi="宋体" w:cs="宋体" w:hint="eastAsia"/>
                <w:color w:val="000000"/>
              </w:rPr>
              <w:t>只</w:t>
            </w:r>
            <w:r>
              <w:rPr>
                <w:rFonts w:ascii="宋体" w:hAnsi="宋体" w:cs="宋体"/>
                <w:color w:val="000000"/>
              </w:rPr>
              <w:t>4</w:t>
            </w:r>
            <w:r>
              <w:rPr>
                <w:rFonts w:ascii="宋体" w:hAnsi="宋体" w:cs="宋体" w:hint="eastAsia"/>
                <w:color w:val="000000"/>
              </w:rPr>
              <w:t>寸高级全塑胶静音脚轮，坚固耐用；其中</w:t>
            </w:r>
            <w:r>
              <w:rPr>
                <w:rFonts w:ascii="宋体" w:hAnsi="宋体" w:cs="宋体"/>
                <w:color w:val="000000"/>
              </w:rPr>
              <w:t>2</w:t>
            </w:r>
            <w:r>
              <w:rPr>
                <w:rFonts w:ascii="宋体" w:hAnsi="宋体" w:cs="宋体" w:hint="eastAsia"/>
                <w:color w:val="000000"/>
              </w:rPr>
              <w:t>只脚轮配置刹车。</w:t>
            </w:r>
          </w:p>
        </w:tc>
        <w:tc>
          <w:tcPr>
            <w:tcW w:w="225" w:type="pct"/>
            <w:vAlign w:val="center"/>
          </w:tcPr>
          <w:p w:rsidR="00E260EF" w:rsidRPr="00A065B7" w:rsidRDefault="00E260EF" w:rsidP="001B2558">
            <w:pPr>
              <w:tabs>
                <w:tab w:val="left" w:pos="312"/>
              </w:tabs>
              <w:jc w:val="center"/>
              <w:rPr>
                <w:rFonts w:ascii="宋体"/>
              </w:rPr>
            </w:pPr>
            <w:r>
              <w:rPr>
                <w:rFonts w:ascii="宋体" w:hAnsi="宋体" w:cs="宋体" w:hint="eastAsia"/>
              </w:rPr>
              <w:t>辆</w:t>
            </w:r>
          </w:p>
        </w:tc>
        <w:tc>
          <w:tcPr>
            <w:tcW w:w="330" w:type="pct"/>
            <w:vAlign w:val="center"/>
          </w:tcPr>
          <w:p w:rsidR="00E260EF" w:rsidRDefault="00E260EF" w:rsidP="001B2558">
            <w:pPr>
              <w:tabs>
                <w:tab w:val="left" w:pos="312"/>
              </w:tabs>
              <w:jc w:val="center"/>
              <w:rPr>
                <w:rFonts w:ascii="宋体"/>
              </w:rPr>
            </w:pPr>
            <w:r>
              <w:rPr>
                <w:rFonts w:ascii="宋体" w:hAnsi="宋体" w:cs="宋体"/>
              </w:rPr>
              <w:t>29</w:t>
            </w:r>
          </w:p>
        </w:tc>
        <w:tc>
          <w:tcPr>
            <w:tcW w:w="770" w:type="pct"/>
            <w:vAlign w:val="center"/>
          </w:tcPr>
          <w:p w:rsidR="00E260EF" w:rsidRDefault="00E260EF" w:rsidP="001B2558">
            <w:pPr>
              <w:tabs>
                <w:tab w:val="left" w:pos="312"/>
              </w:tabs>
              <w:jc w:val="center"/>
              <w:rPr>
                <w:rFonts w:ascii="宋体"/>
              </w:rPr>
            </w:pPr>
            <w:r>
              <w:rPr>
                <w:rFonts w:ascii="宋体" w:hAnsi="宋体" w:cs="宋体" w:hint="eastAsia"/>
              </w:rPr>
              <w:t>不超过</w:t>
            </w:r>
          </w:p>
          <w:p w:rsidR="00E260EF" w:rsidRPr="00A065B7" w:rsidRDefault="00E260EF" w:rsidP="001B2558">
            <w:pPr>
              <w:tabs>
                <w:tab w:val="left" w:pos="312"/>
              </w:tabs>
              <w:jc w:val="center"/>
              <w:rPr>
                <w:rFonts w:ascii="宋体"/>
              </w:rPr>
            </w:pPr>
            <w:r>
              <w:rPr>
                <w:rFonts w:ascii="宋体" w:hAnsi="宋体" w:cs="宋体"/>
              </w:rPr>
              <w:t>4000.00</w:t>
            </w:r>
            <w:r>
              <w:rPr>
                <w:rFonts w:ascii="宋体" w:hAnsi="宋体" w:cs="宋体" w:hint="eastAsia"/>
              </w:rPr>
              <w:t>元</w:t>
            </w:r>
          </w:p>
        </w:tc>
        <w:tc>
          <w:tcPr>
            <w:tcW w:w="764" w:type="pct"/>
            <w:vAlign w:val="center"/>
          </w:tcPr>
          <w:p w:rsidR="00E260EF" w:rsidRDefault="00E260EF" w:rsidP="001B2558">
            <w:pPr>
              <w:tabs>
                <w:tab w:val="left" w:pos="312"/>
              </w:tabs>
              <w:jc w:val="center"/>
              <w:rPr>
                <w:rFonts w:ascii="宋体"/>
              </w:rPr>
            </w:pPr>
            <w:r>
              <w:rPr>
                <w:rFonts w:ascii="宋体" w:hAnsi="宋体" w:cs="宋体" w:hint="eastAsia"/>
              </w:rPr>
              <w:t>不超过</w:t>
            </w:r>
            <w:r>
              <w:rPr>
                <w:rFonts w:ascii="宋体" w:hAnsi="宋体" w:cs="宋体"/>
              </w:rPr>
              <w:t>116000.00</w:t>
            </w:r>
            <w:r>
              <w:rPr>
                <w:rFonts w:ascii="宋体" w:hAnsi="宋体" w:cs="宋体" w:hint="eastAsia"/>
              </w:rPr>
              <w:t>元</w:t>
            </w:r>
          </w:p>
        </w:tc>
      </w:tr>
    </w:tbl>
    <w:p w:rsidR="00E260EF" w:rsidRDefault="00E260EF" w:rsidP="004E5EB5">
      <w:pPr>
        <w:spacing w:line="360" w:lineRule="auto"/>
        <w:rPr>
          <w:rFonts w:ascii="仿宋" w:eastAsia="仿宋" w:hAnsi="仿宋"/>
          <w:b/>
          <w:bCs/>
          <w:sz w:val="28"/>
          <w:szCs w:val="28"/>
        </w:rPr>
      </w:pPr>
    </w:p>
    <w:p w:rsidR="00E260EF" w:rsidRPr="003C47DE" w:rsidRDefault="00E260EF" w:rsidP="004E5EB5">
      <w:pPr>
        <w:spacing w:line="360" w:lineRule="auto"/>
        <w:rPr>
          <w:rFonts w:ascii="仿宋" w:eastAsia="仿宋" w:hAnsi="仿宋"/>
          <w:b/>
          <w:bCs/>
          <w:sz w:val="28"/>
          <w:szCs w:val="28"/>
        </w:rPr>
      </w:pPr>
      <w:r>
        <w:rPr>
          <w:rFonts w:ascii="仿宋" w:eastAsia="仿宋" w:hAnsi="仿宋" w:cs="仿宋" w:hint="eastAsia"/>
          <w:b/>
          <w:bCs/>
          <w:sz w:val="28"/>
          <w:szCs w:val="28"/>
        </w:rPr>
        <w:t>第二部</w:t>
      </w:r>
      <w:r w:rsidRPr="003C47DE">
        <w:rPr>
          <w:rFonts w:ascii="仿宋" w:eastAsia="仿宋" w:hAnsi="仿宋" w:cs="仿宋" w:hint="eastAsia"/>
          <w:b/>
          <w:bCs/>
          <w:sz w:val="28"/>
          <w:szCs w:val="28"/>
        </w:rPr>
        <w:t>分：商务条款及其它要求（实质性要求）</w:t>
      </w:r>
    </w:p>
    <w:p w:rsidR="00E260EF" w:rsidRDefault="00E260EF"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送货地点：采购人指定地点。</w:t>
      </w:r>
    </w:p>
    <w:p w:rsidR="00E260EF" w:rsidRDefault="00E260EF"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E260EF" w:rsidRDefault="00E260EF"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p>
    <w:p w:rsidR="00E260EF" w:rsidRDefault="00E260EF"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售后服务要求：若成交供应商未在规定期限内解决质量问题而给采购人造成经济损失，由成交人全额承担。</w:t>
      </w:r>
    </w:p>
    <w:p w:rsidR="00E260EF" w:rsidRPr="0070585E" w:rsidRDefault="00E260EF"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E260EF" w:rsidRPr="0070585E" w:rsidRDefault="00E260EF"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Pr>
          <w:rFonts w:ascii="仿宋" w:eastAsia="仿宋" w:hAnsi="仿宋" w:cs="仿宋" w:hint="eastAsia"/>
          <w:sz w:val="28"/>
          <w:szCs w:val="28"/>
        </w:rPr>
        <w:t>由供应商负责解决并承担有关费用。</w:t>
      </w:r>
    </w:p>
    <w:p w:rsidR="00E260EF" w:rsidRDefault="00E260EF"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、交货日期、地点</w:t>
      </w:r>
      <w:r>
        <w:rPr>
          <w:rFonts w:ascii="仿宋" w:eastAsia="仿宋" w:hAnsi="仿宋" w:cs="仿宋" w:hint="eastAsia"/>
          <w:sz w:val="28"/>
          <w:szCs w:val="28"/>
        </w:rPr>
        <w:t>、标准</w:t>
      </w:r>
      <w:r w:rsidRPr="0070585E">
        <w:rPr>
          <w:rFonts w:ascii="仿宋" w:eastAsia="仿宋" w:hAnsi="仿宋" w:cs="仿宋" w:hint="eastAsia"/>
          <w:sz w:val="28"/>
          <w:szCs w:val="28"/>
        </w:rPr>
        <w:t>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p>
    <w:p w:rsidR="00E260EF" w:rsidRDefault="00E260EF" w:rsidP="00FF1212">
      <w:pPr>
        <w:pStyle w:val="05"/>
        <w:numPr>
          <w:ilvl w:val="0"/>
          <w:numId w:val="0"/>
        </w:numPr>
        <w:spacing w:line="360" w:lineRule="auto"/>
        <w:rPr>
          <w:rFonts w:cs="Times New Roman"/>
          <w:sz w:val="24"/>
          <w:szCs w:val="24"/>
        </w:rPr>
      </w:pPr>
      <w:r>
        <w:rPr>
          <w:rFonts w:ascii="仿宋" w:eastAsia="仿宋" w:hAnsi="仿宋" w:cs="仿宋"/>
          <w:sz w:val="28"/>
          <w:szCs w:val="28"/>
        </w:rPr>
        <w:t>6</w:t>
      </w:r>
      <w:r w:rsidRPr="0070585E">
        <w:rPr>
          <w:rFonts w:ascii="仿宋" w:eastAsia="仿宋" w:hAnsi="仿宋" w:cs="仿宋" w:hint="eastAsia"/>
          <w:sz w:val="28"/>
          <w:szCs w:val="28"/>
        </w:rPr>
        <w:t>、付款方式：</w:t>
      </w:r>
      <w:r>
        <w:rPr>
          <w:rFonts w:ascii="仿宋" w:eastAsia="仿宋" w:hAnsi="仿宋" w:cs="仿宋" w:hint="eastAsia"/>
          <w:sz w:val="28"/>
          <w:szCs w:val="28"/>
        </w:rPr>
        <w:t>签订合同后，</w:t>
      </w:r>
      <w:r w:rsidRPr="00CD1A0E">
        <w:rPr>
          <w:rFonts w:ascii="仿宋" w:eastAsia="仿宋" w:hAnsi="仿宋" w:cs="仿宋" w:hint="eastAsia"/>
          <w:kern w:val="2"/>
          <w:sz w:val="28"/>
          <w:szCs w:val="28"/>
        </w:rPr>
        <w:t>供应商应开具有效等额增值税发票</w:t>
      </w:r>
      <w:r>
        <w:rPr>
          <w:rFonts w:ascii="仿宋" w:eastAsia="仿宋" w:hAnsi="仿宋" w:cs="仿宋"/>
          <w:kern w:val="2"/>
          <w:sz w:val="28"/>
          <w:szCs w:val="28"/>
        </w:rPr>
        <w:t>30</w:t>
      </w:r>
      <w:r>
        <w:rPr>
          <w:rFonts w:ascii="仿宋" w:eastAsia="仿宋" w:hAnsi="仿宋" w:cs="仿宋" w:hint="eastAsia"/>
          <w:kern w:val="2"/>
          <w:sz w:val="28"/>
          <w:szCs w:val="28"/>
        </w:rPr>
        <w:t>个工作日内支付总成交金额的</w:t>
      </w:r>
      <w:r>
        <w:rPr>
          <w:rFonts w:ascii="仿宋" w:eastAsia="仿宋" w:hAnsi="仿宋" w:cs="仿宋"/>
          <w:kern w:val="2"/>
          <w:sz w:val="28"/>
          <w:szCs w:val="28"/>
        </w:rPr>
        <w:t>30%</w:t>
      </w:r>
      <w:r>
        <w:rPr>
          <w:rFonts w:ascii="仿宋" w:eastAsia="仿宋" w:hAnsi="仿宋" w:cs="仿宋" w:hint="eastAsia"/>
          <w:kern w:val="2"/>
          <w:sz w:val="28"/>
          <w:szCs w:val="28"/>
        </w:rPr>
        <w:t>，</w:t>
      </w:r>
      <w:r>
        <w:rPr>
          <w:rFonts w:ascii="仿宋" w:eastAsia="仿宋" w:hAnsi="仿宋" w:cs="仿宋" w:hint="eastAsia"/>
          <w:sz w:val="28"/>
          <w:szCs w:val="28"/>
        </w:rPr>
        <w:t>验收合格后一次性支付剩余</w:t>
      </w:r>
      <w:r>
        <w:rPr>
          <w:rFonts w:ascii="仿宋" w:eastAsia="仿宋" w:hAnsi="仿宋" w:cs="仿宋"/>
          <w:sz w:val="28"/>
          <w:szCs w:val="28"/>
        </w:rPr>
        <w:t>70%</w:t>
      </w:r>
      <w:r>
        <w:rPr>
          <w:rFonts w:ascii="仿宋" w:eastAsia="仿宋" w:hAnsi="仿宋" w:cs="仿宋" w:hint="eastAsia"/>
          <w:sz w:val="28"/>
          <w:szCs w:val="28"/>
        </w:rPr>
        <w:t>。</w:t>
      </w:r>
    </w:p>
    <w:p w:rsidR="00E260EF" w:rsidRPr="0070585E" w:rsidRDefault="00E260EF"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、质保期：自交货之日起不低于一年。</w:t>
      </w:r>
    </w:p>
    <w:p w:rsidR="00E260EF" w:rsidRPr="00AB0876" w:rsidRDefault="00E260EF">
      <w:pPr>
        <w:rPr>
          <w:rFonts w:ascii="仿宋" w:eastAsia="仿宋" w:hAnsi="仿宋"/>
          <w:sz w:val="28"/>
          <w:szCs w:val="28"/>
          <w:u w:val="single"/>
        </w:rPr>
      </w:pPr>
      <w:r w:rsidRPr="006F073E">
        <w:rPr>
          <w:rFonts w:ascii="仿宋" w:eastAsia="仿宋" w:hAnsi="仿宋" w:cs="仿宋" w:hint="eastAsia"/>
          <w:b/>
          <w:bCs/>
          <w:sz w:val="28"/>
          <w:szCs w:val="28"/>
        </w:rPr>
        <w:t>十、成交原则：</w:t>
      </w:r>
      <w:r w:rsidRPr="00AB0876">
        <w:rPr>
          <w:rFonts w:ascii="仿宋" w:eastAsia="仿宋" w:hAnsi="仿宋" w:cs="仿宋" w:hint="eastAsia"/>
          <w:sz w:val="28"/>
          <w:szCs w:val="28"/>
          <w:u w:val="single"/>
        </w:rPr>
        <w:t>本项目在询价小组对供应商响应文件审查结束后</w:t>
      </w:r>
      <w:r w:rsidRPr="00AB0876">
        <w:rPr>
          <w:rFonts w:ascii="仿宋" w:eastAsia="仿宋" w:hAnsi="仿宋" w:cs="仿宋"/>
          <w:sz w:val="28"/>
          <w:szCs w:val="28"/>
          <w:u w:val="single"/>
        </w:rPr>
        <w:t>,</w:t>
      </w:r>
      <w:r w:rsidRPr="00AB0876">
        <w:rPr>
          <w:rFonts w:ascii="仿宋" w:eastAsia="仿宋" w:hAnsi="仿宋" w:cs="仿宋" w:hint="eastAsia"/>
          <w:sz w:val="28"/>
          <w:szCs w:val="28"/>
          <w:u w:val="single"/>
        </w:rPr>
        <w:t>对所有实质性响应的供应商，</w:t>
      </w:r>
      <w:r>
        <w:rPr>
          <w:rFonts w:ascii="仿宋" w:eastAsia="仿宋" w:hAnsi="仿宋" w:cs="仿宋" w:hint="eastAsia"/>
          <w:sz w:val="28"/>
          <w:szCs w:val="28"/>
          <w:u w:val="single"/>
        </w:rPr>
        <w:t>按照</w:t>
      </w:r>
      <w:r w:rsidRPr="00AB0876">
        <w:rPr>
          <w:rFonts w:ascii="仿宋" w:eastAsia="仿宋" w:hAnsi="仿宋" w:cs="仿宋" w:hint="eastAsia"/>
          <w:sz w:val="28"/>
          <w:szCs w:val="28"/>
          <w:u w:val="single"/>
        </w:rPr>
        <w:t>供应商</w:t>
      </w:r>
      <w:r>
        <w:rPr>
          <w:rFonts w:ascii="仿宋" w:eastAsia="仿宋" w:hAnsi="仿宋" w:cs="仿宋" w:hint="eastAsia"/>
          <w:sz w:val="28"/>
          <w:szCs w:val="28"/>
          <w:u w:val="single"/>
        </w:rPr>
        <w:t>在</w:t>
      </w:r>
      <w:r w:rsidRPr="00AB0876">
        <w:rPr>
          <w:rFonts w:ascii="仿宋" w:eastAsia="仿宋" w:hAnsi="仿宋" w:cs="仿宋" w:hint="eastAsia"/>
          <w:sz w:val="28"/>
          <w:szCs w:val="28"/>
          <w:u w:val="single"/>
        </w:rPr>
        <w:t>响应文件中报出</w:t>
      </w:r>
      <w:r>
        <w:rPr>
          <w:rFonts w:ascii="仿宋" w:eastAsia="仿宋" w:hAnsi="仿宋" w:cs="仿宋" w:hint="eastAsia"/>
          <w:sz w:val="28"/>
          <w:szCs w:val="28"/>
          <w:u w:val="single"/>
        </w:rPr>
        <w:t>的</w:t>
      </w:r>
      <w:r w:rsidRPr="00AB0876">
        <w:rPr>
          <w:rFonts w:ascii="仿宋" w:eastAsia="仿宋" w:hAnsi="仿宋" w:cs="仿宋" w:hint="eastAsia"/>
          <w:sz w:val="28"/>
          <w:szCs w:val="28"/>
          <w:u w:val="single"/>
        </w:rPr>
        <w:t>一次不得更改的价格</w:t>
      </w:r>
      <w:r>
        <w:rPr>
          <w:rFonts w:ascii="仿宋" w:eastAsia="仿宋" w:hAnsi="仿宋" w:cs="仿宋" w:hint="eastAsia"/>
          <w:sz w:val="28"/>
          <w:szCs w:val="28"/>
          <w:u w:val="single"/>
        </w:rPr>
        <w:t>，</w:t>
      </w:r>
      <w:r w:rsidRPr="00AB0876">
        <w:rPr>
          <w:rFonts w:ascii="仿宋" w:eastAsia="仿宋" w:hAnsi="仿宋" w:cs="仿宋" w:hint="eastAsia"/>
          <w:sz w:val="28"/>
          <w:szCs w:val="28"/>
          <w:u w:val="single"/>
        </w:rPr>
        <w:t>符合采购需求、质量和服务且总价金额最低的原则确定成交供应商。</w:t>
      </w:r>
    </w:p>
    <w:p w:rsidR="00E260EF" w:rsidRDefault="00E260EF">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E260EF" w:rsidRDefault="00E260EF" w:rsidP="00E01D66">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E260EF" w:rsidRDefault="00E260EF" w:rsidP="00E01D66">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E260EF" w:rsidRPr="00BC07BD" w:rsidRDefault="00E260EF" w:rsidP="0081057B">
      <w:pPr>
        <w:pStyle w:val="BodyTextFirstIndent2"/>
        <w:ind w:leftChars="0" w:left="0" w:firstLineChars="245" w:firstLine="31680"/>
        <w:rPr>
          <w:rFonts w:ascii="仿宋" w:eastAsia="仿宋" w:hAnsi="仿宋" w:cs="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11</w:t>
      </w:r>
      <w:r w:rsidRPr="00BC07BD">
        <w:rPr>
          <w:rFonts w:ascii="仿宋" w:eastAsia="仿宋" w:hAnsi="仿宋" w:cs="仿宋" w:hint="eastAsia"/>
          <w:kern w:val="2"/>
          <w:sz w:val="28"/>
          <w:szCs w:val="28"/>
        </w:rPr>
        <w:t>月</w:t>
      </w:r>
      <w:r>
        <w:rPr>
          <w:rFonts w:ascii="仿宋" w:eastAsia="仿宋" w:hAnsi="仿宋" w:cs="仿宋"/>
          <w:kern w:val="2"/>
          <w:sz w:val="28"/>
          <w:szCs w:val="28"/>
        </w:rPr>
        <w:t>24</w:t>
      </w:r>
      <w:r w:rsidRPr="00BC07BD">
        <w:rPr>
          <w:rFonts w:ascii="仿宋" w:eastAsia="仿宋" w:hAnsi="仿宋" w:cs="仿宋" w:hint="eastAsia"/>
          <w:kern w:val="2"/>
          <w:sz w:val="28"/>
          <w:szCs w:val="28"/>
        </w:rPr>
        <w:t>日</w:t>
      </w:r>
      <w:r>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11</w:t>
      </w:r>
      <w:r w:rsidRPr="00BC07BD">
        <w:rPr>
          <w:rFonts w:ascii="仿宋" w:eastAsia="仿宋" w:hAnsi="仿宋" w:cs="仿宋" w:hint="eastAsia"/>
          <w:kern w:val="2"/>
          <w:sz w:val="28"/>
          <w:szCs w:val="28"/>
        </w:rPr>
        <w:t>月</w:t>
      </w:r>
      <w:r>
        <w:rPr>
          <w:rFonts w:ascii="仿宋" w:eastAsia="仿宋" w:hAnsi="仿宋" w:cs="仿宋"/>
          <w:kern w:val="2"/>
          <w:sz w:val="28"/>
          <w:szCs w:val="28"/>
        </w:rPr>
        <w:t>25</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p>
    <w:sectPr w:rsidR="00E260EF" w:rsidRPr="00BC07BD" w:rsidSect="00F971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EF" w:rsidRDefault="00E260EF" w:rsidP="00F971D0">
      <w:r>
        <w:separator/>
      </w:r>
    </w:p>
  </w:endnote>
  <w:endnote w:type="continuationSeparator" w:id="1">
    <w:p w:rsidR="00E260EF" w:rsidRDefault="00E260EF"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EF" w:rsidRDefault="00E260EF">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E260EF" w:rsidRDefault="00E260E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EF" w:rsidRDefault="00E260EF" w:rsidP="00F971D0">
      <w:r>
        <w:separator/>
      </w:r>
    </w:p>
  </w:footnote>
  <w:footnote w:type="continuationSeparator" w:id="1">
    <w:p w:rsidR="00E260EF" w:rsidRDefault="00E260EF"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553E37DF"/>
    <w:multiLevelType w:val="singleLevel"/>
    <w:tmpl w:val="553E37DF"/>
    <w:lvl w:ilvl="0">
      <w:start w:val="1"/>
      <w:numFmt w:val="chineseCounting"/>
      <w:suff w:val="nothing"/>
      <w:lvlText w:val="%1．"/>
      <w:lvlJc w:val="left"/>
    </w:lvl>
  </w:abstractNum>
  <w:abstractNum w:abstractNumId="12">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2"/>
  </w:num>
  <w:num w:numId="7">
    <w:abstractNumId w:val="5"/>
  </w:num>
  <w:num w:numId="8">
    <w:abstractNumId w:val="9"/>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330A4"/>
    <w:rsid w:val="000409D9"/>
    <w:rsid w:val="0004166C"/>
    <w:rsid w:val="000416DE"/>
    <w:rsid w:val="00044248"/>
    <w:rsid w:val="000446BD"/>
    <w:rsid w:val="00046520"/>
    <w:rsid w:val="000540F4"/>
    <w:rsid w:val="0005548C"/>
    <w:rsid w:val="0006391B"/>
    <w:rsid w:val="00064D4F"/>
    <w:rsid w:val="00070884"/>
    <w:rsid w:val="00072425"/>
    <w:rsid w:val="0007342A"/>
    <w:rsid w:val="00077A4C"/>
    <w:rsid w:val="00080DAB"/>
    <w:rsid w:val="00083E5C"/>
    <w:rsid w:val="00085883"/>
    <w:rsid w:val="00090486"/>
    <w:rsid w:val="00091477"/>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00CB"/>
    <w:rsid w:val="00151769"/>
    <w:rsid w:val="0015492C"/>
    <w:rsid w:val="0016136D"/>
    <w:rsid w:val="001678EF"/>
    <w:rsid w:val="0017197A"/>
    <w:rsid w:val="00172809"/>
    <w:rsid w:val="0017571E"/>
    <w:rsid w:val="00175D79"/>
    <w:rsid w:val="00185C19"/>
    <w:rsid w:val="00187379"/>
    <w:rsid w:val="00190CFE"/>
    <w:rsid w:val="00193413"/>
    <w:rsid w:val="001941A1"/>
    <w:rsid w:val="00194D1E"/>
    <w:rsid w:val="001A2B27"/>
    <w:rsid w:val="001A4A24"/>
    <w:rsid w:val="001A5146"/>
    <w:rsid w:val="001B1F98"/>
    <w:rsid w:val="001B2558"/>
    <w:rsid w:val="001B25F5"/>
    <w:rsid w:val="001C4354"/>
    <w:rsid w:val="001C692F"/>
    <w:rsid w:val="001D0327"/>
    <w:rsid w:val="001D1174"/>
    <w:rsid w:val="001D2377"/>
    <w:rsid w:val="001D485A"/>
    <w:rsid w:val="001D500F"/>
    <w:rsid w:val="001D5798"/>
    <w:rsid w:val="001D618D"/>
    <w:rsid w:val="001D64FD"/>
    <w:rsid w:val="001D69F4"/>
    <w:rsid w:val="001E065F"/>
    <w:rsid w:val="001E6449"/>
    <w:rsid w:val="001E6ADB"/>
    <w:rsid w:val="001F0905"/>
    <w:rsid w:val="0020196B"/>
    <w:rsid w:val="0020276D"/>
    <w:rsid w:val="0020777E"/>
    <w:rsid w:val="0021086B"/>
    <w:rsid w:val="002110B8"/>
    <w:rsid w:val="0021266D"/>
    <w:rsid w:val="00214E9E"/>
    <w:rsid w:val="00216FCA"/>
    <w:rsid w:val="0022264B"/>
    <w:rsid w:val="00222FB4"/>
    <w:rsid w:val="00226B58"/>
    <w:rsid w:val="002355F1"/>
    <w:rsid w:val="00240944"/>
    <w:rsid w:val="00241140"/>
    <w:rsid w:val="0025138A"/>
    <w:rsid w:val="0026328D"/>
    <w:rsid w:val="00265AA3"/>
    <w:rsid w:val="00267F33"/>
    <w:rsid w:val="00272FD8"/>
    <w:rsid w:val="00274F05"/>
    <w:rsid w:val="00275EA5"/>
    <w:rsid w:val="002825EB"/>
    <w:rsid w:val="002845F1"/>
    <w:rsid w:val="00286A6A"/>
    <w:rsid w:val="00292403"/>
    <w:rsid w:val="002951F4"/>
    <w:rsid w:val="002A51F7"/>
    <w:rsid w:val="002B13AD"/>
    <w:rsid w:val="002B1520"/>
    <w:rsid w:val="002B270E"/>
    <w:rsid w:val="002B3939"/>
    <w:rsid w:val="002C34FD"/>
    <w:rsid w:val="002C6665"/>
    <w:rsid w:val="002C7AD5"/>
    <w:rsid w:val="002D0F72"/>
    <w:rsid w:val="002D2A2E"/>
    <w:rsid w:val="002E278A"/>
    <w:rsid w:val="002E51DF"/>
    <w:rsid w:val="002E574A"/>
    <w:rsid w:val="002F01EC"/>
    <w:rsid w:val="002F30D0"/>
    <w:rsid w:val="002F5E69"/>
    <w:rsid w:val="002F69B3"/>
    <w:rsid w:val="00300751"/>
    <w:rsid w:val="0030344A"/>
    <w:rsid w:val="0030632B"/>
    <w:rsid w:val="003076A2"/>
    <w:rsid w:val="0030778A"/>
    <w:rsid w:val="003079A4"/>
    <w:rsid w:val="00313843"/>
    <w:rsid w:val="00314725"/>
    <w:rsid w:val="00314C3A"/>
    <w:rsid w:val="0031740E"/>
    <w:rsid w:val="00331F74"/>
    <w:rsid w:val="00331F82"/>
    <w:rsid w:val="00342C64"/>
    <w:rsid w:val="003569B8"/>
    <w:rsid w:val="00362FC1"/>
    <w:rsid w:val="00363D68"/>
    <w:rsid w:val="00364F8E"/>
    <w:rsid w:val="00371937"/>
    <w:rsid w:val="0037372F"/>
    <w:rsid w:val="003756E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C343C"/>
    <w:rsid w:val="003C386E"/>
    <w:rsid w:val="003C47DE"/>
    <w:rsid w:val="003D5820"/>
    <w:rsid w:val="003D5973"/>
    <w:rsid w:val="003D59A1"/>
    <w:rsid w:val="003D5CBD"/>
    <w:rsid w:val="003D5D6F"/>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206DA"/>
    <w:rsid w:val="0053069F"/>
    <w:rsid w:val="00534F53"/>
    <w:rsid w:val="00536C44"/>
    <w:rsid w:val="00542067"/>
    <w:rsid w:val="00543A5B"/>
    <w:rsid w:val="00547753"/>
    <w:rsid w:val="00547CC9"/>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A75B5"/>
    <w:rsid w:val="005B2216"/>
    <w:rsid w:val="005C0C5B"/>
    <w:rsid w:val="005C2D63"/>
    <w:rsid w:val="005C6EBA"/>
    <w:rsid w:val="005D6DA5"/>
    <w:rsid w:val="005E6B2C"/>
    <w:rsid w:val="005F4AFC"/>
    <w:rsid w:val="005F71F6"/>
    <w:rsid w:val="005F758A"/>
    <w:rsid w:val="0060791F"/>
    <w:rsid w:val="0061112D"/>
    <w:rsid w:val="0061589C"/>
    <w:rsid w:val="00617885"/>
    <w:rsid w:val="0063216A"/>
    <w:rsid w:val="00636580"/>
    <w:rsid w:val="00647EFC"/>
    <w:rsid w:val="00650C02"/>
    <w:rsid w:val="00653A4D"/>
    <w:rsid w:val="0065786F"/>
    <w:rsid w:val="006604F8"/>
    <w:rsid w:val="00662ADB"/>
    <w:rsid w:val="00664427"/>
    <w:rsid w:val="00665B72"/>
    <w:rsid w:val="00666A27"/>
    <w:rsid w:val="00670D3F"/>
    <w:rsid w:val="006856A5"/>
    <w:rsid w:val="006A2429"/>
    <w:rsid w:val="006A3B49"/>
    <w:rsid w:val="006A7605"/>
    <w:rsid w:val="006A7EA9"/>
    <w:rsid w:val="006B1BFD"/>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26ECF"/>
    <w:rsid w:val="007276F7"/>
    <w:rsid w:val="0073294C"/>
    <w:rsid w:val="00735984"/>
    <w:rsid w:val="00736352"/>
    <w:rsid w:val="0073643F"/>
    <w:rsid w:val="0074087A"/>
    <w:rsid w:val="0074255D"/>
    <w:rsid w:val="0074311E"/>
    <w:rsid w:val="0074378C"/>
    <w:rsid w:val="00745242"/>
    <w:rsid w:val="00747BEF"/>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057B"/>
    <w:rsid w:val="008137C6"/>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694"/>
    <w:rsid w:val="00891D31"/>
    <w:rsid w:val="00896211"/>
    <w:rsid w:val="008A1EB5"/>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45AA"/>
    <w:rsid w:val="00934DDA"/>
    <w:rsid w:val="00941118"/>
    <w:rsid w:val="009423D9"/>
    <w:rsid w:val="0095252C"/>
    <w:rsid w:val="00960681"/>
    <w:rsid w:val="009623F1"/>
    <w:rsid w:val="00963C4D"/>
    <w:rsid w:val="009674FB"/>
    <w:rsid w:val="00972287"/>
    <w:rsid w:val="00975313"/>
    <w:rsid w:val="0098425F"/>
    <w:rsid w:val="00987587"/>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2C8"/>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C1E25"/>
    <w:rsid w:val="00AC23DE"/>
    <w:rsid w:val="00AC3B92"/>
    <w:rsid w:val="00AC41AD"/>
    <w:rsid w:val="00AD06B8"/>
    <w:rsid w:val="00AD2BF7"/>
    <w:rsid w:val="00AD5E5C"/>
    <w:rsid w:val="00AD7A9E"/>
    <w:rsid w:val="00AE5F54"/>
    <w:rsid w:val="00AE77AE"/>
    <w:rsid w:val="00AE7C7B"/>
    <w:rsid w:val="00AF0E96"/>
    <w:rsid w:val="00AF2FAB"/>
    <w:rsid w:val="00AF315D"/>
    <w:rsid w:val="00B00463"/>
    <w:rsid w:val="00B009DA"/>
    <w:rsid w:val="00B07F85"/>
    <w:rsid w:val="00B10012"/>
    <w:rsid w:val="00B1172A"/>
    <w:rsid w:val="00B1370B"/>
    <w:rsid w:val="00B13836"/>
    <w:rsid w:val="00B257B8"/>
    <w:rsid w:val="00B2645A"/>
    <w:rsid w:val="00B30816"/>
    <w:rsid w:val="00B3224B"/>
    <w:rsid w:val="00B32BED"/>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3ACC"/>
    <w:rsid w:val="00B76647"/>
    <w:rsid w:val="00B76A87"/>
    <w:rsid w:val="00B76C30"/>
    <w:rsid w:val="00B77A09"/>
    <w:rsid w:val="00B85049"/>
    <w:rsid w:val="00B86224"/>
    <w:rsid w:val="00B8768B"/>
    <w:rsid w:val="00B960C2"/>
    <w:rsid w:val="00BA5767"/>
    <w:rsid w:val="00BB5BBD"/>
    <w:rsid w:val="00BB5FC0"/>
    <w:rsid w:val="00BB7AD2"/>
    <w:rsid w:val="00BC07BD"/>
    <w:rsid w:val="00BC352A"/>
    <w:rsid w:val="00BC48FE"/>
    <w:rsid w:val="00BD168C"/>
    <w:rsid w:val="00BE21D9"/>
    <w:rsid w:val="00BE4433"/>
    <w:rsid w:val="00BE67CB"/>
    <w:rsid w:val="00BF6C52"/>
    <w:rsid w:val="00BF6E7A"/>
    <w:rsid w:val="00BF72F5"/>
    <w:rsid w:val="00BF73EF"/>
    <w:rsid w:val="00C10A23"/>
    <w:rsid w:val="00C13EE0"/>
    <w:rsid w:val="00C21217"/>
    <w:rsid w:val="00C21374"/>
    <w:rsid w:val="00C239A1"/>
    <w:rsid w:val="00C3072F"/>
    <w:rsid w:val="00C33357"/>
    <w:rsid w:val="00C359D8"/>
    <w:rsid w:val="00C35B52"/>
    <w:rsid w:val="00C40A2C"/>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1376"/>
    <w:rsid w:val="00C83282"/>
    <w:rsid w:val="00C83322"/>
    <w:rsid w:val="00C91131"/>
    <w:rsid w:val="00C91E2A"/>
    <w:rsid w:val="00CA3420"/>
    <w:rsid w:val="00CB3A12"/>
    <w:rsid w:val="00CC0B15"/>
    <w:rsid w:val="00CC2C39"/>
    <w:rsid w:val="00CC3B2E"/>
    <w:rsid w:val="00CC6072"/>
    <w:rsid w:val="00CD1A0E"/>
    <w:rsid w:val="00CD262F"/>
    <w:rsid w:val="00CD43DE"/>
    <w:rsid w:val="00CD66A6"/>
    <w:rsid w:val="00CD7604"/>
    <w:rsid w:val="00CD7E0A"/>
    <w:rsid w:val="00CE1ADB"/>
    <w:rsid w:val="00CE3701"/>
    <w:rsid w:val="00CE61ED"/>
    <w:rsid w:val="00CF7C10"/>
    <w:rsid w:val="00D0430F"/>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42E6"/>
    <w:rsid w:val="00DA771D"/>
    <w:rsid w:val="00DB2225"/>
    <w:rsid w:val="00DB2E24"/>
    <w:rsid w:val="00DC0128"/>
    <w:rsid w:val="00DC36E8"/>
    <w:rsid w:val="00DD3AE4"/>
    <w:rsid w:val="00DD6016"/>
    <w:rsid w:val="00DE21E9"/>
    <w:rsid w:val="00DE3431"/>
    <w:rsid w:val="00DE5CBA"/>
    <w:rsid w:val="00DF5626"/>
    <w:rsid w:val="00DF59FE"/>
    <w:rsid w:val="00DF5F7A"/>
    <w:rsid w:val="00DF6595"/>
    <w:rsid w:val="00E01D66"/>
    <w:rsid w:val="00E04E9D"/>
    <w:rsid w:val="00E14B8A"/>
    <w:rsid w:val="00E237BC"/>
    <w:rsid w:val="00E2401C"/>
    <w:rsid w:val="00E260EF"/>
    <w:rsid w:val="00E27E3F"/>
    <w:rsid w:val="00E345CF"/>
    <w:rsid w:val="00E40215"/>
    <w:rsid w:val="00E42764"/>
    <w:rsid w:val="00E43F2A"/>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00EB"/>
    <w:rsid w:val="00F51149"/>
    <w:rsid w:val="00F534FE"/>
    <w:rsid w:val="00F577E0"/>
    <w:rsid w:val="00F63500"/>
    <w:rsid w:val="00F67DF6"/>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6</Pages>
  <Words>489</Words>
  <Characters>2792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20</cp:revision>
  <cp:lastPrinted>2021-12-02T01:03:00Z</cp:lastPrinted>
  <dcterms:created xsi:type="dcterms:W3CDTF">2022-09-15T00:36:00Z</dcterms:created>
  <dcterms:modified xsi:type="dcterms:W3CDTF">2022-11-23T06:28:00Z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