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8F" w:rsidRPr="001E6ADB" w:rsidRDefault="0036208F"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w:t>
      </w:r>
      <w:r w:rsidRPr="008D4658">
        <w:rPr>
          <w:rStyle w:val="3CharCharChar"/>
          <w:rFonts w:ascii="黑体" w:eastAsia="黑体" w:hAnsi="黑体" w:hint="eastAsia"/>
          <w:sz w:val="28"/>
          <w:szCs w:val="28"/>
        </w:rPr>
        <w:t>信息化建设咨询服务</w:t>
      </w:r>
      <w:r>
        <w:rPr>
          <w:rStyle w:val="3CharCharChar"/>
          <w:rFonts w:ascii="黑体" w:eastAsia="黑体" w:hAnsi="黑体" w:hint="eastAsia"/>
          <w:sz w:val="28"/>
          <w:szCs w:val="28"/>
        </w:rPr>
        <w:t>采购项目比选文件</w:t>
      </w:r>
    </w:p>
    <w:p w:rsidR="0036208F" w:rsidRDefault="0036208F"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36208F" w:rsidRDefault="0036208F"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2021111004</w:t>
      </w:r>
    </w:p>
    <w:p w:rsidR="0036208F" w:rsidRPr="00EB45F3" w:rsidRDefault="0036208F"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w:t>
      </w:r>
      <w:r w:rsidRPr="008D4658">
        <w:rPr>
          <w:rFonts w:ascii="仿宋" w:eastAsia="仿宋" w:hAnsi="仿宋" w:cs="宋体" w:hint="eastAsia"/>
          <w:b w:val="0"/>
          <w:spacing w:val="-20"/>
          <w:kern w:val="2"/>
          <w:sz w:val="28"/>
          <w:szCs w:val="28"/>
        </w:rPr>
        <w:t>信息化建设咨询服务</w:t>
      </w:r>
      <w:r>
        <w:rPr>
          <w:rFonts w:ascii="仿宋" w:eastAsia="仿宋" w:hAnsi="仿宋" w:cs="宋体" w:hint="eastAsia"/>
          <w:b w:val="0"/>
          <w:spacing w:val="-20"/>
          <w:kern w:val="2"/>
          <w:sz w:val="28"/>
          <w:szCs w:val="28"/>
        </w:rPr>
        <w:t>采购项目</w:t>
      </w:r>
    </w:p>
    <w:p w:rsidR="0036208F" w:rsidRPr="008D4658" w:rsidRDefault="0036208F" w:rsidP="008D4658">
      <w:pPr>
        <w:widowControl/>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5A1863">
        <w:rPr>
          <w:rFonts w:ascii="仿宋" w:eastAsia="仿宋" w:hAnsi="仿宋" w:cs="宋体" w:hint="eastAsia"/>
          <w:spacing w:val="-20"/>
          <w:sz w:val="28"/>
          <w:szCs w:val="28"/>
        </w:rPr>
        <w:t>采购内容：</w:t>
      </w:r>
      <w:r w:rsidRPr="008D4658">
        <w:rPr>
          <w:rFonts w:ascii="仿宋" w:eastAsia="仿宋" w:hAnsi="仿宋" w:cs="宋体" w:hint="eastAsia"/>
          <w:spacing w:val="-20"/>
          <w:sz w:val="28"/>
          <w:szCs w:val="28"/>
        </w:rPr>
        <w:t>结合十四五总体发展规划纲要与国家十四五医院信息化、全民健康信息化建设、三甲医院智慧医院建设的政策标准规范和国内主流成功案例经验与惯例，针对我院十四五高质量发展需要的信息化建设提供</w:t>
      </w:r>
      <w:r w:rsidRPr="008D4658">
        <w:rPr>
          <w:rFonts w:ascii="仿宋" w:eastAsia="仿宋" w:hAnsi="仿宋" w:cs="宋体"/>
          <w:spacing w:val="-20"/>
          <w:sz w:val="28"/>
          <w:szCs w:val="28"/>
        </w:rPr>
        <w:t>7X24</w:t>
      </w:r>
      <w:r w:rsidRPr="008D4658">
        <w:rPr>
          <w:rFonts w:ascii="仿宋" w:eastAsia="仿宋" w:hAnsi="仿宋" w:cs="宋体" w:hint="eastAsia"/>
          <w:spacing w:val="-20"/>
          <w:sz w:val="28"/>
          <w:szCs w:val="28"/>
        </w:rPr>
        <w:t>专业客观循证的咨询服务。</w:t>
      </w:r>
    </w:p>
    <w:p w:rsidR="0036208F" w:rsidRPr="008D4658" w:rsidRDefault="0036208F" w:rsidP="00092932">
      <w:pPr>
        <w:widowControl/>
        <w:spacing w:line="360" w:lineRule="auto"/>
        <w:ind w:firstLineChars="200" w:firstLine="31680"/>
        <w:rPr>
          <w:rFonts w:ascii="仿宋" w:eastAsia="仿宋" w:hAnsi="仿宋" w:cs="宋体"/>
          <w:spacing w:val="-20"/>
          <w:sz w:val="28"/>
          <w:szCs w:val="28"/>
        </w:rPr>
      </w:pPr>
      <w:r w:rsidRPr="008D4658">
        <w:rPr>
          <w:rFonts w:ascii="仿宋" w:eastAsia="仿宋" w:hAnsi="仿宋" w:cs="宋体" w:hint="eastAsia"/>
          <w:spacing w:val="-20"/>
          <w:sz w:val="28"/>
          <w:szCs w:val="28"/>
        </w:rPr>
        <w:t>包括在建项目、新筹建项目及已完成项目运维三类；包括项目实施管理咨询和项目运维管理咨询；包括整合专家资源专业咨询、专业辅导、书面咨询、会议沟通等服务方式。为医院提供必要的方案编制与文档调整、合理化咨询建议服务，以及医院信息化建设过程中其他专业技术咨询和政策标准、行业市场研究咨询服务、项目运维技术咨询、培训服务等。</w:t>
      </w:r>
    </w:p>
    <w:p w:rsidR="0036208F" w:rsidRDefault="0036208F"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195000</w:t>
      </w:r>
      <w:r>
        <w:rPr>
          <w:rFonts w:ascii="仿宋" w:eastAsia="仿宋" w:hAnsi="仿宋" w:hint="eastAsia"/>
          <w:bCs/>
          <w:spacing w:val="-20"/>
          <w:sz w:val="28"/>
          <w:szCs w:val="28"/>
        </w:rPr>
        <w:t>元；最高限价：</w:t>
      </w:r>
      <w:r>
        <w:rPr>
          <w:rFonts w:ascii="仿宋" w:eastAsia="仿宋" w:hAnsi="仿宋"/>
          <w:bCs/>
          <w:spacing w:val="-20"/>
          <w:sz w:val="28"/>
          <w:szCs w:val="28"/>
        </w:rPr>
        <w:t>195000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36208F" w:rsidRDefault="0036208F"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36208F" w:rsidRDefault="0036208F"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36208F" w:rsidRDefault="0036208F"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36208F" w:rsidRDefault="0036208F"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36208F" w:rsidRDefault="0036208F" w:rsidP="00092932">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36208F" w:rsidRDefault="0036208F" w:rsidP="00092932">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36208F" w:rsidRDefault="0036208F" w:rsidP="00092932">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36208F" w:rsidRDefault="0036208F"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36208F" w:rsidRDefault="0036208F"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36208F" w:rsidRDefault="0036208F" w:rsidP="00092932">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36208F" w:rsidRDefault="0036208F" w:rsidP="00092932">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36208F" w:rsidRDefault="0036208F" w:rsidP="00092932">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36208F" w:rsidRDefault="0036208F" w:rsidP="00092932">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36208F" w:rsidRDefault="0036208F" w:rsidP="00092932">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36208F" w:rsidRDefault="0036208F" w:rsidP="00092932">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36208F" w:rsidRDefault="0036208F" w:rsidP="00092932">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36208F" w:rsidRDefault="0036208F" w:rsidP="00092932">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36208F" w:rsidRDefault="0036208F" w:rsidP="00092932">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36208F" w:rsidRPr="00A67999" w:rsidRDefault="0036208F"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w:t>
      </w:r>
    </w:p>
    <w:p w:rsidR="0036208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服务内容</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w:t>
      </w:r>
      <w:r w:rsidRPr="0024776F">
        <w:rPr>
          <w:rFonts w:ascii="仿宋" w:eastAsia="仿宋" w:hAnsi="仿宋" w:hint="eastAsia"/>
          <w:sz w:val="28"/>
          <w:szCs w:val="28"/>
        </w:rPr>
        <w:t>调研院内信息化现状，编制</w:t>
      </w:r>
      <w:bookmarkStart w:id="22" w:name="_Hlk87990685"/>
      <w:r w:rsidRPr="0024776F">
        <w:rPr>
          <w:rFonts w:ascii="仿宋" w:eastAsia="仿宋" w:hAnsi="仿宋" w:hint="eastAsia"/>
          <w:sz w:val="28"/>
          <w:szCs w:val="28"/>
        </w:rPr>
        <w:t>《四川天府新区人民医院信息化建设情况调研报告》</w:t>
      </w:r>
      <w:bookmarkEnd w:id="22"/>
      <w:r w:rsidRPr="0024776F">
        <w:rPr>
          <w:rFonts w:ascii="仿宋" w:eastAsia="仿宋" w:hAnsi="仿宋" w:hint="eastAsia"/>
          <w:sz w:val="28"/>
          <w:szCs w:val="28"/>
        </w:rPr>
        <w:t>。</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采用院内走访记录（一线业务科室院级领导等。需符合疫情防控要求，疫情防控期间无法访谈的采用问卷调查）、书面或者电子问卷调查、查看系统设施现场、专题会议讨论等适宜形式客观详实调研盘点医院现有信息化软硬件系统资源及软硬件系统运行问题。对标国家有关政策标准规范参考国内三级医院信息化建设优秀成功案例的经验提出解决问题的建议整改方案措施。</w:t>
      </w:r>
      <w:r w:rsidRPr="0024776F">
        <w:rPr>
          <w:rFonts w:ascii="仿宋" w:eastAsia="仿宋" w:hAnsi="仿宋"/>
          <w:sz w:val="28"/>
          <w:szCs w:val="28"/>
        </w:rPr>
        <w:t xml:space="preserve"> </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合同签订两个月内完成，并提交《四川天府新区人民医院信息化建设情况调研报告》。根据医院的实际需要，参与医院管理团队对现有系统的问题解决方案讨论并提交现有系统问题解决方案的书面建议。</w:t>
      </w:r>
    </w:p>
    <w:p w:rsidR="0036208F" w:rsidRDefault="0036208F" w:rsidP="00924E4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bookmarkStart w:id="23" w:name="_Hlk53948521"/>
      <w:r w:rsidRPr="0024776F">
        <w:rPr>
          <w:rFonts w:ascii="仿宋" w:eastAsia="仿宋" w:hAnsi="仿宋"/>
          <w:sz w:val="28"/>
          <w:szCs w:val="28"/>
        </w:rPr>
        <w:t>2.</w:t>
      </w:r>
      <w:r w:rsidRPr="0024776F">
        <w:rPr>
          <w:rFonts w:ascii="仿宋" w:eastAsia="仿宋" w:hAnsi="仿宋" w:hint="eastAsia"/>
          <w:sz w:val="28"/>
          <w:szCs w:val="28"/>
        </w:rPr>
        <w:t>编制《天府新区人民医院十四五信息化建设发展规划（</w:t>
      </w:r>
      <w:r w:rsidRPr="0024776F">
        <w:rPr>
          <w:rFonts w:ascii="仿宋" w:eastAsia="仿宋" w:hAnsi="仿宋"/>
          <w:sz w:val="28"/>
          <w:szCs w:val="28"/>
        </w:rPr>
        <w:t>2021-2025</w:t>
      </w:r>
      <w:r w:rsidRPr="0024776F">
        <w:rPr>
          <w:rFonts w:ascii="仿宋" w:eastAsia="仿宋" w:hAnsi="仿宋" w:hint="eastAsia"/>
          <w:sz w:val="28"/>
          <w:szCs w:val="28"/>
        </w:rPr>
        <w:t>）》。</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w:t>
      </w:r>
      <w:r w:rsidRPr="0024776F">
        <w:rPr>
          <w:rFonts w:ascii="仿宋" w:eastAsia="仿宋" w:hAnsi="仿宋"/>
          <w:sz w:val="28"/>
          <w:szCs w:val="28"/>
        </w:rPr>
        <w:t>1</w:t>
      </w:r>
      <w:r w:rsidRPr="0024776F">
        <w:rPr>
          <w:rFonts w:ascii="仿宋" w:eastAsia="仿宋" w:hAnsi="仿宋" w:hint="eastAsia"/>
          <w:sz w:val="28"/>
          <w:szCs w:val="28"/>
        </w:rPr>
        <w:t>）在充分调研的基础上，医院十四五发展规划医院战略目标和医院管理团队思路，编制医院信息化建设十四五规划。主要应包括现状需求调研分析，政策目标分析（对标国家三甲综合性医院信息化相关政策标准规范）、建设短板分析；提出医院十四五期间信息化建设总体目标和总体规划分阶段目标；在此基础上编制十四五期间医院建议继续采购实施的信息化软硬件建设清单概算并结合医院资金使用状况提出建议总体规划分期分阶段实施目标。规划应科学合理，符合当年度西南地区医疗</w:t>
      </w:r>
      <w:r w:rsidRPr="0024776F">
        <w:rPr>
          <w:rFonts w:ascii="仿宋" w:eastAsia="仿宋" w:hAnsi="仿宋"/>
          <w:sz w:val="28"/>
          <w:szCs w:val="28"/>
        </w:rPr>
        <w:t>IT</w:t>
      </w:r>
      <w:r w:rsidRPr="0024776F">
        <w:rPr>
          <w:rFonts w:ascii="仿宋" w:eastAsia="仿宋" w:hAnsi="仿宋" w:hint="eastAsia"/>
          <w:sz w:val="28"/>
          <w:szCs w:val="28"/>
        </w:rPr>
        <w:t>行业客观的市场平均水平参考预算、实施步骤、重点风险及控制、预期效果评价等内容。</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w:t>
      </w:r>
      <w:r w:rsidRPr="0024776F">
        <w:rPr>
          <w:rFonts w:ascii="仿宋" w:eastAsia="仿宋" w:hAnsi="仿宋"/>
          <w:sz w:val="28"/>
          <w:szCs w:val="28"/>
        </w:rPr>
        <w:t>2</w:t>
      </w:r>
      <w:r w:rsidRPr="0024776F">
        <w:rPr>
          <w:rFonts w:ascii="仿宋" w:eastAsia="仿宋" w:hAnsi="仿宋" w:hint="eastAsia"/>
          <w:sz w:val="28"/>
          <w:szCs w:val="28"/>
        </w:rPr>
        <w:t>）医院信息化五年规划调研、编写完成时限为</w:t>
      </w:r>
      <w:r w:rsidRPr="0024776F">
        <w:rPr>
          <w:rFonts w:ascii="仿宋" w:eastAsia="仿宋" w:hAnsi="仿宋"/>
          <w:sz w:val="28"/>
          <w:szCs w:val="28"/>
        </w:rPr>
        <w:t>3</w:t>
      </w:r>
      <w:r w:rsidRPr="0024776F">
        <w:rPr>
          <w:rFonts w:ascii="仿宋" w:eastAsia="仿宋" w:hAnsi="仿宋" w:hint="eastAsia"/>
          <w:sz w:val="28"/>
          <w:szCs w:val="28"/>
        </w:rPr>
        <w:t>个月，具体开始编制时间由医院另行通知。</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3.</w:t>
      </w:r>
      <w:r w:rsidRPr="0024776F">
        <w:rPr>
          <w:rFonts w:ascii="仿宋" w:eastAsia="仿宋" w:hAnsi="仿宋" w:hint="eastAsia"/>
          <w:sz w:val="28"/>
          <w:szCs w:val="28"/>
        </w:rPr>
        <w:t>年度新建项目方案设计论证咨询。</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根据医院需求，为医院服务年度拟新（筹）建的项目提供项目方案编制和技术咨询服务。服务内容包括但不限于：（</w:t>
      </w:r>
      <w:r w:rsidRPr="0024776F">
        <w:rPr>
          <w:rFonts w:ascii="仿宋" w:eastAsia="仿宋" w:hAnsi="仿宋"/>
          <w:sz w:val="28"/>
          <w:szCs w:val="28"/>
        </w:rPr>
        <w:t>1</w:t>
      </w:r>
      <w:r w:rsidRPr="0024776F">
        <w:rPr>
          <w:rFonts w:ascii="仿宋" w:eastAsia="仿宋" w:hAnsi="仿宋" w:hint="eastAsia"/>
          <w:sz w:val="28"/>
          <w:szCs w:val="28"/>
        </w:rPr>
        <w:t>）政策标准解读；（</w:t>
      </w:r>
      <w:r w:rsidRPr="0024776F">
        <w:rPr>
          <w:rFonts w:ascii="仿宋" w:eastAsia="仿宋" w:hAnsi="仿宋"/>
          <w:sz w:val="28"/>
          <w:szCs w:val="28"/>
        </w:rPr>
        <w:t>2</w:t>
      </w:r>
      <w:r w:rsidRPr="0024776F">
        <w:rPr>
          <w:rFonts w:ascii="仿宋" w:eastAsia="仿宋" w:hAnsi="仿宋" w:hint="eastAsia"/>
          <w:sz w:val="28"/>
          <w:szCs w:val="28"/>
        </w:rPr>
        <w:t>）国内类似先进案例客观解读和产品市场调研；（</w:t>
      </w:r>
      <w:r w:rsidRPr="0024776F">
        <w:rPr>
          <w:rFonts w:ascii="仿宋" w:eastAsia="仿宋" w:hAnsi="仿宋"/>
          <w:sz w:val="28"/>
          <w:szCs w:val="28"/>
        </w:rPr>
        <w:t>3</w:t>
      </w:r>
      <w:r w:rsidRPr="0024776F">
        <w:rPr>
          <w:rFonts w:ascii="仿宋" w:eastAsia="仿宋" w:hAnsi="仿宋" w:hint="eastAsia"/>
          <w:sz w:val="28"/>
          <w:szCs w:val="28"/>
        </w:rPr>
        <w:t>）医院信息化方面的宏观决策咨询；（</w:t>
      </w:r>
      <w:r w:rsidRPr="0024776F">
        <w:rPr>
          <w:rFonts w:ascii="仿宋" w:eastAsia="仿宋" w:hAnsi="仿宋"/>
          <w:sz w:val="28"/>
          <w:szCs w:val="28"/>
        </w:rPr>
        <w:t>4</w:t>
      </w:r>
      <w:r w:rsidRPr="0024776F">
        <w:rPr>
          <w:rFonts w:ascii="仿宋" w:eastAsia="仿宋" w:hAnsi="仿宋" w:hint="eastAsia"/>
          <w:sz w:val="28"/>
          <w:szCs w:val="28"/>
        </w:rPr>
        <w:t>）根据医院具体建设项目的工作需要组织第三方卫生政策信息化专家开展项目咨询论证评审工作</w:t>
      </w:r>
      <w:bookmarkStart w:id="24" w:name="_Hlk87992249"/>
      <w:r w:rsidRPr="0024776F">
        <w:rPr>
          <w:rFonts w:ascii="仿宋" w:eastAsia="仿宋" w:hAnsi="仿宋" w:hint="eastAsia"/>
          <w:sz w:val="28"/>
          <w:szCs w:val="28"/>
        </w:rPr>
        <w:t>（第三方专家评审费用由医院按照项目专家评审规定另行支付）</w:t>
      </w:r>
      <w:bookmarkEnd w:id="24"/>
      <w:r w:rsidRPr="0024776F">
        <w:rPr>
          <w:rFonts w:ascii="仿宋" w:eastAsia="仿宋" w:hAnsi="仿宋" w:hint="eastAsia"/>
          <w:sz w:val="28"/>
          <w:szCs w:val="28"/>
        </w:rPr>
        <w:t>；（</w:t>
      </w:r>
      <w:r w:rsidRPr="0024776F">
        <w:rPr>
          <w:rFonts w:ascii="仿宋" w:eastAsia="仿宋" w:hAnsi="仿宋"/>
          <w:sz w:val="28"/>
          <w:szCs w:val="28"/>
        </w:rPr>
        <w:t>5</w:t>
      </w:r>
      <w:r w:rsidRPr="0024776F">
        <w:rPr>
          <w:rFonts w:ascii="仿宋" w:eastAsia="仿宋" w:hAnsi="仿宋" w:hint="eastAsia"/>
          <w:sz w:val="28"/>
          <w:szCs w:val="28"/>
        </w:rPr>
        <w:t>）根据医院具体建设项目的工作需要，为医院提供年度信息化新建项目的方案编制、建议招标需求参数编写、有关项目的招标采购政策标准规范方面的答疑咨询等（包括但不限于项目背景、建设目标、软硬件采购内容清单、功能指标参数、服务要求、商务要求、询价参考预算、评标办法等内容）。</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4.</w:t>
      </w:r>
      <w:r w:rsidRPr="0024776F">
        <w:rPr>
          <w:rFonts w:ascii="仿宋" w:eastAsia="仿宋" w:hAnsi="仿宋" w:hint="eastAsia"/>
          <w:sz w:val="28"/>
          <w:szCs w:val="28"/>
        </w:rPr>
        <w:t>在建项目管理技术咨询。</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根据医院需求，为医院年度信息化方面的在建项目提供建设过程中的项目管理技术咨询服务。服务内容包括但不限于：（</w:t>
      </w:r>
      <w:r w:rsidRPr="0024776F">
        <w:rPr>
          <w:rFonts w:ascii="仿宋" w:eastAsia="仿宋" w:hAnsi="仿宋"/>
          <w:sz w:val="28"/>
          <w:szCs w:val="28"/>
        </w:rPr>
        <w:t>1</w:t>
      </w:r>
      <w:r w:rsidRPr="0024776F">
        <w:rPr>
          <w:rFonts w:ascii="仿宋" w:eastAsia="仿宋" w:hAnsi="仿宋" w:hint="eastAsia"/>
          <w:sz w:val="28"/>
          <w:szCs w:val="28"/>
        </w:rPr>
        <w:t>）优化方案论证；（</w:t>
      </w:r>
      <w:r w:rsidRPr="0024776F">
        <w:rPr>
          <w:rFonts w:ascii="仿宋" w:eastAsia="仿宋" w:hAnsi="仿宋"/>
          <w:sz w:val="28"/>
          <w:szCs w:val="28"/>
        </w:rPr>
        <w:t>2</w:t>
      </w:r>
      <w:r w:rsidRPr="0024776F">
        <w:rPr>
          <w:rFonts w:ascii="仿宋" w:eastAsia="仿宋" w:hAnsi="仿宋" w:hint="eastAsia"/>
          <w:sz w:val="28"/>
          <w:szCs w:val="28"/>
        </w:rPr>
        <w:t>）技术变更必要性、合理性论证；（</w:t>
      </w:r>
      <w:r w:rsidRPr="0024776F">
        <w:rPr>
          <w:rFonts w:ascii="仿宋" w:eastAsia="仿宋" w:hAnsi="仿宋"/>
          <w:sz w:val="28"/>
          <w:szCs w:val="28"/>
        </w:rPr>
        <w:t>3</w:t>
      </w:r>
      <w:r w:rsidRPr="0024776F">
        <w:rPr>
          <w:rFonts w:ascii="仿宋" w:eastAsia="仿宋" w:hAnsi="仿宋" w:hint="eastAsia"/>
          <w:sz w:val="28"/>
          <w:szCs w:val="28"/>
        </w:rPr>
        <w:t>）建设过程管控措施建议；（</w:t>
      </w:r>
      <w:r w:rsidRPr="0024776F">
        <w:rPr>
          <w:rFonts w:ascii="仿宋" w:eastAsia="仿宋" w:hAnsi="仿宋"/>
          <w:sz w:val="28"/>
          <w:szCs w:val="28"/>
        </w:rPr>
        <w:t>4</w:t>
      </w:r>
      <w:r w:rsidRPr="0024776F">
        <w:rPr>
          <w:rFonts w:ascii="仿宋" w:eastAsia="仿宋" w:hAnsi="仿宋" w:hint="eastAsia"/>
          <w:sz w:val="28"/>
          <w:szCs w:val="28"/>
        </w:rPr>
        <w:t>）技术问题咨询、论证；（</w:t>
      </w:r>
      <w:r w:rsidRPr="0024776F">
        <w:rPr>
          <w:rFonts w:ascii="仿宋" w:eastAsia="仿宋" w:hAnsi="仿宋"/>
          <w:sz w:val="28"/>
          <w:szCs w:val="28"/>
        </w:rPr>
        <w:t>5</w:t>
      </w:r>
      <w:r w:rsidRPr="0024776F">
        <w:rPr>
          <w:rFonts w:ascii="仿宋" w:eastAsia="仿宋" w:hAnsi="仿宋" w:hint="eastAsia"/>
          <w:sz w:val="28"/>
          <w:szCs w:val="28"/>
        </w:rPr>
        <w:t>）在承建方的解决方案评估；（</w:t>
      </w:r>
      <w:r w:rsidRPr="0024776F">
        <w:rPr>
          <w:rFonts w:ascii="仿宋" w:eastAsia="仿宋" w:hAnsi="仿宋"/>
          <w:sz w:val="28"/>
          <w:szCs w:val="28"/>
        </w:rPr>
        <w:t>6</w:t>
      </w:r>
      <w:r w:rsidRPr="0024776F">
        <w:rPr>
          <w:rFonts w:ascii="仿宋" w:eastAsia="仿宋" w:hAnsi="仿宋" w:hint="eastAsia"/>
          <w:sz w:val="28"/>
          <w:szCs w:val="28"/>
        </w:rPr>
        <w:t>）协助在建项目的信息工程监理机构（若有）为医院提供信息化在建项目相关的政策标准规范与规律辅助决策咨询服务。</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5.</w:t>
      </w:r>
      <w:r w:rsidRPr="0024776F">
        <w:rPr>
          <w:rFonts w:ascii="仿宋" w:eastAsia="仿宋" w:hAnsi="仿宋" w:hint="eastAsia"/>
          <w:sz w:val="28"/>
          <w:szCs w:val="28"/>
        </w:rPr>
        <w:t>完成项目运维技术咨询。</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根据医院需求，为医院已完成（已验收进入运维期）建设项目提供运维过程中的技术咨询服务。服务内容包括但不限于：（</w:t>
      </w:r>
      <w:r w:rsidRPr="0024776F">
        <w:rPr>
          <w:rFonts w:ascii="仿宋" w:eastAsia="仿宋" w:hAnsi="仿宋"/>
          <w:sz w:val="28"/>
          <w:szCs w:val="28"/>
        </w:rPr>
        <w:t>1</w:t>
      </w:r>
      <w:r w:rsidRPr="0024776F">
        <w:rPr>
          <w:rFonts w:ascii="仿宋" w:eastAsia="仿宋" w:hAnsi="仿宋" w:hint="eastAsia"/>
          <w:sz w:val="28"/>
          <w:szCs w:val="28"/>
        </w:rPr>
        <w:t>）运维项目必要性论证；（</w:t>
      </w:r>
      <w:r w:rsidRPr="0024776F">
        <w:rPr>
          <w:rFonts w:ascii="仿宋" w:eastAsia="仿宋" w:hAnsi="仿宋"/>
          <w:sz w:val="28"/>
          <w:szCs w:val="28"/>
        </w:rPr>
        <w:t>2</w:t>
      </w:r>
      <w:r w:rsidRPr="0024776F">
        <w:rPr>
          <w:rFonts w:ascii="仿宋" w:eastAsia="仿宋" w:hAnsi="仿宋" w:hint="eastAsia"/>
          <w:sz w:val="28"/>
          <w:szCs w:val="28"/>
        </w:rPr>
        <w:t>）运维费用合理性论证；（</w:t>
      </w:r>
      <w:r w:rsidRPr="0024776F">
        <w:rPr>
          <w:rFonts w:ascii="仿宋" w:eastAsia="仿宋" w:hAnsi="仿宋"/>
          <w:sz w:val="28"/>
          <w:szCs w:val="28"/>
        </w:rPr>
        <w:t>3</w:t>
      </w:r>
      <w:r w:rsidRPr="0024776F">
        <w:rPr>
          <w:rFonts w:ascii="仿宋" w:eastAsia="仿宋" w:hAnsi="仿宋" w:hint="eastAsia"/>
          <w:sz w:val="28"/>
          <w:szCs w:val="28"/>
        </w:rPr>
        <w:t>）技术问题咨询、论证；（</w:t>
      </w:r>
      <w:r w:rsidRPr="0024776F">
        <w:rPr>
          <w:rFonts w:ascii="仿宋" w:eastAsia="仿宋" w:hAnsi="仿宋"/>
          <w:sz w:val="28"/>
          <w:szCs w:val="28"/>
        </w:rPr>
        <w:t>4</w:t>
      </w:r>
      <w:r w:rsidRPr="0024776F">
        <w:rPr>
          <w:rFonts w:ascii="仿宋" w:eastAsia="仿宋" w:hAnsi="仿宋" w:hint="eastAsia"/>
          <w:sz w:val="28"/>
          <w:szCs w:val="28"/>
        </w:rPr>
        <w:t>）运维方案论证等。</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6.</w:t>
      </w:r>
      <w:r w:rsidRPr="0024776F">
        <w:rPr>
          <w:rFonts w:ascii="仿宋" w:eastAsia="仿宋" w:hAnsi="仿宋" w:hint="eastAsia"/>
          <w:sz w:val="28"/>
          <w:szCs w:val="28"/>
        </w:rPr>
        <w:t>培训组织服务。</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按照医院的实际需要与需求，协调组织卫生信息行业协会、省市卫健委、高等院校专家培训资源，为医院提供信息化建设专项培训、院内培训和外出培训提供支撑（医院需要外聘第三方专家开展培训的，培训费用由医院按照专家培训费用政策标准规定另行支付。由咨询服务机构自身管理技术人员为医院开展培训的，不再支付培训费用）。</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服务标准要求</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w:t>
      </w:r>
      <w:r w:rsidRPr="0024776F">
        <w:rPr>
          <w:rFonts w:ascii="仿宋" w:eastAsia="仿宋" w:hAnsi="仿宋" w:hint="eastAsia"/>
          <w:sz w:val="28"/>
          <w:szCs w:val="28"/>
        </w:rPr>
        <w:t>遵循主要政策标准规范要求</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w:t>
      </w:r>
      <w:r w:rsidRPr="0024776F">
        <w:rPr>
          <w:rFonts w:ascii="仿宋" w:eastAsia="仿宋" w:hAnsi="仿宋" w:hint="eastAsia"/>
          <w:sz w:val="28"/>
          <w:szCs w:val="28"/>
        </w:rPr>
        <w:t>）《医院信息平台应用功能指引》国卫办规划函</w:t>
      </w:r>
      <w:r w:rsidRPr="0024776F">
        <w:rPr>
          <w:rFonts w:ascii="仿宋" w:eastAsia="仿宋" w:hAnsi="仿宋"/>
          <w:sz w:val="28"/>
          <w:szCs w:val="28"/>
        </w:rPr>
        <w:t>[2016]1110</w:t>
      </w:r>
      <w:r w:rsidRPr="0024776F">
        <w:rPr>
          <w:rFonts w:ascii="仿宋" w:eastAsia="仿宋" w:hAnsi="仿宋" w:hint="eastAsia"/>
          <w:sz w:val="28"/>
          <w:szCs w:val="28"/>
        </w:rPr>
        <w:t>号</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2</w:t>
      </w:r>
      <w:r w:rsidRPr="0024776F">
        <w:rPr>
          <w:rFonts w:ascii="仿宋" w:eastAsia="仿宋" w:hAnsi="仿宋" w:hint="eastAsia"/>
          <w:sz w:val="28"/>
          <w:szCs w:val="28"/>
        </w:rPr>
        <w:t>）《医院信息化建设应用技术指引》</w:t>
      </w:r>
      <w:r w:rsidRPr="0024776F">
        <w:rPr>
          <w:rFonts w:ascii="仿宋" w:eastAsia="仿宋" w:hAnsi="仿宋"/>
          <w:sz w:val="28"/>
          <w:szCs w:val="28"/>
        </w:rPr>
        <w:t>2017</w:t>
      </w:r>
      <w:r w:rsidRPr="0024776F">
        <w:rPr>
          <w:rFonts w:ascii="仿宋" w:eastAsia="仿宋" w:hAnsi="仿宋" w:hint="eastAsia"/>
          <w:sz w:val="28"/>
          <w:szCs w:val="28"/>
        </w:rPr>
        <w:t>年版</w:t>
      </w:r>
      <w:r w:rsidRPr="0024776F">
        <w:rPr>
          <w:rFonts w:ascii="仿宋" w:eastAsia="仿宋" w:hAnsi="仿宋"/>
          <w:sz w:val="28"/>
          <w:szCs w:val="28"/>
        </w:rPr>
        <w:t>(</w:t>
      </w:r>
      <w:r w:rsidRPr="0024776F">
        <w:rPr>
          <w:rFonts w:ascii="仿宋" w:eastAsia="仿宋" w:hAnsi="仿宋" w:hint="eastAsia"/>
          <w:sz w:val="28"/>
          <w:szCs w:val="28"/>
        </w:rPr>
        <w:t>试行</w:t>
      </w:r>
      <w:r w:rsidRPr="0024776F">
        <w:rPr>
          <w:rFonts w:ascii="仿宋" w:eastAsia="仿宋" w:hAnsi="仿宋"/>
          <w:sz w:val="28"/>
          <w:szCs w:val="28"/>
        </w:rPr>
        <w:t>)</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3</w:t>
      </w:r>
      <w:r w:rsidRPr="0024776F">
        <w:rPr>
          <w:rFonts w:ascii="仿宋" w:eastAsia="仿宋" w:hAnsi="仿宋" w:hint="eastAsia"/>
          <w:sz w:val="28"/>
          <w:szCs w:val="28"/>
        </w:rPr>
        <w:t>）</w:t>
      </w:r>
      <w:r w:rsidRPr="0024776F">
        <w:rPr>
          <w:rFonts w:ascii="仿宋" w:eastAsia="仿宋" w:hAnsi="仿宋"/>
          <w:sz w:val="28"/>
          <w:szCs w:val="28"/>
        </w:rPr>
        <w:t>2018</w:t>
      </w:r>
      <w:r w:rsidRPr="0024776F">
        <w:rPr>
          <w:rFonts w:ascii="仿宋" w:eastAsia="仿宋" w:hAnsi="仿宋" w:hint="eastAsia"/>
          <w:sz w:val="28"/>
          <w:szCs w:val="28"/>
        </w:rPr>
        <w:t>年</w:t>
      </w:r>
      <w:r w:rsidRPr="0024776F">
        <w:rPr>
          <w:rFonts w:ascii="仿宋" w:eastAsia="仿宋" w:hAnsi="仿宋"/>
          <w:sz w:val="28"/>
          <w:szCs w:val="28"/>
        </w:rPr>
        <w:t>4</w:t>
      </w:r>
      <w:r w:rsidRPr="0024776F">
        <w:rPr>
          <w:rFonts w:ascii="仿宋" w:eastAsia="仿宋" w:hAnsi="仿宋" w:hint="eastAsia"/>
          <w:sz w:val="28"/>
          <w:szCs w:val="28"/>
        </w:rPr>
        <w:t>月国家卫生健康委员会下发《全国医院信息化建设标准与功能规范（试行）》三甲医院对应规范</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4</w:t>
      </w:r>
      <w:r w:rsidRPr="0024776F">
        <w:rPr>
          <w:rFonts w:ascii="仿宋" w:eastAsia="仿宋" w:hAnsi="仿宋" w:hint="eastAsia"/>
          <w:sz w:val="28"/>
          <w:szCs w:val="28"/>
        </w:rPr>
        <w:t>）国务院国办发〔</w:t>
      </w:r>
      <w:r w:rsidRPr="0024776F">
        <w:rPr>
          <w:rFonts w:ascii="仿宋" w:eastAsia="仿宋" w:hAnsi="仿宋"/>
          <w:sz w:val="28"/>
          <w:szCs w:val="28"/>
        </w:rPr>
        <w:t>2018</w:t>
      </w:r>
      <w:r w:rsidRPr="0024776F">
        <w:rPr>
          <w:rFonts w:ascii="仿宋" w:eastAsia="仿宋" w:hAnsi="仿宋" w:hint="eastAsia"/>
          <w:sz w:val="28"/>
          <w:szCs w:val="28"/>
        </w:rPr>
        <w:t>〕</w:t>
      </w:r>
      <w:r w:rsidRPr="0024776F">
        <w:rPr>
          <w:rFonts w:ascii="仿宋" w:eastAsia="仿宋" w:hAnsi="仿宋"/>
          <w:sz w:val="28"/>
          <w:szCs w:val="28"/>
        </w:rPr>
        <w:t>26</w:t>
      </w:r>
      <w:r w:rsidRPr="0024776F">
        <w:rPr>
          <w:rFonts w:ascii="仿宋" w:eastAsia="仿宋" w:hAnsi="仿宋" w:hint="eastAsia"/>
          <w:sz w:val="28"/>
          <w:szCs w:val="28"/>
        </w:rPr>
        <w:t>号文《关于促进“互联网</w:t>
      </w:r>
      <w:r w:rsidRPr="0024776F">
        <w:rPr>
          <w:rFonts w:ascii="仿宋" w:eastAsia="仿宋" w:hAnsi="仿宋"/>
          <w:sz w:val="28"/>
          <w:szCs w:val="28"/>
        </w:rPr>
        <w:t>+</w:t>
      </w:r>
      <w:r w:rsidRPr="0024776F">
        <w:rPr>
          <w:rFonts w:ascii="仿宋" w:eastAsia="仿宋" w:hAnsi="仿宋" w:hint="eastAsia"/>
          <w:sz w:val="28"/>
          <w:szCs w:val="28"/>
        </w:rPr>
        <w:t>医疗健康”发展的实施意见》</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5</w:t>
      </w:r>
      <w:r w:rsidRPr="0024776F">
        <w:rPr>
          <w:rFonts w:ascii="仿宋" w:eastAsia="仿宋" w:hAnsi="仿宋" w:hint="eastAsia"/>
          <w:sz w:val="28"/>
          <w:szCs w:val="28"/>
        </w:rPr>
        <w:t>）国卫办医发（</w:t>
      </w:r>
      <w:r w:rsidRPr="0024776F">
        <w:rPr>
          <w:rFonts w:ascii="仿宋" w:eastAsia="仿宋" w:hAnsi="仿宋"/>
          <w:sz w:val="28"/>
          <w:szCs w:val="28"/>
        </w:rPr>
        <w:t>2018</w:t>
      </w:r>
      <w:r w:rsidRPr="0024776F">
        <w:rPr>
          <w:rFonts w:ascii="仿宋" w:eastAsia="仿宋" w:hAnsi="仿宋" w:hint="eastAsia"/>
          <w:sz w:val="28"/>
          <w:szCs w:val="28"/>
        </w:rPr>
        <w:t>）</w:t>
      </w:r>
      <w:r w:rsidRPr="0024776F">
        <w:rPr>
          <w:rFonts w:ascii="仿宋" w:eastAsia="仿宋" w:hAnsi="仿宋"/>
          <w:sz w:val="28"/>
          <w:szCs w:val="28"/>
        </w:rPr>
        <w:t>20</w:t>
      </w:r>
      <w:r w:rsidRPr="0024776F">
        <w:rPr>
          <w:rFonts w:ascii="仿宋" w:eastAsia="仿宋" w:hAnsi="仿宋" w:hint="eastAsia"/>
          <w:sz w:val="28"/>
          <w:szCs w:val="28"/>
        </w:rPr>
        <w:t>号文《关于进一步推进以电子病历为核心的医疗机构信息化建设工作的通知》</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6</w:t>
      </w:r>
      <w:r w:rsidRPr="0024776F">
        <w:rPr>
          <w:rFonts w:ascii="仿宋" w:eastAsia="仿宋" w:hAnsi="仿宋" w:hint="eastAsia"/>
          <w:sz w:val="28"/>
          <w:szCs w:val="28"/>
        </w:rPr>
        <w:t>）国卫办医发（</w:t>
      </w:r>
      <w:r w:rsidRPr="0024776F">
        <w:rPr>
          <w:rFonts w:ascii="仿宋" w:eastAsia="仿宋" w:hAnsi="仿宋"/>
          <w:sz w:val="28"/>
          <w:szCs w:val="28"/>
        </w:rPr>
        <w:t>2018</w:t>
      </w:r>
      <w:r w:rsidRPr="0024776F">
        <w:rPr>
          <w:rFonts w:ascii="仿宋" w:eastAsia="仿宋" w:hAnsi="仿宋" w:hint="eastAsia"/>
          <w:sz w:val="28"/>
          <w:szCs w:val="28"/>
        </w:rPr>
        <w:t>）</w:t>
      </w:r>
      <w:r w:rsidRPr="0024776F">
        <w:rPr>
          <w:rFonts w:ascii="仿宋" w:eastAsia="仿宋" w:hAnsi="仿宋"/>
          <w:sz w:val="28"/>
          <w:szCs w:val="28"/>
        </w:rPr>
        <w:t>1079</w:t>
      </w:r>
      <w:r w:rsidRPr="0024776F">
        <w:rPr>
          <w:rFonts w:ascii="仿宋" w:eastAsia="仿宋" w:hAnsi="仿宋" w:hint="eastAsia"/>
          <w:sz w:val="28"/>
          <w:szCs w:val="28"/>
        </w:rPr>
        <w:t>号文《关于印发电子病历系统应用水平分级评价管理办法（试行）及评价标准（试行）》的通知》</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7</w:t>
      </w:r>
      <w:r w:rsidRPr="0024776F">
        <w:rPr>
          <w:rFonts w:ascii="仿宋" w:eastAsia="仿宋" w:hAnsi="仿宋" w:hint="eastAsia"/>
          <w:sz w:val="28"/>
          <w:szCs w:val="28"/>
        </w:rPr>
        <w:t>）国家卫健委《国家医疗健康（医院）信息互联互通成熟度测评方案》（</w:t>
      </w:r>
      <w:r w:rsidRPr="0024776F">
        <w:rPr>
          <w:rFonts w:ascii="仿宋" w:eastAsia="仿宋" w:hAnsi="仿宋"/>
          <w:sz w:val="28"/>
          <w:szCs w:val="28"/>
        </w:rPr>
        <w:t>2020</w:t>
      </w:r>
      <w:r w:rsidRPr="0024776F">
        <w:rPr>
          <w:rFonts w:ascii="仿宋" w:eastAsia="仿宋" w:hAnsi="仿宋" w:hint="eastAsia"/>
          <w:sz w:val="28"/>
          <w:szCs w:val="28"/>
        </w:rPr>
        <w:t>版）</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8</w:t>
      </w:r>
      <w:r w:rsidRPr="0024776F">
        <w:rPr>
          <w:rFonts w:ascii="仿宋" w:eastAsia="仿宋" w:hAnsi="仿宋" w:hint="eastAsia"/>
          <w:sz w:val="28"/>
          <w:szCs w:val="28"/>
        </w:rPr>
        <w:t>）四川省卫健委《四川省智慧医院评审标准》（</w:t>
      </w:r>
      <w:r w:rsidRPr="0024776F">
        <w:rPr>
          <w:rFonts w:ascii="仿宋" w:eastAsia="仿宋" w:hAnsi="仿宋"/>
          <w:sz w:val="28"/>
          <w:szCs w:val="28"/>
        </w:rPr>
        <w:t>2020</w:t>
      </w:r>
      <w:r w:rsidRPr="0024776F">
        <w:rPr>
          <w:rFonts w:ascii="仿宋" w:eastAsia="仿宋" w:hAnsi="仿宋" w:hint="eastAsia"/>
          <w:sz w:val="28"/>
          <w:szCs w:val="28"/>
        </w:rPr>
        <w:t>试行）</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9</w:t>
      </w:r>
      <w:r w:rsidRPr="0024776F">
        <w:rPr>
          <w:rFonts w:ascii="仿宋" w:eastAsia="仿宋" w:hAnsi="仿宋" w:hint="eastAsia"/>
          <w:sz w:val="28"/>
          <w:szCs w:val="28"/>
        </w:rPr>
        <w:t>）《三级医院评审标准》（</w:t>
      </w:r>
      <w:r w:rsidRPr="0024776F">
        <w:rPr>
          <w:rFonts w:ascii="仿宋" w:eastAsia="仿宋" w:hAnsi="仿宋"/>
          <w:sz w:val="28"/>
          <w:szCs w:val="28"/>
        </w:rPr>
        <w:t>2020</w:t>
      </w:r>
      <w:r w:rsidRPr="0024776F">
        <w:rPr>
          <w:rFonts w:ascii="仿宋" w:eastAsia="仿宋" w:hAnsi="仿宋" w:hint="eastAsia"/>
          <w:sz w:val="28"/>
          <w:szCs w:val="28"/>
        </w:rPr>
        <w:t>版）</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10</w:t>
      </w:r>
      <w:r w:rsidRPr="0024776F">
        <w:rPr>
          <w:rFonts w:ascii="仿宋" w:eastAsia="仿宋" w:hAnsi="仿宋" w:hint="eastAsia"/>
          <w:sz w:val="28"/>
          <w:szCs w:val="28"/>
        </w:rPr>
        <w:t>）《三级公立医院绩效考核指标》（</w:t>
      </w:r>
      <w:r w:rsidRPr="0024776F">
        <w:rPr>
          <w:rFonts w:ascii="仿宋" w:eastAsia="仿宋" w:hAnsi="仿宋"/>
          <w:sz w:val="28"/>
          <w:szCs w:val="28"/>
        </w:rPr>
        <w:t>2019</w:t>
      </w:r>
      <w:r w:rsidRPr="0024776F">
        <w:rPr>
          <w:rFonts w:ascii="仿宋" w:eastAsia="仿宋" w:hAnsi="仿宋" w:hint="eastAsia"/>
          <w:sz w:val="28"/>
          <w:szCs w:val="28"/>
        </w:rPr>
        <w:t>版）</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11</w:t>
      </w:r>
      <w:r w:rsidRPr="0024776F">
        <w:rPr>
          <w:rFonts w:ascii="仿宋" w:eastAsia="仿宋" w:hAnsi="仿宋" w:hint="eastAsia"/>
          <w:sz w:val="28"/>
          <w:szCs w:val="28"/>
        </w:rPr>
        <w:t>）《国务院办公厅关于促进“互联网</w:t>
      </w:r>
      <w:r w:rsidRPr="0024776F">
        <w:rPr>
          <w:rFonts w:ascii="仿宋" w:eastAsia="仿宋" w:hAnsi="仿宋"/>
          <w:sz w:val="28"/>
          <w:szCs w:val="28"/>
        </w:rPr>
        <w:t>+</w:t>
      </w:r>
      <w:r w:rsidRPr="0024776F">
        <w:rPr>
          <w:rFonts w:ascii="仿宋" w:eastAsia="仿宋" w:hAnsi="仿宋" w:hint="eastAsia"/>
          <w:sz w:val="28"/>
          <w:szCs w:val="28"/>
        </w:rPr>
        <w:t>医疗健康”发展的意见》国办发〔</w:t>
      </w:r>
      <w:r w:rsidRPr="0024776F">
        <w:rPr>
          <w:rFonts w:ascii="仿宋" w:eastAsia="仿宋" w:hAnsi="仿宋"/>
          <w:sz w:val="28"/>
          <w:szCs w:val="28"/>
        </w:rPr>
        <w:t>2018</w:t>
      </w:r>
      <w:r w:rsidRPr="0024776F">
        <w:rPr>
          <w:rFonts w:ascii="仿宋" w:eastAsia="仿宋" w:hAnsi="仿宋" w:hint="eastAsia"/>
          <w:sz w:val="28"/>
          <w:szCs w:val="28"/>
        </w:rPr>
        <w:t>〕</w:t>
      </w:r>
      <w:r w:rsidRPr="0024776F">
        <w:rPr>
          <w:rFonts w:ascii="仿宋" w:eastAsia="仿宋" w:hAnsi="仿宋"/>
          <w:sz w:val="28"/>
          <w:szCs w:val="28"/>
        </w:rPr>
        <w:t>26</w:t>
      </w:r>
      <w:r w:rsidRPr="0024776F">
        <w:rPr>
          <w:rFonts w:ascii="仿宋" w:eastAsia="仿宋" w:hAnsi="仿宋" w:hint="eastAsia"/>
          <w:sz w:val="28"/>
          <w:szCs w:val="28"/>
        </w:rPr>
        <w:t>号</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12</w:t>
      </w:r>
      <w:r w:rsidRPr="0024776F">
        <w:rPr>
          <w:rFonts w:ascii="仿宋" w:eastAsia="仿宋" w:hAnsi="仿宋" w:hint="eastAsia"/>
          <w:sz w:val="28"/>
          <w:szCs w:val="28"/>
        </w:rPr>
        <w:t>）《国务院办公厅关于推动公立医院高质量发展的意见》国办发〔</w:t>
      </w:r>
      <w:r w:rsidRPr="0024776F">
        <w:rPr>
          <w:rFonts w:ascii="仿宋" w:eastAsia="仿宋" w:hAnsi="仿宋"/>
          <w:sz w:val="28"/>
          <w:szCs w:val="28"/>
        </w:rPr>
        <w:t>2021</w:t>
      </w:r>
      <w:r w:rsidRPr="0024776F">
        <w:rPr>
          <w:rFonts w:ascii="仿宋" w:eastAsia="仿宋" w:hAnsi="仿宋" w:hint="eastAsia"/>
          <w:sz w:val="28"/>
          <w:szCs w:val="28"/>
        </w:rPr>
        <w:t>〕</w:t>
      </w:r>
      <w:r w:rsidRPr="0024776F">
        <w:rPr>
          <w:rFonts w:ascii="仿宋" w:eastAsia="仿宋" w:hAnsi="仿宋"/>
          <w:sz w:val="28"/>
          <w:szCs w:val="28"/>
        </w:rPr>
        <w:t>18</w:t>
      </w:r>
      <w:r w:rsidRPr="0024776F">
        <w:rPr>
          <w:rFonts w:ascii="仿宋" w:eastAsia="仿宋" w:hAnsi="仿宋" w:hint="eastAsia"/>
          <w:sz w:val="28"/>
          <w:szCs w:val="28"/>
        </w:rPr>
        <w:t>号</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13</w:t>
      </w:r>
      <w:r w:rsidRPr="0024776F">
        <w:rPr>
          <w:rFonts w:ascii="仿宋" w:eastAsia="仿宋" w:hAnsi="仿宋" w:hint="eastAsia"/>
          <w:sz w:val="28"/>
          <w:szCs w:val="28"/>
        </w:rPr>
        <w:t>）《成都市人民政府办公厅关于印发全域成都医联工程建设总体实施方案（</w:t>
      </w:r>
      <w:r w:rsidRPr="0024776F">
        <w:rPr>
          <w:rFonts w:ascii="仿宋" w:eastAsia="仿宋" w:hAnsi="仿宋"/>
          <w:sz w:val="28"/>
          <w:szCs w:val="28"/>
        </w:rPr>
        <w:t>2020-2022</w:t>
      </w:r>
      <w:r w:rsidRPr="0024776F">
        <w:rPr>
          <w:rFonts w:ascii="仿宋" w:eastAsia="仿宋" w:hAnsi="仿宋" w:hint="eastAsia"/>
          <w:sz w:val="28"/>
          <w:szCs w:val="28"/>
        </w:rPr>
        <w:t>年）的通知》成办发</w:t>
      </w:r>
      <w:r w:rsidRPr="0024776F">
        <w:rPr>
          <w:rFonts w:ascii="仿宋" w:eastAsia="仿宋" w:hAnsi="仿宋"/>
          <w:sz w:val="28"/>
          <w:szCs w:val="28"/>
        </w:rPr>
        <w:t>[2020]98</w:t>
      </w:r>
      <w:r w:rsidRPr="0024776F">
        <w:rPr>
          <w:rFonts w:ascii="仿宋" w:eastAsia="仿宋" w:hAnsi="仿宋" w:hint="eastAsia"/>
          <w:sz w:val="28"/>
          <w:szCs w:val="28"/>
        </w:rPr>
        <w:t>号等最新在行有关政策标准规范文件。</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2.</w:t>
      </w:r>
      <w:r w:rsidRPr="0024776F">
        <w:rPr>
          <w:rFonts w:ascii="仿宋" w:eastAsia="仿宋" w:hAnsi="仿宋" w:hint="eastAsia"/>
          <w:sz w:val="28"/>
          <w:szCs w:val="28"/>
        </w:rPr>
        <w:t>项目技术咨询服务人员要求</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w:t>
      </w:r>
      <w:r w:rsidRPr="0024776F">
        <w:rPr>
          <w:rFonts w:ascii="仿宋" w:eastAsia="仿宋" w:hAnsi="仿宋" w:hint="eastAsia"/>
          <w:sz w:val="28"/>
          <w:szCs w:val="28"/>
        </w:rPr>
        <w:t>）项目服务单位应组建</w:t>
      </w:r>
      <w:r w:rsidRPr="0024776F">
        <w:rPr>
          <w:rFonts w:ascii="仿宋" w:eastAsia="仿宋" w:hAnsi="仿宋"/>
          <w:sz w:val="28"/>
          <w:szCs w:val="28"/>
        </w:rPr>
        <w:t>3</w:t>
      </w:r>
      <w:r w:rsidRPr="0024776F">
        <w:rPr>
          <w:rFonts w:ascii="仿宋" w:eastAsia="仿宋" w:hAnsi="仿宋" w:hint="eastAsia"/>
          <w:sz w:val="28"/>
          <w:szCs w:val="28"/>
        </w:rPr>
        <w:t>人的咨询服务团队，其中项目负责人应当具备医疗</w:t>
      </w:r>
      <w:r w:rsidRPr="0024776F">
        <w:rPr>
          <w:rFonts w:ascii="仿宋" w:eastAsia="仿宋" w:hAnsi="仿宋"/>
          <w:sz w:val="28"/>
          <w:szCs w:val="28"/>
        </w:rPr>
        <w:t>IT</w:t>
      </w:r>
      <w:r w:rsidRPr="0024776F">
        <w:rPr>
          <w:rFonts w:ascii="仿宋" w:eastAsia="仿宋" w:hAnsi="仿宋" w:hint="eastAsia"/>
          <w:sz w:val="28"/>
          <w:szCs w:val="28"/>
        </w:rPr>
        <w:t>行业管理实施从业经验，技术咨询服务人员应配备应用软件规划设计工程师和硬件网络规划设计工程师各</w:t>
      </w:r>
      <w:r w:rsidRPr="0024776F">
        <w:rPr>
          <w:rFonts w:ascii="仿宋" w:eastAsia="仿宋" w:hAnsi="仿宋"/>
          <w:sz w:val="28"/>
          <w:szCs w:val="28"/>
        </w:rPr>
        <w:t>1</w:t>
      </w:r>
      <w:r w:rsidRPr="0024776F">
        <w:rPr>
          <w:rFonts w:ascii="仿宋" w:eastAsia="仿宋" w:hAnsi="仿宋" w:hint="eastAsia"/>
          <w:sz w:val="28"/>
          <w:szCs w:val="28"/>
        </w:rPr>
        <w:t>名。</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2</w:t>
      </w:r>
      <w:r w:rsidRPr="0024776F">
        <w:rPr>
          <w:rFonts w:ascii="仿宋" w:eastAsia="仿宋" w:hAnsi="仿宋" w:hint="eastAsia"/>
          <w:sz w:val="28"/>
          <w:szCs w:val="28"/>
        </w:rPr>
        <w:t>）项目技术咨询服务人员不得更换，应保证为医院提供稳定的技术咨询服务，因离职等原因客观上无法履行本合同义务或者医院书面要求更换技术咨询服务人员时，应另行指派技术咨询服务人员，并保证其资格、履历、水平等不低于更换前的技术咨询服务人员。</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3</w:t>
      </w:r>
      <w:r w:rsidRPr="0024776F">
        <w:rPr>
          <w:rFonts w:ascii="仿宋" w:eastAsia="仿宋" w:hAnsi="仿宋" w:hint="eastAsia"/>
          <w:sz w:val="28"/>
          <w:szCs w:val="28"/>
        </w:rPr>
        <w:t>）服务团队能够在不同阶段根据医院的需要增加满足相应要求的技术咨询服务人员。</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4</w:t>
      </w:r>
      <w:r w:rsidRPr="0024776F">
        <w:rPr>
          <w:rFonts w:ascii="仿宋" w:eastAsia="仿宋" w:hAnsi="仿宋" w:hint="eastAsia"/>
          <w:sz w:val="28"/>
          <w:szCs w:val="28"/>
        </w:rPr>
        <w:t>）为咨询服务配置有医疗卫生行业咨询顾问专家。</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3.</w:t>
      </w:r>
      <w:r w:rsidRPr="0024776F">
        <w:rPr>
          <w:rFonts w:ascii="仿宋" w:eastAsia="仿宋" w:hAnsi="仿宋" w:hint="eastAsia"/>
          <w:sz w:val="28"/>
          <w:szCs w:val="28"/>
        </w:rPr>
        <w:t>服务方式</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w:t>
      </w:r>
      <w:r w:rsidRPr="0024776F">
        <w:rPr>
          <w:rFonts w:ascii="仿宋" w:eastAsia="仿宋" w:hAnsi="仿宋" w:hint="eastAsia"/>
          <w:sz w:val="28"/>
          <w:szCs w:val="28"/>
        </w:rPr>
        <w:t>）采取提前</w:t>
      </w:r>
      <w:r w:rsidRPr="0024776F">
        <w:rPr>
          <w:rFonts w:ascii="仿宋" w:eastAsia="仿宋" w:hAnsi="仿宋"/>
          <w:sz w:val="28"/>
          <w:szCs w:val="28"/>
        </w:rPr>
        <w:t>24</w:t>
      </w:r>
      <w:r w:rsidRPr="0024776F">
        <w:rPr>
          <w:rFonts w:ascii="仿宋" w:eastAsia="仿宋" w:hAnsi="仿宋" w:hint="eastAsia"/>
          <w:sz w:val="28"/>
          <w:szCs w:val="28"/>
        </w:rPr>
        <w:t>小时预约上门服务和远程电话会议微信邮件相结合的方式提供技术咨询服务。</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2</w:t>
      </w:r>
      <w:r w:rsidRPr="0024776F">
        <w:rPr>
          <w:rFonts w:ascii="仿宋" w:eastAsia="仿宋" w:hAnsi="仿宋" w:hint="eastAsia"/>
          <w:sz w:val="28"/>
          <w:szCs w:val="28"/>
        </w:rPr>
        <w:t>）根据医院需求，参与医院与项目建设方、项目运维单位组织的会议，提供相应的意见、建议。</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3</w:t>
      </w:r>
      <w:r w:rsidRPr="0024776F">
        <w:rPr>
          <w:rFonts w:ascii="仿宋" w:eastAsia="仿宋" w:hAnsi="仿宋" w:hint="eastAsia"/>
          <w:sz w:val="28"/>
          <w:szCs w:val="28"/>
        </w:rPr>
        <w:t>）根据医院需求，出具有关的书面咨询意见、建议。</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4.</w:t>
      </w:r>
      <w:r w:rsidRPr="0024776F">
        <w:rPr>
          <w:rFonts w:ascii="仿宋" w:eastAsia="仿宋" w:hAnsi="仿宋" w:hint="eastAsia"/>
          <w:sz w:val="28"/>
          <w:szCs w:val="28"/>
        </w:rPr>
        <w:t>服务质量要求</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w:t>
      </w:r>
      <w:r w:rsidRPr="0024776F">
        <w:rPr>
          <w:rFonts w:ascii="仿宋" w:eastAsia="仿宋" w:hAnsi="仿宋" w:hint="eastAsia"/>
          <w:sz w:val="28"/>
          <w:szCs w:val="28"/>
        </w:rPr>
        <w:t>）乙方签订合同后，应充分和院方沟通交流，根据院方的实际需求和时间表制定详细的咨询服务计划并推动落实；乙方应充分采集和分析用户现状与需求，结合国内先进案例和有关标准规范融合；乙方应有保障咨询服务进度和服务质量的管理体系，确保如期完成咨询课题任务。</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2</w:t>
      </w:r>
      <w:r w:rsidRPr="0024776F">
        <w:rPr>
          <w:rFonts w:ascii="仿宋" w:eastAsia="仿宋" w:hAnsi="仿宋" w:hint="eastAsia"/>
          <w:sz w:val="28"/>
          <w:szCs w:val="28"/>
        </w:rPr>
        <w:t>）咨询机构编制的规划方案、新建项目建设方案与需求参数等应具有信息技术和政策方向前瞻性，适应满足医院未来三至五年的发展需要。</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3</w:t>
      </w:r>
      <w:r w:rsidRPr="0024776F">
        <w:rPr>
          <w:rFonts w:ascii="仿宋" w:eastAsia="仿宋" w:hAnsi="仿宋" w:hint="eastAsia"/>
          <w:sz w:val="28"/>
          <w:szCs w:val="28"/>
        </w:rPr>
        <w:t>）咨询机构技术人员及其组织的咨询顾问专家应履行客观公正、专业达标、科学可行、信息保密、维护院方合法权益等责任义务，并承担相应的法律责任。</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5.</w:t>
      </w:r>
      <w:r w:rsidRPr="0024776F">
        <w:rPr>
          <w:rFonts w:ascii="仿宋" w:eastAsia="仿宋" w:hAnsi="仿宋" w:hint="eastAsia"/>
          <w:sz w:val="28"/>
          <w:szCs w:val="28"/>
        </w:rPr>
        <w:t>服务验收</w:t>
      </w:r>
    </w:p>
    <w:p w:rsidR="0036208F" w:rsidRPr="0024776F" w:rsidRDefault="0036208F" w:rsidP="00924E4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服务期满两周内，由中标咨询服务单位向医院汇总提交服务内容和有关咨询报告文档电子稿打印稿，申请验收。院方按照国家</w:t>
      </w:r>
      <w:bookmarkStart w:id="25" w:name="_Hlk78632298"/>
      <w:r w:rsidRPr="0024776F">
        <w:rPr>
          <w:rFonts w:ascii="仿宋" w:eastAsia="仿宋" w:hAnsi="仿宋" w:hint="eastAsia"/>
          <w:sz w:val="28"/>
          <w:szCs w:val="28"/>
        </w:rPr>
        <w:t>财政部《政府采购需求管理办法》（财库〔</w:t>
      </w:r>
      <w:r w:rsidRPr="0024776F">
        <w:rPr>
          <w:rFonts w:ascii="仿宋" w:eastAsia="仿宋" w:hAnsi="仿宋"/>
          <w:sz w:val="28"/>
          <w:szCs w:val="28"/>
        </w:rPr>
        <w:t>2021</w:t>
      </w:r>
      <w:r w:rsidRPr="0024776F">
        <w:rPr>
          <w:rFonts w:ascii="仿宋" w:eastAsia="仿宋" w:hAnsi="仿宋" w:hint="eastAsia"/>
          <w:sz w:val="28"/>
          <w:szCs w:val="28"/>
        </w:rPr>
        <w:t>〕</w:t>
      </w:r>
      <w:r w:rsidRPr="0024776F">
        <w:rPr>
          <w:rFonts w:ascii="仿宋" w:eastAsia="仿宋" w:hAnsi="仿宋"/>
          <w:sz w:val="28"/>
          <w:szCs w:val="28"/>
        </w:rPr>
        <w:t>22</w:t>
      </w:r>
      <w:r w:rsidRPr="0024776F">
        <w:rPr>
          <w:rFonts w:ascii="仿宋" w:eastAsia="仿宋" w:hAnsi="仿宋" w:hint="eastAsia"/>
          <w:sz w:val="28"/>
          <w:szCs w:val="28"/>
        </w:rPr>
        <w:t>号）</w:t>
      </w:r>
      <w:bookmarkEnd w:id="25"/>
      <w:r w:rsidRPr="0024776F">
        <w:rPr>
          <w:rFonts w:ascii="仿宋" w:eastAsia="仿宋" w:hAnsi="仿宋" w:hint="eastAsia"/>
          <w:sz w:val="28"/>
          <w:szCs w:val="28"/>
        </w:rPr>
        <w:t>有关政策法规，参照原四川省财政厅下发《四川省政府采购项目需求论证和履约验收管理办法》（川财采〔</w:t>
      </w:r>
      <w:r w:rsidRPr="0024776F">
        <w:rPr>
          <w:rFonts w:ascii="仿宋" w:eastAsia="仿宋" w:hAnsi="仿宋"/>
          <w:sz w:val="28"/>
          <w:szCs w:val="28"/>
        </w:rPr>
        <w:t>2015</w:t>
      </w:r>
      <w:r w:rsidRPr="0024776F">
        <w:rPr>
          <w:rFonts w:ascii="仿宋" w:eastAsia="仿宋" w:hAnsi="仿宋" w:hint="eastAsia"/>
          <w:sz w:val="28"/>
          <w:szCs w:val="28"/>
        </w:rPr>
        <w:t>〕</w:t>
      </w:r>
      <w:r w:rsidRPr="0024776F">
        <w:rPr>
          <w:rFonts w:ascii="仿宋" w:eastAsia="仿宋" w:hAnsi="仿宋"/>
          <w:sz w:val="28"/>
          <w:szCs w:val="28"/>
        </w:rPr>
        <w:t>32</w:t>
      </w:r>
      <w:r w:rsidRPr="0024776F">
        <w:rPr>
          <w:rFonts w:ascii="仿宋" w:eastAsia="仿宋" w:hAnsi="仿宋" w:hint="eastAsia"/>
          <w:sz w:val="28"/>
          <w:szCs w:val="28"/>
        </w:rPr>
        <w:t>号）依法组织院内</w:t>
      </w:r>
      <w:r w:rsidRPr="0024776F">
        <w:rPr>
          <w:rFonts w:ascii="仿宋" w:eastAsia="仿宋" w:hAnsi="仿宋"/>
          <w:sz w:val="28"/>
          <w:szCs w:val="28"/>
        </w:rPr>
        <w:t>3</w:t>
      </w:r>
      <w:r w:rsidRPr="0024776F">
        <w:rPr>
          <w:rFonts w:ascii="仿宋" w:eastAsia="仿宋" w:hAnsi="仿宋" w:hint="eastAsia"/>
          <w:sz w:val="28"/>
          <w:szCs w:val="28"/>
        </w:rPr>
        <w:t>人以上验收小组对年度咨询服务内容完成情况据实给予予以书面验收。合同期满</w:t>
      </w:r>
      <w:r w:rsidRPr="0024776F">
        <w:rPr>
          <w:rFonts w:ascii="仿宋" w:eastAsia="仿宋" w:hAnsi="仿宋"/>
          <w:sz w:val="28"/>
          <w:szCs w:val="28"/>
        </w:rPr>
        <w:t>2</w:t>
      </w:r>
      <w:r w:rsidRPr="0024776F">
        <w:rPr>
          <w:rFonts w:ascii="仿宋" w:eastAsia="仿宋" w:hAnsi="仿宋" w:hint="eastAsia"/>
          <w:sz w:val="28"/>
          <w:szCs w:val="28"/>
        </w:rPr>
        <w:t>个月，医院逾期未能验收的，默认为验收通过。</w:t>
      </w:r>
    </w:p>
    <w:bookmarkEnd w:id="23"/>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服务有效期一年。</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hint="eastAsia"/>
          <w:sz w:val="28"/>
          <w:szCs w:val="28"/>
        </w:rPr>
        <w:t>商务与付款</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w:t>
      </w:r>
      <w:r w:rsidRPr="0024776F">
        <w:rPr>
          <w:rFonts w:ascii="仿宋" w:eastAsia="仿宋" w:hAnsi="仿宋" w:hint="eastAsia"/>
          <w:sz w:val="28"/>
          <w:szCs w:val="28"/>
        </w:rPr>
        <w:t>服务期限和地点：</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1</w:t>
      </w:r>
      <w:r w:rsidRPr="0024776F">
        <w:rPr>
          <w:rFonts w:ascii="仿宋" w:eastAsia="仿宋" w:hAnsi="仿宋" w:hint="eastAsia"/>
          <w:sz w:val="28"/>
          <w:szCs w:val="28"/>
        </w:rPr>
        <w:t>）服务期限：</w:t>
      </w:r>
      <w:r w:rsidRPr="0024776F">
        <w:rPr>
          <w:rFonts w:ascii="仿宋" w:eastAsia="仿宋" w:hAnsi="仿宋"/>
          <w:sz w:val="28"/>
          <w:szCs w:val="28"/>
        </w:rPr>
        <w:t>1</w:t>
      </w:r>
      <w:r w:rsidRPr="0024776F">
        <w:rPr>
          <w:rFonts w:ascii="仿宋" w:eastAsia="仿宋" w:hAnsi="仿宋" w:hint="eastAsia"/>
          <w:sz w:val="28"/>
          <w:szCs w:val="28"/>
        </w:rPr>
        <w:t>年。</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2</w:t>
      </w:r>
      <w:r w:rsidRPr="0024776F">
        <w:rPr>
          <w:rFonts w:ascii="仿宋" w:eastAsia="仿宋" w:hAnsi="仿宋" w:hint="eastAsia"/>
          <w:sz w:val="28"/>
          <w:szCs w:val="28"/>
        </w:rPr>
        <w:t>）服务地点：四川天府新区人民医院。</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2.</w:t>
      </w:r>
      <w:r w:rsidRPr="0024776F">
        <w:rPr>
          <w:rFonts w:ascii="仿宋" w:eastAsia="仿宋" w:hAnsi="仿宋" w:hint="eastAsia"/>
          <w:sz w:val="28"/>
          <w:szCs w:val="28"/>
        </w:rPr>
        <w:t>付款方式：</w:t>
      </w:r>
    </w:p>
    <w:p w:rsidR="0036208F" w:rsidRPr="00CC70A4"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CC70A4">
        <w:rPr>
          <w:rFonts w:ascii="仿宋" w:eastAsia="仿宋" w:hAnsi="仿宋" w:hint="eastAsia"/>
          <w:sz w:val="28"/>
          <w:szCs w:val="28"/>
        </w:rPr>
        <w:t>中标商需开具等额增值税发票，合同签订支付不超过</w:t>
      </w:r>
      <w:r w:rsidRPr="00CC70A4">
        <w:rPr>
          <w:rFonts w:ascii="仿宋" w:eastAsia="仿宋" w:hAnsi="仿宋"/>
          <w:sz w:val="28"/>
          <w:szCs w:val="28"/>
        </w:rPr>
        <w:t>50%</w:t>
      </w:r>
      <w:r w:rsidRPr="00CC70A4">
        <w:rPr>
          <w:rFonts w:ascii="仿宋" w:eastAsia="仿宋" w:hAnsi="仿宋" w:hint="eastAsia"/>
          <w:sz w:val="28"/>
          <w:szCs w:val="28"/>
        </w:rPr>
        <w:t>金额，满半年支付不超过</w:t>
      </w:r>
      <w:r w:rsidRPr="00CC70A4">
        <w:rPr>
          <w:rFonts w:ascii="仿宋" w:eastAsia="仿宋" w:hAnsi="仿宋"/>
          <w:sz w:val="28"/>
          <w:szCs w:val="28"/>
        </w:rPr>
        <w:t>30%</w:t>
      </w:r>
      <w:r w:rsidRPr="00CC70A4">
        <w:rPr>
          <w:rFonts w:ascii="仿宋" w:eastAsia="仿宋" w:hAnsi="仿宋" w:hint="eastAsia"/>
          <w:sz w:val="28"/>
          <w:szCs w:val="28"/>
        </w:rPr>
        <w:t>，满一年</w:t>
      </w:r>
      <w:r>
        <w:rPr>
          <w:rFonts w:ascii="仿宋" w:eastAsia="仿宋" w:hAnsi="仿宋" w:hint="eastAsia"/>
          <w:sz w:val="28"/>
          <w:szCs w:val="28"/>
        </w:rPr>
        <w:t>后支付剩余款项</w:t>
      </w:r>
      <w:r w:rsidRPr="00CC70A4">
        <w:rPr>
          <w:rFonts w:ascii="仿宋" w:eastAsia="仿宋" w:hAnsi="仿宋" w:hint="eastAsia"/>
          <w:sz w:val="28"/>
          <w:szCs w:val="28"/>
        </w:rPr>
        <w:t>。</w:t>
      </w:r>
    </w:p>
    <w:p w:rsidR="0036208F" w:rsidRPr="0024776F" w:rsidRDefault="0036208F" w:rsidP="0009293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24776F">
        <w:rPr>
          <w:rFonts w:ascii="仿宋" w:eastAsia="仿宋" w:hAnsi="仿宋"/>
          <w:sz w:val="28"/>
          <w:szCs w:val="28"/>
        </w:rPr>
        <w:t>3</w:t>
      </w:r>
      <w:r w:rsidRPr="0024776F">
        <w:rPr>
          <w:rFonts w:ascii="仿宋" w:eastAsia="仿宋" w:hAnsi="仿宋" w:hint="eastAsia"/>
          <w:sz w:val="28"/>
          <w:szCs w:val="28"/>
        </w:rPr>
        <w:t>．服务费用包括中标服务供应商的技术咨询服务费用。不包括医院信息化建设项目工程监理服务费用和组织第三方卫生政策信息化专家开展项目方案项目验收的评审论证和培训费用（此类费用另行据实按照有关专家费支付标准支付）。</w:t>
      </w:r>
    </w:p>
    <w:p w:rsidR="0036208F" w:rsidRPr="000937B1" w:rsidRDefault="0036208F" w:rsidP="000937B1">
      <w:pPr>
        <w:pStyle w:val="CommentText"/>
        <w:rPr>
          <w:rFonts w:ascii="仿宋" w:eastAsia="仿宋" w:hAnsi="仿宋"/>
          <w:kern w:val="2"/>
          <w:sz w:val="28"/>
          <w:szCs w:val="28"/>
        </w:rPr>
      </w:pPr>
      <w:r w:rsidRPr="000937B1">
        <w:rPr>
          <w:rFonts w:ascii="仿宋" w:eastAsia="仿宋" w:hAnsi="仿宋" w:hint="eastAsia"/>
          <w:kern w:val="2"/>
          <w:sz w:val="28"/>
          <w:szCs w:val="28"/>
        </w:rPr>
        <w:t>十、成交原则：综合评分法，经综合评分第一的为成交供应商。</w:t>
      </w:r>
    </w:p>
    <w:p w:rsidR="0036208F" w:rsidRDefault="0036208F"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
        <w:gridCol w:w="1055"/>
        <w:gridCol w:w="546"/>
        <w:gridCol w:w="5796"/>
        <w:gridCol w:w="636"/>
      </w:tblGrid>
      <w:tr w:rsidR="0036208F" w:rsidRPr="00DA41DD" w:rsidTr="00DA41DD">
        <w:trPr>
          <w:cantSplit/>
          <w:trHeight w:val="402"/>
          <w:jc w:val="center"/>
        </w:trPr>
        <w:tc>
          <w:tcPr>
            <w:tcW w:w="0" w:type="auto"/>
            <w:vAlign w:val="center"/>
          </w:tcPr>
          <w:p w:rsidR="0036208F" w:rsidRPr="00DA41DD" w:rsidRDefault="0036208F" w:rsidP="009F2726">
            <w:pPr>
              <w:widowControl/>
              <w:spacing w:line="360" w:lineRule="auto"/>
              <w:ind w:firstLine="28"/>
              <w:jc w:val="center"/>
              <w:rPr>
                <w:rFonts w:ascii="宋体"/>
                <w:szCs w:val="21"/>
              </w:rPr>
            </w:pPr>
            <w:r w:rsidRPr="00DA41DD">
              <w:rPr>
                <w:rFonts w:ascii="宋体" w:hAnsi="宋体" w:hint="eastAsia"/>
                <w:szCs w:val="21"/>
              </w:rPr>
              <w:t>序号</w:t>
            </w:r>
          </w:p>
        </w:tc>
        <w:tc>
          <w:tcPr>
            <w:tcW w:w="0" w:type="auto"/>
            <w:vAlign w:val="center"/>
          </w:tcPr>
          <w:p w:rsidR="0036208F" w:rsidRPr="00DA41DD" w:rsidRDefault="0036208F" w:rsidP="009F2726">
            <w:pPr>
              <w:widowControl/>
              <w:spacing w:line="360" w:lineRule="auto"/>
              <w:ind w:firstLine="28"/>
              <w:jc w:val="center"/>
              <w:rPr>
                <w:rFonts w:ascii="宋体"/>
                <w:szCs w:val="21"/>
              </w:rPr>
            </w:pPr>
            <w:r w:rsidRPr="00DA41DD">
              <w:rPr>
                <w:rFonts w:ascii="宋体" w:hAnsi="宋体" w:hint="eastAsia"/>
                <w:szCs w:val="21"/>
              </w:rPr>
              <w:t>评分因素</w:t>
            </w:r>
          </w:p>
          <w:p w:rsidR="0036208F" w:rsidRPr="00DA41DD" w:rsidRDefault="0036208F" w:rsidP="009F2726">
            <w:pPr>
              <w:widowControl/>
              <w:spacing w:line="360" w:lineRule="auto"/>
              <w:ind w:firstLine="28"/>
              <w:jc w:val="center"/>
              <w:rPr>
                <w:rFonts w:ascii="宋体"/>
                <w:szCs w:val="21"/>
              </w:rPr>
            </w:pPr>
            <w:r w:rsidRPr="00DA41DD">
              <w:rPr>
                <w:rFonts w:ascii="宋体" w:hAnsi="宋体" w:hint="eastAsia"/>
                <w:szCs w:val="21"/>
              </w:rPr>
              <w:t>及权重</w:t>
            </w:r>
          </w:p>
        </w:tc>
        <w:tc>
          <w:tcPr>
            <w:tcW w:w="0" w:type="auto"/>
            <w:vAlign w:val="center"/>
          </w:tcPr>
          <w:p w:rsidR="0036208F" w:rsidRPr="00DA41DD" w:rsidRDefault="0036208F" w:rsidP="009F2726">
            <w:pPr>
              <w:widowControl/>
              <w:spacing w:line="360" w:lineRule="auto"/>
              <w:ind w:firstLine="28"/>
              <w:jc w:val="center"/>
              <w:rPr>
                <w:rFonts w:ascii="宋体"/>
                <w:szCs w:val="21"/>
              </w:rPr>
            </w:pPr>
            <w:r w:rsidRPr="00DA41DD">
              <w:rPr>
                <w:rFonts w:ascii="宋体" w:hAnsi="宋体" w:hint="eastAsia"/>
                <w:szCs w:val="21"/>
              </w:rPr>
              <w:t>分　值</w:t>
            </w:r>
          </w:p>
        </w:tc>
        <w:tc>
          <w:tcPr>
            <w:tcW w:w="0" w:type="auto"/>
            <w:vAlign w:val="center"/>
          </w:tcPr>
          <w:p w:rsidR="0036208F" w:rsidRPr="00DA41DD" w:rsidRDefault="0036208F" w:rsidP="009F2726">
            <w:pPr>
              <w:widowControl/>
              <w:spacing w:line="360" w:lineRule="auto"/>
              <w:ind w:firstLine="28"/>
              <w:jc w:val="center"/>
              <w:rPr>
                <w:rFonts w:ascii="宋体"/>
                <w:szCs w:val="21"/>
              </w:rPr>
            </w:pPr>
            <w:r w:rsidRPr="00DA41DD">
              <w:rPr>
                <w:rFonts w:ascii="宋体" w:hAnsi="宋体" w:hint="eastAsia"/>
                <w:szCs w:val="21"/>
              </w:rPr>
              <w:t>评分标准</w:t>
            </w:r>
          </w:p>
        </w:tc>
        <w:tc>
          <w:tcPr>
            <w:tcW w:w="0" w:type="auto"/>
            <w:vAlign w:val="center"/>
          </w:tcPr>
          <w:p w:rsidR="0036208F" w:rsidRPr="00DA41DD" w:rsidRDefault="0036208F" w:rsidP="009F2726">
            <w:pPr>
              <w:widowControl/>
              <w:spacing w:line="360" w:lineRule="auto"/>
              <w:jc w:val="center"/>
              <w:rPr>
                <w:rFonts w:ascii="宋体"/>
                <w:kern w:val="0"/>
                <w:szCs w:val="21"/>
              </w:rPr>
            </w:pPr>
            <w:r w:rsidRPr="00DA41DD">
              <w:rPr>
                <w:rFonts w:ascii="宋体" w:hAnsi="宋体" w:hint="eastAsia"/>
                <w:kern w:val="0"/>
                <w:szCs w:val="21"/>
              </w:rPr>
              <w:t>备注</w:t>
            </w:r>
          </w:p>
        </w:tc>
      </w:tr>
      <w:tr w:rsidR="0036208F" w:rsidRPr="00DA41DD" w:rsidTr="00DA41DD">
        <w:trPr>
          <w:cantSplit/>
          <w:trHeight w:val="2357"/>
          <w:jc w:val="center"/>
        </w:trPr>
        <w:tc>
          <w:tcPr>
            <w:tcW w:w="0" w:type="auto"/>
            <w:vAlign w:val="center"/>
          </w:tcPr>
          <w:p w:rsidR="0036208F" w:rsidRPr="00DA41DD" w:rsidRDefault="0036208F" w:rsidP="009F2726">
            <w:pPr>
              <w:widowControl/>
              <w:spacing w:line="360" w:lineRule="auto"/>
              <w:ind w:firstLine="28"/>
              <w:jc w:val="center"/>
              <w:rPr>
                <w:rFonts w:ascii="宋体" w:hAnsi="宋体"/>
                <w:szCs w:val="21"/>
              </w:rPr>
            </w:pPr>
            <w:r w:rsidRPr="00DA41DD">
              <w:rPr>
                <w:rFonts w:ascii="宋体" w:hAnsi="宋体"/>
                <w:szCs w:val="21"/>
              </w:rPr>
              <w:t>1</w:t>
            </w:r>
          </w:p>
        </w:tc>
        <w:tc>
          <w:tcPr>
            <w:tcW w:w="0" w:type="auto"/>
            <w:vAlign w:val="center"/>
          </w:tcPr>
          <w:p w:rsidR="0036208F" w:rsidRPr="00DA41DD" w:rsidRDefault="0036208F" w:rsidP="009F2726">
            <w:pPr>
              <w:widowControl/>
              <w:spacing w:line="360" w:lineRule="auto"/>
              <w:jc w:val="center"/>
              <w:rPr>
                <w:rFonts w:ascii="宋体"/>
                <w:szCs w:val="21"/>
              </w:rPr>
            </w:pPr>
          </w:p>
          <w:p w:rsidR="0036208F" w:rsidRPr="00DA41DD" w:rsidRDefault="0036208F" w:rsidP="009F2726">
            <w:pPr>
              <w:widowControl/>
              <w:spacing w:line="360" w:lineRule="auto"/>
              <w:jc w:val="center"/>
              <w:rPr>
                <w:rFonts w:ascii="宋体" w:hAnsi="宋体"/>
                <w:szCs w:val="21"/>
              </w:rPr>
            </w:pPr>
            <w:r w:rsidRPr="00DA41DD">
              <w:rPr>
                <w:rFonts w:ascii="宋体" w:hAnsi="宋体" w:hint="eastAsia"/>
                <w:szCs w:val="21"/>
              </w:rPr>
              <w:t>报价</w:t>
            </w:r>
            <w:r w:rsidRPr="00DA41DD">
              <w:rPr>
                <w:rFonts w:ascii="宋体" w:hAnsi="宋体"/>
                <w:szCs w:val="21"/>
              </w:rPr>
              <w:t>10%</w:t>
            </w:r>
          </w:p>
          <w:p w:rsidR="0036208F" w:rsidRPr="00DA41DD" w:rsidRDefault="0036208F" w:rsidP="009F2726">
            <w:pPr>
              <w:widowControl/>
              <w:spacing w:line="360" w:lineRule="auto"/>
              <w:jc w:val="center"/>
              <w:rPr>
                <w:rFonts w:ascii="宋体" w:hAnsi="宋体"/>
                <w:szCs w:val="21"/>
              </w:rPr>
            </w:pPr>
          </w:p>
        </w:tc>
        <w:tc>
          <w:tcPr>
            <w:tcW w:w="0" w:type="auto"/>
            <w:vAlign w:val="center"/>
          </w:tcPr>
          <w:p w:rsidR="0036208F" w:rsidRPr="00DA41DD" w:rsidRDefault="0036208F" w:rsidP="009F2726">
            <w:pPr>
              <w:widowControl/>
              <w:spacing w:line="360" w:lineRule="auto"/>
              <w:rPr>
                <w:rFonts w:ascii="宋体"/>
                <w:szCs w:val="21"/>
              </w:rPr>
            </w:pPr>
            <w:r w:rsidRPr="00DA41DD">
              <w:rPr>
                <w:rFonts w:ascii="宋体" w:hAnsi="宋体"/>
                <w:szCs w:val="21"/>
              </w:rPr>
              <w:t>10</w:t>
            </w:r>
            <w:r w:rsidRPr="00DA41DD">
              <w:rPr>
                <w:rFonts w:ascii="宋体" w:hAnsi="宋体" w:hint="eastAsia"/>
                <w:szCs w:val="21"/>
              </w:rPr>
              <w:t>分</w:t>
            </w:r>
          </w:p>
        </w:tc>
        <w:tc>
          <w:tcPr>
            <w:tcW w:w="0" w:type="auto"/>
            <w:vAlign w:val="center"/>
          </w:tcPr>
          <w:p w:rsidR="0036208F" w:rsidRPr="00DA41DD" w:rsidRDefault="0036208F" w:rsidP="0036208F">
            <w:pPr>
              <w:widowControl/>
              <w:spacing w:line="360" w:lineRule="auto"/>
              <w:ind w:firstLineChars="200" w:firstLine="31680"/>
              <w:rPr>
                <w:rFonts w:ascii="宋体" w:hAnsi="宋体"/>
                <w:szCs w:val="21"/>
              </w:rPr>
            </w:pPr>
            <w:r w:rsidRPr="00DA41DD">
              <w:rPr>
                <w:rFonts w:ascii="宋体" w:hAnsi="宋体" w:hint="eastAsia"/>
                <w:szCs w:val="21"/>
              </w:rPr>
              <w:t>满足磋商文件要求且有效报价最低的报价为磋商基准价，其价格分为满分。其他供应商的价格分统一按照下列公式计算：投标报价得分</w:t>
            </w:r>
            <w:r w:rsidRPr="00DA41DD">
              <w:rPr>
                <w:rFonts w:ascii="宋体" w:hAnsi="宋体"/>
                <w:szCs w:val="21"/>
              </w:rPr>
              <w:t>=(</w:t>
            </w:r>
            <w:r w:rsidRPr="00DA41DD">
              <w:rPr>
                <w:rFonts w:ascii="宋体" w:hAnsi="宋体" w:hint="eastAsia"/>
                <w:szCs w:val="21"/>
              </w:rPr>
              <w:t>评标基准价</w:t>
            </w:r>
            <w:r w:rsidRPr="00DA41DD">
              <w:rPr>
                <w:rFonts w:ascii="宋体" w:hAnsi="宋体"/>
                <w:szCs w:val="21"/>
              </w:rPr>
              <w:t>/</w:t>
            </w:r>
            <w:r w:rsidRPr="00DA41DD">
              <w:rPr>
                <w:rFonts w:ascii="宋体" w:hAnsi="宋体" w:hint="eastAsia"/>
                <w:szCs w:val="21"/>
              </w:rPr>
              <w:t>投标报价</w:t>
            </w:r>
            <w:r w:rsidRPr="00DA41DD">
              <w:rPr>
                <w:rFonts w:ascii="宋体" w:hAnsi="宋体"/>
                <w:szCs w:val="21"/>
              </w:rPr>
              <w:t>)</w:t>
            </w:r>
            <w:r w:rsidRPr="00DA41DD">
              <w:rPr>
                <w:rFonts w:ascii="宋体" w:hAnsi="宋体" w:hint="eastAsia"/>
                <w:szCs w:val="21"/>
              </w:rPr>
              <w:t>×</w:t>
            </w:r>
            <w:r w:rsidRPr="00DA41DD">
              <w:rPr>
                <w:rFonts w:ascii="宋体" w:hAnsi="宋体"/>
                <w:szCs w:val="21"/>
              </w:rPr>
              <w:t>10%</w:t>
            </w:r>
            <w:r w:rsidRPr="00DA41DD">
              <w:rPr>
                <w:rFonts w:ascii="宋体" w:hAnsi="宋体" w:hint="eastAsia"/>
                <w:szCs w:val="21"/>
              </w:rPr>
              <w:t>×</w:t>
            </w:r>
            <w:r w:rsidRPr="00DA41DD">
              <w:rPr>
                <w:rFonts w:ascii="宋体" w:hAnsi="宋体"/>
                <w:szCs w:val="21"/>
              </w:rPr>
              <w:t>100</w:t>
            </w:r>
          </w:p>
          <w:p w:rsidR="0036208F" w:rsidRPr="00DA41DD" w:rsidRDefault="0036208F" w:rsidP="0036208F">
            <w:pPr>
              <w:widowControl/>
              <w:spacing w:line="360" w:lineRule="auto"/>
              <w:ind w:firstLineChars="200" w:firstLine="31680"/>
              <w:rPr>
                <w:rFonts w:ascii="宋体"/>
                <w:szCs w:val="21"/>
              </w:rPr>
            </w:pPr>
            <w:r w:rsidRPr="00DA41DD">
              <w:rPr>
                <w:rFonts w:ascii="宋体" w:hAnsi="宋体" w:hint="eastAsia"/>
                <w:szCs w:val="21"/>
              </w:rPr>
              <w:t>小微企业（监狱企业、残疾人福利性单位视同小微企业）价格扣除按照本磋商文件磋商须知前附表规定执行。</w:t>
            </w:r>
          </w:p>
        </w:tc>
        <w:tc>
          <w:tcPr>
            <w:tcW w:w="0" w:type="auto"/>
            <w:vAlign w:val="center"/>
          </w:tcPr>
          <w:p w:rsidR="0036208F" w:rsidRPr="00DA41DD" w:rsidRDefault="0036208F" w:rsidP="0036208F">
            <w:pPr>
              <w:widowControl/>
              <w:spacing w:line="360" w:lineRule="auto"/>
              <w:ind w:firstLineChars="200" w:firstLine="31680"/>
              <w:jc w:val="center"/>
              <w:rPr>
                <w:rFonts w:ascii="宋体"/>
                <w:kern w:val="0"/>
                <w:szCs w:val="21"/>
              </w:rPr>
            </w:pPr>
          </w:p>
        </w:tc>
      </w:tr>
      <w:tr w:rsidR="0036208F" w:rsidRPr="00DA41DD" w:rsidTr="00DA41DD">
        <w:trPr>
          <w:cantSplit/>
          <w:trHeight w:val="2270"/>
          <w:jc w:val="center"/>
        </w:trPr>
        <w:tc>
          <w:tcPr>
            <w:tcW w:w="0" w:type="auto"/>
            <w:vAlign w:val="center"/>
          </w:tcPr>
          <w:p w:rsidR="0036208F" w:rsidRPr="00DA41DD" w:rsidRDefault="0036208F" w:rsidP="009F2726">
            <w:pPr>
              <w:widowControl/>
              <w:spacing w:line="360" w:lineRule="auto"/>
              <w:ind w:firstLine="28"/>
              <w:jc w:val="center"/>
              <w:rPr>
                <w:rFonts w:ascii="宋体" w:hAnsi="宋体"/>
                <w:szCs w:val="21"/>
              </w:rPr>
            </w:pPr>
            <w:r w:rsidRPr="00DA41DD">
              <w:rPr>
                <w:rFonts w:ascii="宋体" w:hAnsi="宋体"/>
                <w:szCs w:val="21"/>
              </w:rPr>
              <w:t>2</w:t>
            </w:r>
          </w:p>
        </w:tc>
        <w:tc>
          <w:tcPr>
            <w:tcW w:w="0" w:type="auto"/>
            <w:vAlign w:val="center"/>
          </w:tcPr>
          <w:p w:rsidR="0036208F" w:rsidRPr="00DA41DD" w:rsidRDefault="0036208F" w:rsidP="009F2726">
            <w:pPr>
              <w:widowControl/>
              <w:spacing w:line="360" w:lineRule="auto"/>
              <w:jc w:val="center"/>
              <w:rPr>
                <w:rFonts w:ascii="宋体"/>
                <w:szCs w:val="21"/>
              </w:rPr>
            </w:pPr>
            <w:r w:rsidRPr="00DA41DD">
              <w:rPr>
                <w:rFonts w:ascii="宋体" w:hAnsi="宋体" w:hint="eastAsia"/>
                <w:szCs w:val="21"/>
              </w:rPr>
              <w:t>服务响应程度</w:t>
            </w:r>
            <w:r w:rsidRPr="00DA41DD">
              <w:rPr>
                <w:rFonts w:ascii="宋体" w:hAnsi="宋体"/>
                <w:szCs w:val="21"/>
              </w:rPr>
              <w:t>30%</w:t>
            </w:r>
          </w:p>
        </w:tc>
        <w:tc>
          <w:tcPr>
            <w:tcW w:w="0" w:type="auto"/>
            <w:vAlign w:val="center"/>
          </w:tcPr>
          <w:p w:rsidR="0036208F" w:rsidRPr="00DA41DD" w:rsidRDefault="0036208F" w:rsidP="009F2726">
            <w:pPr>
              <w:widowControl/>
              <w:spacing w:line="360" w:lineRule="auto"/>
              <w:rPr>
                <w:rFonts w:ascii="宋体"/>
                <w:szCs w:val="21"/>
              </w:rPr>
            </w:pPr>
            <w:r w:rsidRPr="00DA41DD">
              <w:rPr>
                <w:rFonts w:ascii="宋体" w:hAnsi="宋体"/>
                <w:szCs w:val="21"/>
              </w:rPr>
              <w:t>30</w:t>
            </w:r>
            <w:r w:rsidRPr="00DA41DD">
              <w:rPr>
                <w:rFonts w:ascii="宋体" w:hAnsi="宋体" w:hint="eastAsia"/>
                <w:szCs w:val="21"/>
              </w:rPr>
              <w:t>分</w:t>
            </w:r>
          </w:p>
        </w:tc>
        <w:tc>
          <w:tcPr>
            <w:tcW w:w="0" w:type="auto"/>
            <w:vAlign w:val="center"/>
          </w:tcPr>
          <w:p w:rsidR="0036208F" w:rsidRPr="00DA41DD" w:rsidRDefault="0036208F" w:rsidP="00CC70A4">
            <w:pPr>
              <w:widowControl/>
              <w:spacing w:line="360" w:lineRule="auto"/>
              <w:rPr>
                <w:rFonts w:ascii="宋体"/>
                <w:szCs w:val="21"/>
              </w:rPr>
            </w:pPr>
            <w:r w:rsidRPr="00CC70A4">
              <w:rPr>
                <w:rFonts w:ascii="宋体" w:hint="eastAsia"/>
                <w:szCs w:val="21"/>
              </w:rPr>
              <w:t>供应商完全响应满足比选文件全部服务、实施要求得</w:t>
            </w:r>
            <w:r w:rsidRPr="00CC70A4">
              <w:rPr>
                <w:rFonts w:ascii="宋体"/>
                <w:szCs w:val="21"/>
              </w:rPr>
              <w:t>30</w:t>
            </w:r>
            <w:r w:rsidRPr="00CC70A4">
              <w:rPr>
                <w:rFonts w:ascii="宋体" w:hint="eastAsia"/>
                <w:szCs w:val="21"/>
              </w:rPr>
              <w:t>分。每有一项负偏离扣</w:t>
            </w:r>
            <w:r w:rsidRPr="00CC70A4">
              <w:rPr>
                <w:rFonts w:ascii="宋体"/>
                <w:szCs w:val="21"/>
              </w:rPr>
              <w:t>2</w:t>
            </w:r>
            <w:r w:rsidRPr="00CC70A4">
              <w:rPr>
                <w:rFonts w:ascii="宋体" w:hint="eastAsia"/>
                <w:szCs w:val="21"/>
              </w:rPr>
              <w:t>分，扣完为止。</w:t>
            </w:r>
            <w:r w:rsidRPr="00CC70A4">
              <w:rPr>
                <w:rFonts w:ascii="宋体"/>
                <w:szCs w:val="21"/>
              </w:rPr>
              <w:t xml:space="preserve">   </w:t>
            </w:r>
          </w:p>
        </w:tc>
        <w:tc>
          <w:tcPr>
            <w:tcW w:w="0" w:type="auto"/>
            <w:vAlign w:val="center"/>
          </w:tcPr>
          <w:p w:rsidR="0036208F" w:rsidRPr="00DA41DD" w:rsidRDefault="0036208F" w:rsidP="0036208F">
            <w:pPr>
              <w:widowControl/>
              <w:spacing w:line="360" w:lineRule="auto"/>
              <w:ind w:firstLineChars="200" w:firstLine="31680"/>
              <w:jc w:val="center"/>
              <w:rPr>
                <w:rFonts w:ascii="宋体"/>
                <w:kern w:val="0"/>
                <w:szCs w:val="21"/>
              </w:rPr>
            </w:pPr>
          </w:p>
        </w:tc>
      </w:tr>
      <w:tr w:rsidR="0036208F" w:rsidRPr="00DA41DD" w:rsidTr="00DA41DD">
        <w:trPr>
          <w:cantSplit/>
          <w:trHeight w:val="2770"/>
          <w:jc w:val="center"/>
        </w:trPr>
        <w:tc>
          <w:tcPr>
            <w:tcW w:w="0" w:type="auto"/>
            <w:vAlign w:val="center"/>
          </w:tcPr>
          <w:p w:rsidR="0036208F" w:rsidRPr="00DA41DD" w:rsidRDefault="0036208F" w:rsidP="009F2726">
            <w:pPr>
              <w:widowControl/>
              <w:spacing w:line="360" w:lineRule="auto"/>
              <w:ind w:firstLine="28"/>
              <w:jc w:val="center"/>
              <w:rPr>
                <w:rFonts w:ascii="宋体" w:hAnsi="宋体"/>
                <w:szCs w:val="21"/>
              </w:rPr>
            </w:pPr>
            <w:r w:rsidRPr="00DA41DD">
              <w:rPr>
                <w:rFonts w:ascii="宋体" w:hAnsi="宋体"/>
                <w:szCs w:val="21"/>
              </w:rPr>
              <w:t>3</w:t>
            </w:r>
          </w:p>
        </w:tc>
        <w:tc>
          <w:tcPr>
            <w:tcW w:w="0" w:type="auto"/>
            <w:vAlign w:val="center"/>
          </w:tcPr>
          <w:p w:rsidR="0036208F" w:rsidRPr="00DA41DD" w:rsidRDefault="0036208F" w:rsidP="009F2726">
            <w:pPr>
              <w:widowControl/>
              <w:spacing w:line="360" w:lineRule="auto"/>
              <w:jc w:val="center"/>
              <w:rPr>
                <w:rFonts w:ascii="宋体"/>
                <w:szCs w:val="21"/>
              </w:rPr>
            </w:pPr>
            <w:r w:rsidRPr="00DA41DD">
              <w:rPr>
                <w:rFonts w:ascii="宋体" w:hAnsi="宋体" w:hint="eastAsia"/>
                <w:szCs w:val="21"/>
              </w:rPr>
              <w:t>咨询服务团队经验实力情况</w:t>
            </w:r>
            <w:r w:rsidRPr="00DA41DD">
              <w:rPr>
                <w:rFonts w:ascii="宋体" w:hAnsi="宋体"/>
                <w:szCs w:val="21"/>
              </w:rPr>
              <w:t>29%</w:t>
            </w:r>
          </w:p>
        </w:tc>
        <w:tc>
          <w:tcPr>
            <w:tcW w:w="0" w:type="auto"/>
            <w:vAlign w:val="center"/>
          </w:tcPr>
          <w:p w:rsidR="0036208F" w:rsidRPr="00DA41DD" w:rsidRDefault="0036208F" w:rsidP="009F2726">
            <w:pPr>
              <w:widowControl/>
              <w:spacing w:line="360" w:lineRule="auto"/>
              <w:rPr>
                <w:rFonts w:ascii="宋体"/>
                <w:szCs w:val="21"/>
              </w:rPr>
            </w:pPr>
          </w:p>
          <w:p w:rsidR="0036208F" w:rsidRPr="00DA41DD" w:rsidRDefault="0036208F" w:rsidP="009F2726">
            <w:pPr>
              <w:widowControl/>
              <w:spacing w:line="360" w:lineRule="auto"/>
              <w:rPr>
                <w:rFonts w:ascii="宋体"/>
                <w:szCs w:val="21"/>
              </w:rPr>
            </w:pPr>
            <w:r w:rsidRPr="00DA41DD">
              <w:rPr>
                <w:rFonts w:ascii="宋体" w:hAnsi="宋体"/>
                <w:szCs w:val="21"/>
              </w:rPr>
              <w:t>29</w:t>
            </w:r>
            <w:r w:rsidRPr="00DA41DD">
              <w:rPr>
                <w:rFonts w:ascii="宋体" w:hAnsi="宋体" w:hint="eastAsia"/>
                <w:szCs w:val="21"/>
              </w:rPr>
              <w:t>分</w:t>
            </w:r>
          </w:p>
        </w:tc>
        <w:tc>
          <w:tcPr>
            <w:tcW w:w="0" w:type="auto"/>
            <w:vAlign w:val="center"/>
          </w:tcPr>
          <w:p w:rsidR="0036208F" w:rsidRPr="00DA41DD" w:rsidRDefault="0036208F" w:rsidP="009F2726">
            <w:pPr>
              <w:widowControl/>
              <w:spacing w:line="360" w:lineRule="auto"/>
              <w:rPr>
                <w:rFonts w:ascii="宋体"/>
                <w:szCs w:val="21"/>
              </w:rPr>
            </w:pPr>
            <w:r>
              <w:rPr>
                <w:rFonts w:ascii="宋体" w:hAnsi="宋体"/>
                <w:szCs w:val="21"/>
              </w:rPr>
              <w:t>1.</w:t>
            </w:r>
            <w:r w:rsidRPr="00DA41DD">
              <w:rPr>
                <w:rFonts w:ascii="宋体" w:hAnsi="宋体" w:hint="eastAsia"/>
                <w:szCs w:val="21"/>
              </w:rPr>
              <w:t>提供项目经理曾任职医疗卫生信息行业软件企业或三甲医</w:t>
            </w:r>
            <w:r>
              <w:rPr>
                <w:rFonts w:ascii="宋体" w:hAnsi="宋体" w:hint="eastAsia"/>
                <w:szCs w:val="21"/>
              </w:rPr>
              <w:t>院信息管理部门相应年限管理岗位的证明（可合并计算年限）和在供应商</w:t>
            </w:r>
            <w:r w:rsidRPr="00DA41DD">
              <w:rPr>
                <w:rFonts w:ascii="宋体" w:hAnsi="宋体" w:hint="eastAsia"/>
                <w:szCs w:val="21"/>
              </w:rPr>
              <w:t>处一年内的</w:t>
            </w:r>
            <w:r>
              <w:rPr>
                <w:rFonts w:ascii="宋体" w:hAnsi="宋体" w:hint="eastAsia"/>
                <w:szCs w:val="21"/>
              </w:rPr>
              <w:t>在职</w:t>
            </w:r>
            <w:r w:rsidRPr="00DA41DD">
              <w:rPr>
                <w:rFonts w:ascii="宋体" w:hAnsi="宋体" w:hint="eastAsia"/>
                <w:szCs w:val="21"/>
              </w:rPr>
              <w:t>证明，满足此条件得</w:t>
            </w:r>
            <w:r w:rsidRPr="00DA41DD">
              <w:rPr>
                <w:rFonts w:ascii="宋体" w:hAnsi="宋体"/>
                <w:szCs w:val="21"/>
              </w:rPr>
              <w:t>7</w:t>
            </w:r>
            <w:r>
              <w:rPr>
                <w:rFonts w:ascii="宋体" w:hAnsi="宋体" w:hint="eastAsia"/>
                <w:szCs w:val="21"/>
              </w:rPr>
              <w:t>分；</w:t>
            </w:r>
            <w:r w:rsidRPr="00DA41DD">
              <w:rPr>
                <w:rFonts w:ascii="宋体" w:hAnsi="宋体" w:hint="eastAsia"/>
                <w:szCs w:val="21"/>
              </w:rPr>
              <w:t>同时具有医疗卫生信息行业软件企业和三甲医院信息管理部门两类任职证明且合计满</w:t>
            </w:r>
            <w:r w:rsidRPr="00DA41DD">
              <w:rPr>
                <w:rFonts w:ascii="宋体" w:hAnsi="宋体"/>
                <w:szCs w:val="21"/>
              </w:rPr>
              <w:t>10</w:t>
            </w:r>
            <w:r w:rsidRPr="00DA41DD">
              <w:rPr>
                <w:rFonts w:ascii="宋体" w:hAnsi="宋体" w:hint="eastAsia"/>
                <w:szCs w:val="21"/>
              </w:rPr>
              <w:t>年以上得</w:t>
            </w:r>
            <w:r w:rsidRPr="00DA41DD">
              <w:rPr>
                <w:rFonts w:ascii="宋体" w:hAnsi="宋体"/>
                <w:szCs w:val="21"/>
              </w:rPr>
              <w:t>10</w:t>
            </w:r>
            <w:r w:rsidRPr="00DA41DD">
              <w:rPr>
                <w:rFonts w:ascii="宋体" w:hAnsi="宋体" w:hint="eastAsia"/>
                <w:szCs w:val="21"/>
              </w:rPr>
              <w:t>分。</w:t>
            </w:r>
            <w:r>
              <w:rPr>
                <w:rFonts w:ascii="宋体" w:hint="eastAsia"/>
                <w:szCs w:val="21"/>
              </w:rPr>
              <w:t>（</w:t>
            </w:r>
            <w:r w:rsidRPr="00DA41DD">
              <w:rPr>
                <w:rFonts w:ascii="宋体" w:hAnsi="宋体" w:hint="eastAsia"/>
                <w:szCs w:val="21"/>
              </w:rPr>
              <w:t>分别提供任职证明文件加盖投标人公章。</w:t>
            </w:r>
            <w:r>
              <w:rPr>
                <w:rFonts w:ascii="宋体" w:hAnsi="宋体" w:hint="eastAsia"/>
                <w:szCs w:val="21"/>
              </w:rPr>
              <w:t>）</w:t>
            </w:r>
          </w:p>
          <w:p w:rsidR="0036208F" w:rsidRPr="00DA41DD" w:rsidRDefault="0036208F" w:rsidP="00A966FB">
            <w:pPr>
              <w:widowControl/>
              <w:spacing w:line="360" w:lineRule="auto"/>
              <w:rPr>
                <w:rFonts w:ascii="宋体"/>
                <w:szCs w:val="21"/>
              </w:rPr>
            </w:pPr>
            <w:r w:rsidRPr="00DA41DD">
              <w:rPr>
                <w:rFonts w:ascii="宋体" w:hAnsi="宋体"/>
                <w:szCs w:val="21"/>
              </w:rPr>
              <w:t>2</w:t>
            </w:r>
            <w:r w:rsidRPr="00DA41DD">
              <w:rPr>
                <w:rFonts w:ascii="宋体" w:hAnsi="宋体" w:hint="eastAsia"/>
                <w:szCs w:val="21"/>
              </w:rPr>
              <w:t>、配备</w:t>
            </w:r>
            <w:r w:rsidRPr="00DA41DD">
              <w:rPr>
                <w:rFonts w:ascii="宋体" w:hAnsi="宋体"/>
                <w:szCs w:val="21"/>
              </w:rPr>
              <w:t>2</w:t>
            </w:r>
            <w:r w:rsidRPr="00DA41DD">
              <w:rPr>
                <w:rFonts w:ascii="宋体" w:hAnsi="宋体" w:hint="eastAsia"/>
                <w:szCs w:val="21"/>
              </w:rPr>
              <w:t>名具有</w:t>
            </w:r>
            <w:r w:rsidRPr="00DA41DD">
              <w:rPr>
                <w:rFonts w:ascii="宋体" w:hAnsi="宋体"/>
                <w:szCs w:val="21"/>
              </w:rPr>
              <w:t>5</w:t>
            </w:r>
            <w:r w:rsidRPr="00DA41DD">
              <w:rPr>
                <w:rFonts w:ascii="宋体" w:hAnsi="宋体" w:hint="eastAsia"/>
                <w:szCs w:val="21"/>
              </w:rPr>
              <w:t>年以上医疗卫生信息化行业经验的专职技术人员</w:t>
            </w:r>
            <w:r>
              <w:rPr>
                <w:rFonts w:ascii="宋体" w:hint="eastAsia"/>
                <w:szCs w:val="21"/>
              </w:rPr>
              <w:t>，</w:t>
            </w:r>
            <w:r w:rsidRPr="00DA41DD">
              <w:rPr>
                <w:rFonts w:ascii="宋体" w:hAnsi="宋体" w:hint="eastAsia"/>
                <w:szCs w:val="21"/>
              </w:rPr>
              <w:t>提供所配备技术人员曾任职医疗卫生信息化行业企业或三甲医院信息管理部门五年及以上工作年限（可合并计算年限）任职证明和在</w:t>
            </w:r>
            <w:r>
              <w:rPr>
                <w:rFonts w:ascii="宋体" w:hAnsi="宋体" w:hint="eastAsia"/>
                <w:szCs w:val="21"/>
              </w:rPr>
              <w:t>供应商</w:t>
            </w:r>
            <w:r w:rsidRPr="00DA41DD">
              <w:rPr>
                <w:rFonts w:ascii="宋体" w:hAnsi="宋体" w:hint="eastAsia"/>
                <w:szCs w:val="21"/>
              </w:rPr>
              <w:t>处一年内</w:t>
            </w:r>
            <w:r>
              <w:rPr>
                <w:rFonts w:ascii="宋体" w:hAnsi="宋体" w:hint="eastAsia"/>
                <w:szCs w:val="21"/>
              </w:rPr>
              <w:t>在职</w:t>
            </w:r>
            <w:r w:rsidRPr="00DA41DD">
              <w:rPr>
                <w:rFonts w:ascii="宋体" w:hAnsi="宋体" w:hint="eastAsia"/>
                <w:szCs w:val="21"/>
              </w:rPr>
              <w:t>证明，每有</w:t>
            </w:r>
            <w:r w:rsidRPr="00DA41DD">
              <w:rPr>
                <w:rFonts w:ascii="宋体" w:hAnsi="宋体"/>
                <w:szCs w:val="21"/>
              </w:rPr>
              <w:t>1</w:t>
            </w:r>
            <w:r w:rsidRPr="00DA41DD">
              <w:rPr>
                <w:rFonts w:ascii="宋体" w:hAnsi="宋体" w:hint="eastAsia"/>
                <w:szCs w:val="21"/>
              </w:rPr>
              <w:t>名技术人满足此条件得</w:t>
            </w:r>
            <w:r w:rsidRPr="00DA41DD">
              <w:rPr>
                <w:rFonts w:ascii="宋体" w:hAnsi="宋体"/>
                <w:szCs w:val="21"/>
              </w:rPr>
              <w:t>5</w:t>
            </w:r>
            <w:r w:rsidRPr="00DA41DD">
              <w:rPr>
                <w:rFonts w:ascii="宋体" w:hAnsi="宋体" w:hint="eastAsia"/>
                <w:szCs w:val="21"/>
              </w:rPr>
              <w:t>分，最高得</w:t>
            </w:r>
            <w:r w:rsidRPr="00DA41DD">
              <w:rPr>
                <w:rFonts w:ascii="宋体" w:hAnsi="宋体"/>
                <w:szCs w:val="21"/>
              </w:rPr>
              <w:t>10</w:t>
            </w:r>
            <w:r w:rsidRPr="00DA41DD">
              <w:rPr>
                <w:rFonts w:ascii="宋体" w:hAnsi="宋体" w:hint="eastAsia"/>
                <w:szCs w:val="21"/>
              </w:rPr>
              <w:t>分。</w:t>
            </w:r>
            <w:r>
              <w:rPr>
                <w:rFonts w:ascii="宋体" w:hint="eastAsia"/>
                <w:szCs w:val="21"/>
              </w:rPr>
              <w:t>（</w:t>
            </w:r>
            <w:r w:rsidRPr="00DA41DD">
              <w:rPr>
                <w:rFonts w:ascii="宋体" w:hAnsi="宋体" w:hint="eastAsia"/>
                <w:szCs w:val="21"/>
              </w:rPr>
              <w:t>分别提供任职证明文件加盖投标人公章。</w:t>
            </w:r>
            <w:r>
              <w:rPr>
                <w:rFonts w:ascii="宋体" w:hAnsi="宋体" w:hint="eastAsia"/>
                <w:szCs w:val="21"/>
              </w:rPr>
              <w:t>）</w:t>
            </w:r>
          </w:p>
          <w:p w:rsidR="0036208F" w:rsidRPr="00DA41DD" w:rsidRDefault="0036208F" w:rsidP="009F2726">
            <w:pPr>
              <w:spacing w:after="120" w:line="360" w:lineRule="auto"/>
              <w:rPr>
                <w:rFonts w:ascii="宋体"/>
                <w:szCs w:val="21"/>
              </w:rPr>
            </w:pPr>
            <w:r w:rsidRPr="00DA41DD">
              <w:rPr>
                <w:rFonts w:ascii="宋体" w:hAnsi="宋体"/>
                <w:szCs w:val="21"/>
              </w:rPr>
              <w:t>3</w:t>
            </w:r>
            <w:r w:rsidRPr="00DA41DD">
              <w:rPr>
                <w:rFonts w:ascii="宋体" w:hAnsi="宋体" w:hint="eastAsia"/>
                <w:szCs w:val="21"/>
              </w:rPr>
              <w:t>、配备咨询专家顾问，总分</w:t>
            </w:r>
            <w:r w:rsidRPr="00DA41DD">
              <w:rPr>
                <w:rFonts w:ascii="宋体" w:hAnsi="宋体"/>
                <w:szCs w:val="21"/>
              </w:rPr>
              <w:t>9</w:t>
            </w:r>
            <w:r w:rsidRPr="00DA41DD">
              <w:rPr>
                <w:rFonts w:ascii="宋体" w:hAnsi="宋体" w:hint="eastAsia"/>
                <w:szCs w:val="21"/>
              </w:rPr>
              <w:t>分。</w:t>
            </w:r>
          </w:p>
          <w:p w:rsidR="0036208F" w:rsidRPr="00DA41DD" w:rsidRDefault="0036208F" w:rsidP="009F2726">
            <w:pPr>
              <w:spacing w:after="120" w:line="360" w:lineRule="auto"/>
              <w:rPr>
                <w:rFonts w:ascii="宋体"/>
                <w:szCs w:val="21"/>
              </w:rPr>
            </w:pPr>
            <w:r w:rsidRPr="00DA41DD">
              <w:rPr>
                <w:rFonts w:ascii="宋体" w:hAnsi="宋体"/>
                <w:szCs w:val="21"/>
              </w:rPr>
              <w:t>1</w:t>
            </w:r>
            <w:r w:rsidRPr="00DA41DD">
              <w:rPr>
                <w:rFonts w:ascii="宋体" w:hAnsi="宋体" w:hint="eastAsia"/>
                <w:szCs w:val="21"/>
              </w:rPr>
              <w:t>）为项目配备</w:t>
            </w:r>
            <w:r w:rsidRPr="00DA41DD">
              <w:rPr>
                <w:rFonts w:ascii="宋体" w:hAnsi="宋体"/>
                <w:szCs w:val="21"/>
              </w:rPr>
              <w:t>1</w:t>
            </w:r>
            <w:r w:rsidRPr="00DA41DD">
              <w:rPr>
                <w:rFonts w:ascii="宋体" w:hAnsi="宋体" w:hint="eastAsia"/>
                <w:szCs w:val="21"/>
              </w:rPr>
              <w:t>名正高级职称咨询顾问专家，曾被省级卫健委聘请为“省卫生决策专家咨询委员会”委员，满足得</w:t>
            </w:r>
            <w:r w:rsidRPr="00DA41DD">
              <w:rPr>
                <w:rFonts w:ascii="宋体" w:hAnsi="宋体"/>
                <w:szCs w:val="21"/>
              </w:rPr>
              <w:t>4.5</w:t>
            </w:r>
            <w:r w:rsidRPr="00DA41DD">
              <w:rPr>
                <w:rFonts w:ascii="宋体" w:hAnsi="宋体" w:hint="eastAsia"/>
                <w:szCs w:val="21"/>
              </w:rPr>
              <w:t>分。</w:t>
            </w:r>
          </w:p>
          <w:p w:rsidR="0036208F" w:rsidRPr="00DA41DD" w:rsidRDefault="0036208F" w:rsidP="009F2726">
            <w:pPr>
              <w:spacing w:line="360" w:lineRule="auto"/>
              <w:rPr>
                <w:rFonts w:ascii="宋体"/>
                <w:szCs w:val="21"/>
              </w:rPr>
            </w:pPr>
            <w:r w:rsidRPr="00DA41DD">
              <w:rPr>
                <w:rFonts w:ascii="宋体" w:hAnsi="宋体"/>
                <w:szCs w:val="21"/>
              </w:rPr>
              <w:t>2</w:t>
            </w:r>
            <w:r w:rsidRPr="00DA41DD">
              <w:rPr>
                <w:rFonts w:ascii="宋体" w:hAnsi="宋体" w:hint="eastAsia"/>
                <w:szCs w:val="21"/>
              </w:rPr>
              <w:t>）为本项目配备</w:t>
            </w:r>
            <w:r w:rsidRPr="00DA41DD">
              <w:rPr>
                <w:rFonts w:ascii="宋体" w:hAnsi="宋体"/>
                <w:szCs w:val="21"/>
              </w:rPr>
              <w:t>1</w:t>
            </w:r>
            <w:r w:rsidRPr="00DA41DD">
              <w:rPr>
                <w:rFonts w:ascii="宋体" w:hAnsi="宋体" w:hint="eastAsia"/>
                <w:szCs w:val="21"/>
              </w:rPr>
              <w:t>名医学类正高级职称，曾任职三甲医院信息化相关中层及以上管理</w:t>
            </w:r>
            <w:bookmarkStart w:id="26" w:name="_GoBack"/>
            <w:bookmarkEnd w:id="26"/>
            <w:r w:rsidRPr="00DA41DD">
              <w:rPr>
                <w:rFonts w:ascii="宋体" w:hAnsi="宋体" w:hint="eastAsia"/>
                <w:szCs w:val="21"/>
              </w:rPr>
              <w:t>岗位的咨询顾问专家，满足得</w:t>
            </w:r>
            <w:r w:rsidRPr="00DA41DD">
              <w:rPr>
                <w:rFonts w:ascii="宋体" w:hAnsi="宋体"/>
                <w:szCs w:val="21"/>
              </w:rPr>
              <w:t>4.5</w:t>
            </w:r>
            <w:r w:rsidRPr="00DA41DD">
              <w:rPr>
                <w:rFonts w:ascii="宋体" w:hAnsi="宋体" w:hint="eastAsia"/>
                <w:szCs w:val="21"/>
              </w:rPr>
              <w:t>分。</w:t>
            </w:r>
          </w:p>
          <w:p w:rsidR="0036208F" w:rsidRDefault="0036208F" w:rsidP="009F2726">
            <w:pPr>
              <w:spacing w:after="120" w:line="360" w:lineRule="auto"/>
              <w:rPr>
                <w:rFonts w:ascii="宋体"/>
                <w:szCs w:val="21"/>
              </w:rPr>
            </w:pPr>
            <w:r w:rsidRPr="00DA41DD">
              <w:rPr>
                <w:rFonts w:ascii="宋体" w:hAnsi="宋体" w:hint="eastAsia"/>
                <w:szCs w:val="21"/>
              </w:rPr>
              <w:t>提供咨询顾问专家联系方式、专家职称证书复印件、履历证明材料复印件、投标人已经获得咨询顾问专家同意任职投标人本项目咨询顾问专家的声明。</w:t>
            </w:r>
            <w:r>
              <w:rPr>
                <w:rFonts w:ascii="宋体" w:hAnsi="宋体"/>
                <w:szCs w:val="21"/>
              </w:rPr>
              <w:t>(</w:t>
            </w:r>
            <w:r>
              <w:rPr>
                <w:rFonts w:ascii="宋体" w:hAnsi="宋体" w:hint="eastAsia"/>
                <w:szCs w:val="21"/>
              </w:rPr>
              <w:t>所有材料加盖供应商</w:t>
            </w:r>
            <w:r w:rsidRPr="00DA41DD">
              <w:rPr>
                <w:rFonts w:ascii="宋体" w:hAnsi="宋体" w:hint="eastAsia"/>
                <w:szCs w:val="21"/>
              </w:rPr>
              <w:t>鲜章。</w:t>
            </w:r>
            <w:r>
              <w:rPr>
                <w:rFonts w:ascii="宋体" w:hAnsi="宋体"/>
                <w:szCs w:val="21"/>
              </w:rPr>
              <w:t>)</w:t>
            </w:r>
          </w:p>
          <w:p w:rsidR="0036208F" w:rsidRPr="00DA41DD" w:rsidRDefault="0036208F" w:rsidP="009F2726">
            <w:pPr>
              <w:spacing w:after="120" w:line="360" w:lineRule="auto"/>
              <w:rPr>
                <w:rFonts w:ascii="宋体"/>
                <w:szCs w:val="21"/>
              </w:rPr>
            </w:pPr>
            <w:r>
              <w:rPr>
                <w:rFonts w:ascii="宋体" w:hAnsi="宋体" w:hint="eastAsia"/>
                <w:szCs w:val="21"/>
              </w:rPr>
              <w:t>备注：</w:t>
            </w:r>
            <w:r>
              <w:rPr>
                <w:rFonts w:hint="eastAsia"/>
              </w:rPr>
              <w:t>以上同一人员不能重复计分。</w:t>
            </w:r>
          </w:p>
        </w:tc>
        <w:tc>
          <w:tcPr>
            <w:tcW w:w="0" w:type="auto"/>
            <w:vAlign w:val="center"/>
          </w:tcPr>
          <w:p w:rsidR="0036208F" w:rsidRPr="00DA41DD" w:rsidRDefault="0036208F" w:rsidP="0036208F">
            <w:pPr>
              <w:widowControl/>
              <w:spacing w:line="360" w:lineRule="auto"/>
              <w:ind w:firstLineChars="200" w:firstLine="31680"/>
              <w:jc w:val="center"/>
              <w:rPr>
                <w:rFonts w:ascii="宋体"/>
                <w:kern w:val="0"/>
                <w:szCs w:val="21"/>
              </w:rPr>
            </w:pPr>
          </w:p>
          <w:p w:rsidR="0036208F" w:rsidRPr="00DA41DD" w:rsidRDefault="0036208F" w:rsidP="009F2726">
            <w:pPr>
              <w:widowControl/>
              <w:spacing w:line="360" w:lineRule="auto"/>
              <w:rPr>
                <w:rFonts w:ascii="宋体"/>
                <w:kern w:val="0"/>
                <w:szCs w:val="21"/>
              </w:rPr>
            </w:pPr>
          </w:p>
          <w:p w:rsidR="0036208F" w:rsidRPr="00DA41DD" w:rsidRDefault="0036208F" w:rsidP="009F2726">
            <w:pPr>
              <w:widowControl/>
              <w:spacing w:line="360" w:lineRule="auto"/>
              <w:ind w:firstLine="237"/>
              <w:rPr>
                <w:rFonts w:ascii="宋体"/>
                <w:kern w:val="0"/>
                <w:szCs w:val="21"/>
              </w:rPr>
            </w:pPr>
          </w:p>
        </w:tc>
      </w:tr>
      <w:tr w:rsidR="0036208F" w:rsidRPr="00DA41DD" w:rsidTr="00DA41DD">
        <w:trPr>
          <w:cantSplit/>
          <w:trHeight w:val="2770"/>
          <w:jc w:val="center"/>
        </w:trPr>
        <w:tc>
          <w:tcPr>
            <w:tcW w:w="0" w:type="auto"/>
            <w:vAlign w:val="center"/>
          </w:tcPr>
          <w:p w:rsidR="0036208F" w:rsidRPr="00DA41DD" w:rsidRDefault="0036208F" w:rsidP="009F2726">
            <w:pPr>
              <w:widowControl/>
              <w:spacing w:line="360" w:lineRule="auto"/>
              <w:ind w:firstLine="28"/>
              <w:jc w:val="center"/>
              <w:rPr>
                <w:rFonts w:ascii="宋体" w:hAnsi="宋体"/>
                <w:szCs w:val="21"/>
              </w:rPr>
            </w:pPr>
            <w:r w:rsidRPr="00DA41DD">
              <w:rPr>
                <w:rFonts w:ascii="宋体" w:hAnsi="宋体"/>
                <w:szCs w:val="21"/>
              </w:rPr>
              <w:t>4</w:t>
            </w:r>
          </w:p>
        </w:tc>
        <w:tc>
          <w:tcPr>
            <w:tcW w:w="0" w:type="auto"/>
            <w:vAlign w:val="center"/>
          </w:tcPr>
          <w:p w:rsidR="0036208F" w:rsidRPr="00DA41DD" w:rsidRDefault="0036208F" w:rsidP="009F2726">
            <w:pPr>
              <w:widowControl/>
              <w:spacing w:line="360" w:lineRule="auto"/>
              <w:jc w:val="center"/>
              <w:rPr>
                <w:rFonts w:ascii="宋体" w:hAnsi="宋体"/>
                <w:szCs w:val="21"/>
              </w:rPr>
            </w:pPr>
            <w:r w:rsidRPr="00DA41DD">
              <w:rPr>
                <w:rFonts w:ascii="宋体" w:hAnsi="宋体" w:hint="eastAsia"/>
                <w:szCs w:val="21"/>
              </w:rPr>
              <w:t>服务管理体系</w:t>
            </w:r>
            <w:r w:rsidRPr="00DA41DD">
              <w:rPr>
                <w:rFonts w:ascii="宋体" w:hAnsi="宋体"/>
                <w:szCs w:val="21"/>
              </w:rPr>
              <w:t>10%</w:t>
            </w:r>
          </w:p>
        </w:tc>
        <w:tc>
          <w:tcPr>
            <w:tcW w:w="0" w:type="auto"/>
            <w:vAlign w:val="center"/>
          </w:tcPr>
          <w:p w:rsidR="0036208F" w:rsidRPr="00DA41DD" w:rsidRDefault="0036208F" w:rsidP="009F2726">
            <w:pPr>
              <w:widowControl/>
              <w:spacing w:line="360" w:lineRule="auto"/>
              <w:rPr>
                <w:rFonts w:ascii="宋体"/>
                <w:szCs w:val="21"/>
              </w:rPr>
            </w:pPr>
            <w:r w:rsidRPr="00DA41DD">
              <w:rPr>
                <w:rFonts w:ascii="宋体" w:hAnsi="宋体"/>
                <w:szCs w:val="21"/>
              </w:rPr>
              <w:t>10</w:t>
            </w:r>
            <w:r w:rsidRPr="00DA41DD">
              <w:rPr>
                <w:rFonts w:ascii="宋体" w:hAnsi="宋体" w:hint="eastAsia"/>
                <w:szCs w:val="21"/>
              </w:rPr>
              <w:t>分</w:t>
            </w:r>
          </w:p>
        </w:tc>
        <w:tc>
          <w:tcPr>
            <w:tcW w:w="0" w:type="auto"/>
            <w:vAlign w:val="center"/>
          </w:tcPr>
          <w:p w:rsidR="0036208F" w:rsidRPr="00DA41DD" w:rsidRDefault="0036208F" w:rsidP="009F2726">
            <w:pPr>
              <w:widowControl/>
              <w:spacing w:after="120" w:line="360" w:lineRule="auto"/>
              <w:rPr>
                <w:rFonts w:ascii="宋体"/>
                <w:szCs w:val="21"/>
              </w:rPr>
            </w:pPr>
            <w:r w:rsidRPr="00DA41DD">
              <w:rPr>
                <w:rFonts w:ascii="宋体" w:hAnsi="宋体" w:hint="eastAsia"/>
                <w:szCs w:val="21"/>
              </w:rPr>
              <w:t>服务管理体系应具体包括：</w:t>
            </w:r>
            <w:r w:rsidRPr="00DA41DD">
              <w:rPr>
                <w:rFonts w:ascii="宋体" w:hAnsi="宋体"/>
                <w:szCs w:val="21"/>
              </w:rPr>
              <w:t>1.</w:t>
            </w:r>
            <w:r w:rsidRPr="00DA41DD">
              <w:rPr>
                <w:rFonts w:ascii="宋体" w:hAnsi="宋体" w:hint="eastAsia"/>
                <w:szCs w:val="21"/>
              </w:rPr>
              <w:t>现场管理制度、</w:t>
            </w:r>
            <w:r w:rsidRPr="00DA41DD">
              <w:rPr>
                <w:rFonts w:ascii="宋体" w:hAnsi="宋体"/>
                <w:szCs w:val="21"/>
              </w:rPr>
              <w:t>2.</w:t>
            </w:r>
            <w:r w:rsidRPr="00DA41DD">
              <w:rPr>
                <w:rFonts w:ascii="宋体" w:hAnsi="宋体" w:hint="eastAsia"/>
                <w:szCs w:val="21"/>
              </w:rPr>
              <w:t>信息安全保密制度、</w:t>
            </w:r>
            <w:r w:rsidRPr="00DA41DD">
              <w:rPr>
                <w:rFonts w:ascii="宋体" w:hAnsi="宋体"/>
                <w:szCs w:val="21"/>
              </w:rPr>
              <w:t>3.</w:t>
            </w:r>
            <w:r w:rsidRPr="00DA41DD">
              <w:rPr>
                <w:rFonts w:ascii="宋体" w:hAnsi="宋体" w:hint="eastAsia"/>
                <w:szCs w:val="21"/>
              </w:rPr>
              <w:t>质量控制方案、</w:t>
            </w:r>
            <w:r w:rsidRPr="00DA41DD">
              <w:rPr>
                <w:rFonts w:ascii="宋体" w:hAnsi="宋体"/>
                <w:szCs w:val="21"/>
              </w:rPr>
              <w:t>4.</w:t>
            </w:r>
            <w:r w:rsidRPr="00DA41DD">
              <w:rPr>
                <w:rFonts w:ascii="宋体" w:hAnsi="宋体" w:hint="eastAsia"/>
                <w:szCs w:val="21"/>
              </w:rPr>
              <w:t>咨询服务的进度计划、</w:t>
            </w:r>
            <w:r w:rsidRPr="00DA41DD">
              <w:rPr>
                <w:rFonts w:ascii="宋体" w:hAnsi="宋体"/>
                <w:szCs w:val="21"/>
              </w:rPr>
              <w:t>5.</w:t>
            </w:r>
            <w:r w:rsidRPr="00DA41DD">
              <w:rPr>
                <w:rFonts w:ascii="宋体" w:hAnsi="宋体" w:hint="eastAsia"/>
                <w:szCs w:val="21"/>
              </w:rPr>
              <w:t>咨</w:t>
            </w:r>
            <w:r>
              <w:rPr>
                <w:rFonts w:ascii="宋体" w:hAnsi="宋体" w:hint="eastAsia"/>
                <w:szCs w:val="21"/>
              </w:rPr>
              <w:t>询服务的响应机制。以上内容齐全、清晰合理、有针对性，能够满足比选</w:t>
            </w:r>
            <w:r w:rsidRPr="00DA41DD">
              <w:rPr>
                <w:rFonts w:ascii="宋体" w:hAnsi="宋体" w:hint="eastAsia"/>
                <w:szCs w:val="21"/>
              </w:rPr>
              <w:t>文件要求的得</w:t>
            </w:r>
            <w:r w:rsidRPr="00DA41DD">
              <w:rPr>
                <w:rFonts w:ascii="宋体" w:hAnsi="宋体"/>
                <w:szCs w:val="21"/>
              </w:rPr>
              <w:t>10</w:t>
            </w:r>
            <w:r>
              <w:rPr>
                <w:rFonts w:ascii="宋体" w:hAnsi="宋体" w:hint="eastAsia"/>
                <w:szCs w:val="21"/>
              </w:rPr>
              <w:t>分；</w:t>
            </w:r>
            <w:r w:rsidRPr="00DA41DD">
              <w:rPr>
                <w:rFonts w:ascii="宋体" w:hAnsi="宋体" w:hint="eastAsia"/>
                <w:szCs w:val="21"/>
              </w:rPr>
              <w:t>存在漏项</w:t>
            </w:r>
            <w:r>
              <w:rPr>
                <w:rFonts w:ascii="宋体" w:hAnsi="宋体" w:hint="eastAsia"/>
                <w:szCs w:val="21"/>
              </w:rPr>
              <w:t>不合理或</w:t>
            </w:r>
            <w:r w:rsidRPr="00DA41DD">
              <w:rPr>
                <w:rFonts w:ascii="宋体" w:hAnsi="宋体" w:hint="eastAsia"/>
                <w:szCs w:val="21"/>
              </w:rPr>
              <w:t>有缺陷的每一项扣</w:t>
            </w:r>
            <w:r>
              <w:rPr>
                <w:rFonts w:ascii="宋体" w:hAnsi="宋体"/>
                <w:szCs w:val="21"/>
              </w:rPr>
              <w:t>2</w:t>
            </w:r>
            <w:r w:rsidRPr="00DA41DD">
              <w:rPr>
                <w:rFonts w:ascii="宋体" w:hAnsi="宋体" w:hint="eastAsia"/>
                <w:szCs w:val="21"/>
              </w:rPr>
              <w:t>分，扣完为止。</w:t>
            </w:r>
          </w:p>
        </w:tc>
        <w:tc>
          <w:tcPr>
            <w:tcW w:w="0" w:type="auto"/>
            <w:vAlign w:val="center"/>
          </w:tcPr>
          <w:p w:rsidR="0036208F" w:rsidRPr="00DA41DD" w:rsidRDefault="0036208F" w:rsidP="009F2726">
            <w:pPr>
              <w:widowControl/>
              <w:spacing w:line="360" w:lineRule="auto"/>
              <w:ind w:firstLine="237"/>
              <w:rPr>
                <w:rFonts w:ascii="宋体"/>
                <w:kern w:val="0"/>
                <w:szCs w:val="21"/>
              </w:rPr>
            </w:pPr>
          </w:p>
        </w:tc>
      </w:tr>
      <w:tr w:rsidR="0036208F" w:rsidRPr="00DA41DD" w:rsidTr="00DA41DD">
        <w:trPr>
          <w:cantSplit/>
          <w:trHeight w:val="402"/>
          <w:jc w:val="center"/>
        </w:trPr>
        <w:tc>
          <w:tcPr>
            <w:tcW w:w="0" w:type="auto"/>
            <w:vAlign w:val="center"/>
          </w:tcPr>
          <w:p w:rsidR="0036208F" w:rsidRPr="00DA41DD" w:rsidRDefault="0036208F" w:rsidP="009F2726">
            <w:pPr>
              <w:widowControl/>
              <w:spacing w:line="360" w:lineRule="auto"/>
              <w:ind w:firstLine="28"/>
              <w:jc w:val="center"/>
              <w:rPr>
                <w:rFonts w:ascii="宋体" w:hAnsi="宋体"/>
                <w:szCs w:val="21"/>
              </w:rPr>
            </w:pPr>
            <w:r w:rsidRPr="00DA41DD">
              <w:rPr>
                <w:rFonts w:ascii="宋体" w:hAnsi="宋体"/>
                <w:szCs w:val="21"/>
              </w:rPr>
              <w:t>5</w:t>
            </w:r>
          </w:p>
        </w:tc>
        <w:tc>
          <w:tcPr>
            <w:tcW w:w="0" w:type="auto"/>
            <w:vAlign w:val="center"/>
          </w:tcPr>
          <w:p w:rsidR="0036208F" w:rsidRPr="00DA41DD" w:rsidRDefault="0036208F" w:rsidP="0036208F">
            <w:pPr>
              <w:widowControl/>
              <w:spacing w:line="360" w:lineRule="auto"/>
              <w:ind w:firstLineChars="100" w:firstLine="31680"/>
              <w:rPr>
                <w:rFonts w:ascii="宋体"/>
                <w:szCs w:val="21"/>
              </w:rPr>
            </w:pPr>
            <w:r w:rsidRPr="00DA41DD">
              <w:rPr>
                <w:rFonts w:ascii="宋体" w:hAnsi="宋体" w:hint="eastAsia"/>
                <w:szCs w:val="21"/>
              </w:rPr>
              <w:t>案例业绩情况</w:t>
            </w:r>
            <w:r>
              <w:rPr>
                <w:rFonts w:ascii="宋体" w:hAnsi="宋体"/>
                <w:szCs w:val="21"/>
              </w:rPr>
              <w:t>21</w:t>
            </w:r>
            <w:r w:rsidRPr="00DA41DD">
              <w:rPr>
                <w:rFonts w:ascii="宋体" w:hAnsi="宋体"/>
                <w:szCs w:val="21"/>
              </w:rPr>
              <w:t>%</w:t>
            </w:r>
          </w:p>
        </w:tc>
        <w:tc>
          <w:tcPr>
            <w:tcW w:w="0" w:type="auto"/>
            <w:vAlign w:val="center"/>
          </w:tcPr>
          <w:p w:rsidR="0036208F" w:rsidRPr="00DA41DD" w:rsidRDefault="0036208F" w:rsidP="009F2726">
            <w:pPr>
              <w:widowControl/>
              <w:spacing w:line="360" w:lineRule="auto"/>
              <w:rPr>
                <w:rFonts w:ascii="宋体"/>
                <w:szCs w:val="21"/>
              </w:rPr>
            </w:pPr>
            <w:r>
              <w:rPr>
                <w:rFonts w:ascii="宋体" w:hAnsi="宋体"/>
                <w:szCs w:val="21"/>
              </w:rPr>
              <w:t>21</w:t>
            </w:r>
            <w:r w:rsidRPr="00DA41DD">
              <w:rPr>
                <w:rFonts w:ascii="宋体" w:hAnsi="宋体" w:hint="eastAsia"/>
                <w:szCs w:val="21"/>
              </w:rPr>
              <w:t>分</w:t>
            </w:r>
          </w:p>
        </w:tc>
        <w:tc>
          <w:tcPr>
            <w:tcW w:w="0" w:type="auto"/>
            <w:vAlign w:val="center"/>
          </w:tcPr>
          <w:p w:rsidR="0036208F" w:rsidRPr="00DA41DD" w:rsidRDefault="0036208F" w:rsidP="00092932">
            <w:pPr>
              <w:widowControl/>
              <w:spacing w:line="360" w:lineRule="auto"/>
              <w:rPr>
                <w:rFonts w:ascii="宋体"/>
                <w:szCs w:val="21"/>
              </w:rPr>
            </w:pPr>
            <w:r>
              <w:rPr>
                <w:rFonts w:ascii="宋体" w:hAnsi="宋体" w:hint="eastAsia"/>
                <w:szCs w:val="21"/>
              </w:rPr>
              <w:t>供应商</w:t>
            </w:r>
            <w:r w:rsidRPr="00DA41DD">
              <w:rPr>
                <w:rFonts w:ascii="宋体" w:hAnsi="宋体" w:hint="eastAsia"/>
                <w:szCs w:val="21"/>
              </w:rPr>
              <w:t>提供近五年来类似医疗卫生信息化建设咨询服务案例业绩，每提供一个案例业绩得</w:t>
            </w:r>
            <w:r>
              <w:rPr>
                <w:rFonts w:ascii="宋体" w:hAnsi="宋体"/>
                <w:szCs w:val="21"/>
              </w:rPr>
              <w:t>3</w:t>
            </w:r>
            <w:r w:rsidRPr="00DA41DD">
              <w:rPr>
                <w:rFonts w:ascii="宋体" w:hAnsi="宋体" w:hint="eastAsia"/>
                <w:szCs w:val="21"/>
              </w:rPr>
              <w:t>分，最高得</w:t>
            </w:r>
            <w:r>
              <w:rPr>
                <w:rFonts w:ascii="宋体" w:hAnsi="宋体"/>
                <w:szCs w:val="21"/>
              </w:rPr>
              <w:t>21</w:t>
            </w:r>
            <w:r w:rsidRPr="00DA41DD">
              <w:rPr>
                <w:rFonts w:ascii="宋体" w:hAnsi="宋体" w:hint="eastAsia"/>
                <w:szCs w:val="21"/>
              </w:rPr>
              <w:t>分；合计最高得</w:t>
            </w:r>
            <w:r>
              <w:rPr>
                <w:rFonts w:ascii="宋体" w:hAnsi="宋体"/>
                <w:szCs w:val="21"/>
              </w:rPr>
              <w:t>21</w:t>
            </w:r>
            <w:r w:rsidRPr="00DA41DD">
              <w:rPr>
                <w:rFonts w:ascii="宋体" w:hAnsi="宋体" w:hint="eastAsia"/>
                <w:szCs w:val="21"/>
              </w:rPr>
              <w:t>分。</w:t>
            </w:r>
          </w:p>
        </w:tc>
        <w:tc>
          <w:tcPr>
            <w:tcW w:w="0" w:type="auto"/>
            <w:vAlign w:val="center"/>
          </w:tcPr>
          <w:p w:rsidR="0036208F" w:rsidRPr="00DA41DD" w:rsidRDefault="0036208F" w:rsidP="009F2726">
            <w:pPr>
              <w:widowControl/>
              <w:spacing w:line="360" w:lineRule="auto"/>
              <w:jc w:val="center"/>
              <w:rPr>
                <w:rFonts w:ascii="宋体"/>
                <w:kern w:val="0"/>
                <w:szCs w:val="21"/>
              </w:rPr>
            </w:pPr>
          </w:p>
        </w:tc>
      </w:tr>
    </w:tbl>
    <w:p w:rsidR="0036208F" w:rsidRDefault="0036208F"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36208F" w:rsidRDefault="0036208F" w:rsidP="00092932">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36208F" w:rsidRDefault="0036208F" w:rsidP="00092932">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36208F" w:rsidRDefault="0036208F" w:rsidP="00092932">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29</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30</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36208F" w:rsidRPr="00963C4D" w:rsidRDefault="0036208F"/>
    <w:sectPr w:rsidR="0036208F"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08F" w:rsidRDefault="0036208F" w:rsidP="00963C4D">
      <w:r>
        <w:separator/>
      </w:r>
    </w:p>
  </w:endnote>
  <w:endnote w:type="continuationSeparator" w:id="0">
    <w:p w:rsidR="0036208F" w:rsidRDefault="0036208F"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8F" w:rsidRDefault="00362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208F" w:rsidRDefault="003620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8F" w:rsidRDefault="00362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- 12 -</w:t>
    </w:r>
    <w:r>
      <w:rPr>
        <w:rStyle w:val="PageNumber"/>
      </w:rPr>
      <w:fldChar w:fldCharType="end"/>
    </w:r>
  </w:p>
  <w:p w:rsidR="0036208F" w:rsidRDefault="00362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08F" w:rsidRDefault="0036208F" w:rsidP="00963C4D">
      <w:r>
        <w:separator/>
      </w:r>
    </w:p>
  </w:footnote>
  <w:footnote w:type="continuationSeparator" w:id="0">
    <w:p w:rsidR="0036208F" w:rsidRDefault="0036208F"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17F253D1"/>
    <w:multiLevelType w:val="multilevel"/>
    <w:tmpl w:val="17F253D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0FB715F"/>
    <w:multiLevelType w:val="hybridMultilevel"/>
    <w:tmpl w:val="D1F4FD18"/>
    <w:lvl w:ilvl="0" w:tplc="E4EA8B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16A1B40"/>
    <w:multiLevelType w:val="singleLevel"/>
    <w:tmpl w:val="316A1B40"/>
    <w:lvl w:ilvl="0">
      <w:start w:val="1"/>
      <w:numFmt w:val="decimal"/>
      <w:suff w:val="nothing"/>
      <w:lvlText w:val="%1、"/>
      <w:lvlJc w:val="left"/>
      <w:rPr>
        <w:rFonts w:cs="Times New Roman"/>
      </w:rPr>
    </w:lvl>
  </w:abstractNum>
  <w:abstractNum w:abstractNumId="6">
    <w:nsid w:val="4036F801"/>
    <w:multiLevelType w:val="singleLevel"/>
    <w:tmpl w:val="4036F801"/>
    <w:lvl w:ilvl="0">
      <w:start w:val="1"/>
      <w:numFmt w:val="decimal"/>
      <w:suff w:val="nothing"/>
      <w:lvlText w:val="%1、"/>
      <w:lvlJc w:val="left"/>
      <w:rPr>
        <w:rFonts w:cs="Times New Roman"/>
      </w:rPr>
    </w:lvl>
  </w:abstractNum>
  <w:abstractNum w:abstractNumId="7">
    <w:nsid w:val="4198865F"/>
    <w:multiLevelType w:val="singleLevel"/>
    <w:tmpl w:val="4198865F"/>
    <w:lvl w:ilvl="0">
      <w:start w:val="1"/>
      <w:numFmt w:val="decimal"/>
      <w:suff w:val="nothing"/>
      <w:lvlText w:val="%1、"/>
      <w:lvlJc w:val="left"/>
      <w:rPr>
        <w:rFonts w:cs="Times New Roman"/>
      </w:rPr>
    </w:lvl>
  </w:abstractNum>
  <w:abstractNum w:abstractNumId="8">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7BA7005"/>
    <w:multiLevelType w:val="hybridMultilevel"/>
    <w:tmpl w:val="9DDC9B3E"/>
    <w:lvl w:ilvl="0" w:tplc="419E95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10"/>
  </w:num>
  <w:num w:numId="4">
    <w:abstractNumId w:val="5"/>
  </w:num>
  <w:num w:numId="5">
    <w:abstractNumId w:val="6"/>
  </w:num>
  <w:num w:numId="6">
    <w:abstractNumId w:val="0"/>
  </w:num>
  <w:num w:numId="7">
    <w:abstractNumId w:val="8"/>
  </w:num>
  <w:num w:numId="8">
    <w:abstractNumId w:val="3"/>
  </w:num>
  <w:num w:numId="9">
    <w:abstractNumId w:val="7"/>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1008"/>
    <w:rsid w:val="0003223A"/>
    <w:rsid w:val="00032484"/>
    <w:rsid w:val="000409D9"/>
    <w:rsid w:val="000416DE"/>
    <w:rsid w:val="0005548C"/>
    <w:rsid w:val="0006391B"/>
    <w:rsid w:val="00064D4F"/>
    <w:rsid w:val="00072425"/>
    <w:rsid w:val="0007342A"/>
    <w:rsid w:val="00077A4C"/>
    <w:rsid w:val="00080DAB"/>
    <w:rsid w:val="00085883"/>
    <w:rsid w:val="00090486"/>
    <w:rsid w:val="00092932"/>
    <w:rsid w:val="000937B1"/>
    <w:rsid w:val="0009679B"/>
    <w:rsid w:val="00096922"/>
    <w:rsid w:val="000A3493"/>
    <w:rsid w:val="000A419A"/>
    <w:rsid w:val="000B6235"/>
    <w:rsid w:val="000C4881"/>
    <w:rsid w:val="000C56C9"/>
    <w:rsid w:val="000D7434"/>
    <w:rsid w:val="000E0CFE"/>
    <w:rsid w:val="000E40D1"/>
    <w:rsid w:val="000E7C22"/>
    <w:rsid w:val="000F3AA4"/>
    <w:rsid w:val="000F5ACA"/>
    <w:rsid w:val="00113C25"/>
    <w:rsid w:val="00120302"/>
    <w:rsid w:val="00124532"/>
    <w:rsid w:val="00127479"/>
    <w:rsid w:val="00131ABB"/>
    <w:rsid w:val="001347BC"/>
    <w:rsid w:val="0016136D"/>
    <w:rsid w:val="00190CFE"/>
    <w:rsid w:val="001941A1"/>
    <w:rsid w:val="00194D1E"/>
    <w:rsid w:val="001A2B27"/>
    <w:rsid w:val="001B1F98"/>
    <w:rsid w:val="001B25F5"/>
    <w:rsid w:val="001D1174"/>
    <w:rsid w:val="001D485A"/>
    <w:rsid w:val="001D500F"/>
    <w:rsid w:val="001D5798"/>
    <w:rsid w:val="001D618D"/>
    <w:rsid w:val="001D64FD"/>
    <w:rsid w:val="001D69F4"/>
    <w:rsid w:val="001E6449"/>
    <w:rsid w:val="001E6ADB"/>
    <w:rsid w:val="002110B8"/>
    <w:rsid w:val="00214E9E"/>
    <w:rsid w:val="00216FCA"/>
    <w:rsid w:val="002355F1"/>
    <w:rsid w:val="0024776F"/>
    <w:rsid w:val="0025138A"/>
    <w:rsid w:val="00265AA3"/>
    <w:rsid w:val="00286A6A"/>
    <w:rsid w:val="002951F4"/>
    <w:rsid w:val="002A51F7"/>
    <w:rsid w:val="002B13AD"/>
    <w:rsid w:val="002B1520"/>
    <w:rsid w:val="002C0D14"/>
    <w:rsid w:val="002C6665"/>
    <w:rsid w:val="002D0F72"/>
    <w:rsid w:val="002D2A2E"/>
    <w:rsid w:val="002E278A"/>
    <w:rsid w:val="002E574A"/>
    <w:rsid w:val="002F30D0"/>
    <w:rsid w:val="002F5E69"/>
    <w:rsid w:val="0030778A"/>
    <w:rsid w:val="00313843"/>
    <w:rsid w:val="00314725"/>
    <w:rsid w:val="0031740E"/>
    <w:rsid w:val="00331F74"/>
    <w:rsid w:val="00331F82"/>
    <w:rsid w:val="00334332"/>
    <w:rsid w:val="003421EC"/>
    <w:rsid w:val="003569B8"/>
    <w:rsid w:val="0036208F"/>
    <w:rsid w:val="00364F8E"/>
    <w:rsid w:val="00371937"/>
    <w:rsid w:val="003811F9"/>
    <w:rsid w:val="00386FA4"/>
    <w:rsid w:val="0038761B"/>
    <w:rsid w:val="00387F21"/>
    <w:rsid w:val="003A75D5"/>
    <w:rsid w:val="003B0E28"/>
    <w:rsid w:val="003C386E"/>
    <w:rsid w:val="003D59A1"/>
    <w:rsid w:val="003D5CBD"/>
    <w:rsid w:val="003D7892"/>
    <w:rsid w:val="003E7085"/>
    <w:rsid w:val="003F1DE4"/>
    <w:rsid w:val="003F3338"/>
    <w:rsid w:val="003F4E68"/>
    <w:rsid w:val="004009C5"/>
    <w:rsid w:val="00403812"/>
    <w:rsid w:val="00411217"/>
    <w:rsid w:val="004135FD"/>
    <w:rsid w:val="004150BF"/>
    <w:rsid w:val="004223B5"/>
    <w:rsid w:val="0042292C"/>
    <w:rsid w:val="0042305F"/>
    <w:rsid w:val="004379BA"/>
    <w:rsid w:val="00441FD1"/>
    <w:rsid w:val="004516C3"/>
    <w:rsid w:val="00451C7B"/>
    <w:rsid w:val="00457DC9"/>
    <w:rsid w:val="004605FC"/>
    <w:rsid w:val="00463A2A"/>
    <w:rsid w:val="004665FB"/>
    <w:rsid w:val="004771BC"/>
    <w:rsid w:val="0047747D"/>
    <w:rsid w:val="0048106B"/>
    <w:rsid w:val="00481D4D"/>
    <w:rsid w:val="004865BF"/>
    <w:rsid w:val="004935C5"/>
    <w:rsid w:val="00494A64"/>
    <w:rsid w:val="004C2C80"/>
    <w:rsid w:val="00505C1D"/>
    <w:rsid w:val="00505F9B"/>
    <w:rsid w:val="00507B1B"/>
    <w:rsid w:val="00512193"/>
    <w:rsid w:val="00515100"/>
    <w:rsid w:val="0053069F"/>
    <w:rsid w:val="00542067"/>
    <w:rsid w:val="00543A5B"/>
    <w:rsid w:val="00547753"/>
    <w:rsid w:val="005530DA"/>
    <w:rsid w:val="005555E6"/>
    <w:rsid w:val="005650A5"/>
    <w:rsid w:val="00584896"/>
    <w:rsid w:val="00595208"/>
    <w:rsid w:val="005A1863"/>
    <w:rsid w:val="005A1A89"/>
    <w:rsid w:val="005C6EBA"/>
    <w:rsid w:val="005D6DA5"/>
    <w:rsid w:val="005E6B2C"/>
    <w:rsid w:val="005F4AFC"/>
    <w:rsid w:val="006004BE"/>
    <w:rsid w:val="0060791F"/>
    <w:rsid w:val="00617885"/>
    <w:rsid w:val="00636580"/>
    <w:rsid w:val="00647EFC"/>
    <w:rsid w:val="00650C02"/>
    <w:rsid w:val="00653A4D"/>
    <w:rsid w:val="00655C5E"/>
    <w:rsid w:val="00662ADB"/>
    <w:rsid w:val="00664427"/>
    <w:rsid w:val="00665B72"/>
    <w:rsid w:val="00666A27"/>
    <w:rsid w:val="00692C6C"/>
    <w:rsid w:val="006A2429"/>
    <w:rsid w:val="006A3B49"/>
    <w:rsid w:val="006A7EA9"/>
    <w:rsid w:val="006D1A4C"/>
    <w:rsid w:val="006E181E"/>
    <w:rsid w:val="006E702A"/>
    <w:rsid w:val="006F0CA0"/>
    <w:rsid w:val="00702A95"/>
    <w:rsid w:val="007044E1"/>
    <w:rsid w:val="00706E06"/>
    <w:rsid w:val="00710F03"/>
    <w:rsid w:val="007115C6"/>
    <w:rsid w:val="00723EA0"/>
    <w:rsid w:val="0073643F"/>
    <w:rsid w:val="0074255D"/>
    <w:rsid w:val="0074311E"/>
    <w:rsid w:val="00745242"/>
    <w:rsid w:val="00755F5B"/>
    <w:rsid w:val="00760087"/>
    <w:rsid w:val="007631F3"/>
    <w:rsid w:val="00765ED6"/>
    <w:rsid w:val="007808CF"/>
    <w:rsid w:val="00783A46"/>
    <w:rsid w:val="00786AD7"/>
    <w:rsid w:val="007A18AF"/>
    <w:rsid w:val="007C2C02"/>
    <w:rsid w:val="007D12E9"/>
    <w:rsid w:val="007D3AAB"/>
    <w:rsid w:val="007E1B98"/>
    <w:rsid w:val="007F602C"/>
    <w:rsid w:val="007F7BC0"/>
    <w:rsid w:val="00807496"/>
    <w:rsid w:val="0081023D"/>
    <w:rsid w:val="008137C6"/>
    <w:rsid w:val="00821344"/>
    <w:rsid w:val="00821B97"/>
    <w:rsid w:val="00824959"/>
    <w:rsid w:val="00825F33"/>
    <w:rsid w:val="00833249"/>
    <w:rsid w:val="00846B2B"/>
    <w:rsid w:val="00847ADE"/>
    <w:rsid w:val="008602AD"/>
    <w:rsid w:val="00861032"/>
    <w:rsid w:val="008620EA"/>
    <w:rsid w:val="008673CA"/>
    <w:rsid w:val="008676BB"/>
    <w:rsid w:val="00871A34"/>
    <w:rsid w:val="00875E09"/>
    <w:rsid w:val="00885907"/>
    <w:rsid w:val="008A1EB5"/>
    <w:rsid w:val="008A60A5"/>
    <w:rsid w:val="008B0A25"/>
    <w:rsid w:val="008B4B24"/>
    <w:rsid w:val="008B4B74"/>
    <w:rsid w:val="008B6A28"/>
    <w:rsid w:val="008B6B44"/>
    <w:rsid w:val="008C76EF"/>
    <w:rsid w:val="008D26F8"/>
    <w:rsid w:val="008D4658"/>
    <w:rsid w:val="008D7596"/>
    <w:rsid w:val="008F2EBD"/>
    <w:rsid w:val="008F50FD"/>
    <w:rsid w:val="00902B81"/>
    <w:rsid w:val="00914A4F"/>
    <w:rsid w:val="009204C2"/>
    <w:rsid w:val="00924E47"/>
    <w:rsid w:val="00925C4F"/>
    <w:rsid w:val="00925E84"/>
    <w:rsid w:val="009345AA"/>
    <w:rsid w:val="00934DDA"/>
    <w:rsid w:val="00941118"/>
    <w:rsid w:val="009423D9"/>
    <w:rsid w:val="009521EB"/>
    <w:rsid w:val="0095252C"/>
    <w:rsid w:val="00960681"/>
    <w:rsid w:val="00963C4D"/>
    <w:rsid w:val="0098425F"/>
    <w:rsid w:val="009A4D78"/>
    <w:rsid w:val="009B4BE0"/>
    <w:rsid w:val="009B55B0"/>
    <w:rsid w:val="009C4BD8"/>
    <w:rsid w:val="009D189C"/>
    <w:rsid w:val="009E03DE"/>
    <w:rsid w:val="009E0A45"/>
    <w:rsid w:val="009E2CB7"/>
    <w:rsid w:val="009F0BDD"/>
    <w:rsid w:val="009F2726"/>
    <w:rsid w:val="009F6B6A"/>
    <w:rsid w:val="00A01ECC"/>
    <w:rsid w:val="00A040B7"/>
    <w:rsid w:val="00A0416F"/>
    <w:rsid w:val="00A07F1F"/>
    <w:rsid w:val="00A11CA7"/>
    <w:rsid w:val="00A141AD"/>
    <w:rsid w:val="00A17925"/>
    <w:rsid w:val="00A20EA0"/>
    <w:rsid w:val="00A40483"/>
    <w:rsid w:val="00A52527"/>
    <w:rsid w:val="00A56949"/>
    <w:rsid w:val="00A632AA"/>
    <w:rsid w:val="00A65FF1"/>
    <w:rsid w:val="00A660BC"/>
    <w:rsid w:val="00A67999"/>
    <w:rsid w:val="00A74956"/>
    <w:rsid w:val="00A8167A"/>
    <w:rsid w:val="00A90B99"/>
    <w:rsid w:val="00A91903"/>
    <w:rsid w:val="00A92406"/>
    <w:rsid w:val="00A966FB"/>
    <w:rsid w:val="00AA13AA"/>
    <w:rsid w:val="00AA2261"/>
    <w:rsid w:val="00AA36F8"/>
    <w:rsid w:val="00AC3B92"/>
    <w:rsid w:val="00AC41AD"/>
    <w:rsid w:val="00AD06B8"/>
    <w:rsid w:val="00AD2BF7"/>
    <w:rsid w:val="00AD5E5C"/>
    <w:rsid w:val="00AD7A9E"/>
    <w:rsid w:val="00AE77AE"/>
    <w:rsid w:val="00AE7C7B"/>
    <w:rsid w:val="00AF2FAB"/>
    <w:rsid w:val="00AF315D"/>
    <w:rsid w:val="00B00463"/>
    <w:rsid w:val="00B009DA"/>
    <w:rsid w:val="00B10012"/>
    <w:rsid w:val="00B10690"/>
    <w:rsid w:val="00B257B8"/>
    <w:rsid w:val="00B2645A"/>
    <w:rsid w:val="00B30816"/>
    <w:rsid w:val="00B3224B"/>
    <w:rsid w:val="00B43782"/>
    <w:rsid w:val="00B45E88"/>
    <w:rsid w:val="00B47640"/>
    <w:rsid w:val="00B50C3B"/>
    <w:rsid w:val="00B51863"/>
    <w:rsid w:val="00B52337"/>
    <w:rsid w:val="00B52FCE"/>
    <w:rsid w:val="00B56EA6"/>
    <w:rsid w:val="00B56FE9"/>
    <w:rsid w:val="00B579B5"/>
    <w:rsid w:val="00B71DA3"/>
    <w:rsid w:val="00B76647"/>
    <w:rsid w:val="00B76A87"/>
    <w:rsid w:val="00B76C30"/>
    <w:rsid w:val="00B77A09"/>
    <w:rsid w:val="00B86224"/>
    <w:rsid w:val="00B8768B"/>
    <w:rsid w:val="00BA5767"/>
    <w:rsid w:val="00BB5FC0"/>
    <w:rsid w:val="00BB7AD2"/>
    <w:rsid w:val="00BC352A"/>
    <w:rsid w:val="00BD168C"/>
    <w:rsid w:val="00BE21D9"/>
    <w:rsid w:val="00BE4433"/>
    <w:rsid w:val="00BF6C52"/>
    <w:rsid w:val="00BF6E7A"/>
    <w:rsid w:val="00BF72F5"/>
    <w:rsid w:val="00C066BF"/>
    <w:rsid w:val="00C10A23"/>
    <w:rsid w:val="00C13EE0"/>
    <w:rsid w:val="00C21217"/>
    <w:rsid w:val="00C239A1"/>
    <w:rsid w:val="00C3072F"/>
    <w:rsid w:val="00C359D8"/>
    <w:rsid w:val="00C40C11"/>
    <w:rsid w:val="00C647B1"/>
    <w:rsid w:val="00C66D29"/>
    <w:rsid w:val="00C67A70"/>
    <w:rsid w:val="00C67CC5"/>
    <w:rsid w:val="00C807EA"/>
    <w:rsid w:val="00C80BB3"/>
    <w:rsid w:val="00C83322"/>
    <w:rsid w:val="00C91E2A"/>
    <w:rsid w:val="00CC3B2E"/>
    <w:rsid w:val="00CC6072"/>
    <w:rsid w:val="00CC70A4"/>
    <w:rsid w:val="00CD1A0E"/>
    <w:rsid w:val="00CD262F"/>
    <w:rsid w:val="00CD43DE"/>
    <w:rsid w:val="00CD66A6"/>
    <w:rsid w:val="00CD7604"/>
    <w:rsid w:val="00CE1ADB"/>
    <w:rsid w:val="00CE3701"/>
    <w:rsid w:val="00CE61ED"/>
    <w:rsid w:val="00D20868"/>
    <w:rsid w:val="00D23504"/>
    <w:rsid w:val="00D345CB"/>
    <w:rsid w:val="00D3491E"/>
    <w:rsid w:val="00D54C78"/>
    <w:rsid w:val="00D55C20"/>
    <w:rsid w:val="00D603CB"/>
    <w:rsid w:val="00D61453"/>
    <w:rsid w:val="00D70379"/>
    <w:rsid w:val="00D82A13"/>
    <w:rsid w:val="00D830B5"/>
    <w:rsid w:val="00D861DD"/>
    <w:rsid w:val="00D9182D"/>
    <w:rsid w:val="00DA41DD"/>
    <w:rsid w:val="00DB2225"/>
    <w:rsid w:val="00DC36E8"/>
    <w:rsid w:val="00DD6016"/>
    <w:rsid w:val="00DE21E9"/>
    <w:rsid w:val="00DF5626"/>
    <w:rsid w:val="00DF5F7A"/>
    <w:rsid w:val="00E04E9D"/>
    <w:rsid w:val="00E14B8A"/>
    <w:rsid w:val="00E27E3F"/>
    <w:rsid w:val="00E345CF"/>
    <w:rsid w:val="00E43B6D"/>
    <w:rsid w:val="00E456B2"/>
    <w:rsid w:val="00E45A9F"/>
    <w:rsid w:val="00E53AD4"/>
    <w:rsid w:val="00E60B3F"/>
    <w:rsid w:val="00E66234"/>
    <w:rsid w:val="00E7509C"/>
    <w:rsid w:val="00E755F5"/>
    <w:rsid w:val="00E759F1"/>
    <w:rsid w:val="00E75F34"/>
    <w:rsid w:val="00E776F7"/>
    <w:rsid w:val="00E8132B"/>
    <w:rsid w:val="00E967FC"/>
    <w:rsid w:val="00EB3CBB"/>
    <w:rsid w:val="00EB45F3"/>
    <w:rsid w:val="00EB6A31"/>
    <w:rsid w:val="00EB7D27"/>
    <w:rsid w:val="00EC166D"/>
    <w:rsid w:val="00EC1CE8"/>
    <w:rsid w:val="00EC5897"/>
    <w:rsid w:val="00EC6583"/>
    <w:rsid w:val="00EC7233"/>
    <w:rsid w:val="00ED4B93"/>
    <w:rsid w:val="00ED53EF"/>
    <w:rsid w:val="00ED742C"/>
    <w:rsid w:val="00ED74FA"/>
    <w:rsid w:val="00EE21C5"/>
    <w:rsid w:val="00EF3877"/>
    <w:rsid w:val="00EF706E"/>
    <w:rsid w:val="00F003AA"/>
    <w:rsid w:val="00F04432"/>
    <w:rsid w:val="00F140F5"/>
    <w:rsid w:val="00F1421B"/>
    <w:rsid w:val="00F14D71"/>
    <w:rsid w:val="00F17D8D"/>
    <w:rsid w:val="00F36C29"/>
    <w:rsid w:val="00F37A33"/>
    <w:rsid w:val="00F51149"/>
    <w:rsid w:val="00F67DF6"/>
    <w:rsid w:val="00F71CB6"/>
    <w:rsid w:val="00F731E4"/>
    <w:rsid w:val="00F75947"/>
    <w:rsid w:val="00F82987"/>
    <w:rsid w:val="00F836B2"/>
    <w:rsid w:val="00F9111E"/>
    <w:rsid w:val="00F9360B"/>
    <w:rsid w:val="00F97AFF"/>
    <w:rsid w:val="00FA4D02"/>
    <w:rsid w:val="00FB4B97"/>
    <w:rsid w:val="00FC01DA"/>
    <w:rsid w:val="00FD0F21"/>
    <w:rsid w:val="00FD4D41"/>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4">
    <w:name w:val="heading 4"/>
    <w:basedOn w:val="Normal"/>
    <w:next w:val="Normal"/>
    <w:link w:val="Heading4Char"/>
    <w:uiPriority w:val="99"/>
    <w:qFormat/>
    <w:locked/>
    <w:rsid w:val="00C10A23"/>
    <w:pPr>
      <w:keepNext/>
      <w:keepLines/>
      <w:spacing w:before="280" w:after="290" w:line="376" w:lineRule="auto"/>
      <w:outlineLvl w:val="3"/>
    </w:pPr>
    <w:rPr>
      <w:rFonts w:ascii="Cambria" w:hAnsi="Cambria"/>
      <w:b/>
      <w:bCs/>
      <w:kern w:val="0"/>
      <w:sz w:val="28"/>
      <w:szCs w:val="28"/>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4Char">
    <w:name w:val="Heading 4 Char"/>
    <w:basedOn w:val="DefaultParagraphFont"/>
    <w:link w:val="Heading4"/>
    <w:uiPriority w:val="99"/>
    <w:semiHidden/>
    <w:locked/>
    <w:rsid w:val="00334332"/>
    <w:rPr>
      <w:rFonts w:ascii="Cambria" w:eastAsia="宋体" w:hAnsi="Cambria" w:cs="Times New Roman"/>
      <w:b/>
      <w:sz w:val="28"/>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 w:type="character" w:customStyle="1" w:styleId="CharChar21">
    <w:name w:val="Char Char21"/>
    <w:uiPriority w:val="99"/>
    <w:rsid w:val="00C10A23"/>
    <w:rPr>
      <w:rFonts w:ascii="宋体" w:eastAsia="宋体"/>
      <w:sz w:val="34"/>
      <w:lang w:val="en-US" w:eastAsia="zh-CN"/>
    </w:rPr>
  </w:style>
  <w:style w:type="paragraph" w:customStyle="1" w:styleId="11">
    <w:name w:val="无间隔1"/>
    <w:uiPriority w:val="99"/>
    <w:rsid w:val="00783A46"/>
    <w:pPr>
      <w:widowControl w:val="0"/>
      <w:ind w:firstLine="420"/>
    </w:pPr>
    <w:rPr>
      <w:rFonts w:ascii="Calibri" w:eastAsia="宋体" w:hAnsi="Calibri" w:cs="宋体"/>
    </w:rPr>
  </w:style>
</w:styles>
</file>

<file path=word/webSettings.xml><?xml version="1.0" encoding="utf-8"?>
<w:webSettings xmlns:r="http://schemas.openxmlformats.org/officeDocument/2006/relationships" xmlns:w="http://schemas.openxmlformats.org/wordprocessingml/2006/main">
  <w:divs>
    <w:div w:id="1291283875">
      <w:marLeft w:val="0"/>
      <w:marRight w:val="0"/>
      <w:marTop w:val="0"/>
      <w:marBottom w:val="0"/>
      <w:divBdr>
        <w:top w:val="none" w:sz="0" w:space="0" w:color="auto"/>
        <w:left w:val="none" w:sz="0" w:space="0" w:color="auto"/>
        <w:bottom w:val="none" w:sz="0" w:space="0" w:color="auto"/>
        <w:right w:val="none" w:sz="0" w:space="0" w:color="auto"/>
      </w:divBdr>
    </w:div>
    <w:div w:id="1291283876">
      <w:marLeft w:val="0"/>
      <w:marRight w:val="0"/>
      <w:marTop w:val="0"/>
      <w:marBottom w:val="0"/>
      <w:divBdr>
        <w:top w:val="none" w:sz="0" w:space="0" w:color="auto"/>
        <w:left w:val="none" w:sz="0" w:space="0" w:color="auto"/>
        <w:bottom w:val="none" w:sz="0" w:space="0" w:color="auto"/>
        <w:right w:val="none" w:sz="0" w:space="0" w:color="auto"/>
      </w:divBdr>
    </w:div>
    <w:div w:id="1291283877">
      <w:marLeft w:val="0"/>
      <w:marRight w:val="0"/>
      <w:marTop w:val="0"/>
      <w:marBottom w:val="0"/>
      <w:divBdr>
        <w:top w:val="none" w:sz="0" w:space="0" w:color="auto"/>
        <w:left w:val="none" w:sz="0" w:space="0" w:color="auto"/>
        <w:bottom w:val="none" w:sz="0" w:space="0" w:color="auto"/>
        <w:right w:val="none" w:sz="0" w:space="0" w:color="auto"/>
      </w:divBdr>
    </w:div>
    <w:div w:id="1291283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734</TotalTime>
  <Pages>12</Pages>
  <Words>967</Words>
  <Characters>5515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50</cp:revision>
  <cp:lastPrinted>2021-05-17T08:49:00Z</cp:lastPrinted>
  <dcterms:created xsi:type="dcterms:W3CDTF">2021-08-19T07:36:00Z</dcterms:created>
  <dcterms:modified xsi:type="dcterms:W3CDTF">2021-11-29T00:45:00Z</dcterms:modified>
</cp:coreProperties>
</file>