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仿宋" w:hAnsi="仿宋" w:eastAsia="仿宋" w:cs="Times New Roman"/>
          <w:b/>
          <w:sz w:val="24"/>
          <w:szCs w:val="24"/>
        </w:rPr>
      </w:pPr>
      <w:r>
        <w:rPr>
          <w:rFonts w:hint="eastAsia" w:ascii="仿宋" w:hAnsi="仿宋" w:eastAsia="仿宋" w:cs="Times New Roman"/>
          <w:b/>
          <w:sz w:val="24"/>
          <w:szCs w:val="24"/>
        </w:rPr>
        <w:t>附件</w:t>
      </w:r>
      <w:r>
        <w:rPr>
          <w:rFonts w:hint="eastAsia" w:ascii="仿宋" w:hAnsi="仿宋" w:eastAsia="仿宋" w:cs="Times New Roman"/>
          <w:b/>
          <w:sz w:val="24"/>
          <w:szCs w:val="24"/>
          <w:lang w:val="en-US" w:eastAsia="zh-CN"/>
        </w:rPr>
        <w:t>1</w:t>
      </w:r>
      <w:r>
        <w:rPr>
          <w:rFonts w:ascii="仿宋" w:hAnsi="仿宋" w:eastAsia="仿宋" w:cs="Times New Roman"/>
          <w:b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仿宋" w:hAnsi="仿宋" w:eastAsia="仿宋" w:cs="Times New Roman"/>
          <w:color w:val="00000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药品申报信息表</w:t>
      </w:r>
      <w:r>
        <w:rPr>
          <w:rFonts w:ascii="仿宋" w:hAnsi="仿宋" w:eastAsia="仿宋" w:cs="Times New Roman"/>
          <w:color w:val="000000"/>
          <w:sz w:val="24"/>
          <w:szCs w:val="24"/>
        </w:rPr>
        <w:t xml:space="preserve">           </w:t>
      </w:r>
    </w:p>
    <w:tbl>
      <w:tblPr>
        <w:tblStyle w:val="6"/>
        <w:tblW w:w="5187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2697"/>
        <w:gridCol w:w="108"/>
        <w:gridCol w:w="1406"/>
        <w:gridCol w:w="182"/>
        <w:gridCol w:w="2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药品通用名</w:t>
            </w:r>
          </w:p>
        </w:tc>
        <w:tc>
          <w:tcPr>
            <w:tcW w:w="15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95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商品名</w:t>
            </w:r>
          </w:p>
        </w:tc>
        <w:tc>
          <w:tcPr>
            <w:tcW w:w="163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剂型</w:t>
            </w:r>
          </w:p>
        </w:tc>
        <w:tc>
          <w:tcPr>
            <w:tcW w:w="15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95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包装规格</w:t>
            </w:r>
          </w:p>
        </w:tc>
        <w:tc>
          <w:tcPr>
            <w:tcW w:w="163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生产厂家</w:t>
            </w:r>
          </w:p>
        </w:tc>
        <w:tc>
          <w:tcPr>
            <w:tcW w:w="15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95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批准文号</w:t>
            </w:r>
          </w:p>
        </w:tc>
        <w:tc>
          <w:tcPr>
            <w:tcW w:w="163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  <w:t>价格</w:t>
            </w:r>
          </w:p>
        </w:tc>
        <w:tc>
          <w:tcPr>
            <w:tcW w:w="15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95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挂网采购类别</w:t>
            </w:r>
          </w:p>
        </w:tc>
        <w:tc>
          <w:tcPr>
            <w:tcW w:w="163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  <w:t>是否通过一致性评价</w:t>
            </w:r>
          </w:p>
        </w:tc>
        <w:tc>
          <w:tcPr>
            <w:tcW w:w="15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是 □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否 □</w:t>
            </w:r>
          </w:p>
        </w:tc>
        <w:tc>
          <w:tcPr>
            <w:tcW w:w="95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药品来源</w:t>
            </w:r>
          </w:p>
        </w:tc>
        <w:tc>
          <w:tcPr>
            <w:tcW w:w="163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国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产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□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川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产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□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进口分装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□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进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口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报销范围</w:t>
            </w:r>
          </w:p>
        </w:tc>
        <w:tc>
          <w:tcPr>
            <w:tcW w:w="1525" w:type="pct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医保甲□ 医保乙□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ind w:firstLine="120" w:firstLineChars="50"/>
              <w:jc w:val="left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自  费□</w:t>
            </w:r>
          </w:p>
        </w:tc>
        <w:tc>
          <w:tcPr>
            <w:tcW w:w="959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基药类别</w:t>
            </w:r>
          </w:p>
        </w:tc>
        <w:tc>
          <w:tcPr>
            <w:tcW w:w="1636" w:type="pct"/>
            <w:vAlign w:val="center"/>
          </w:tcPr>
          <w:p>
            <w:pPr>
              <w:spacing w:line="360" w:lineRule="auto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是 □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否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医保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  <w:t>编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码</w:t>
            </w:r>
          </w:p>
        </w:tc>
        <w:tc>
          <w:tcPr>
            <w:tcW w:w="4121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5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药品简介</w:t>
            </w:r>
          </w:p>
        </w:tc>
        <w:tc>
          <w:tcPr>
            <w:tcW w:w="4121" w:type="pct"/>
            <w:gridSpan w:val="5"/>
          </w:tcPr>
          <w:p>
            <w:pPr>
              <w:numPr>
                <w:numId w:val="0"/>
              </w:numPr>
              <w:spacing w:line="360" w:lineRule="auto"/>
              <w:ind w:leftChars="0"/>
              <w:jc w:val="left"/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例</w:t>
            </w:r>
            <w:r>
              <w:rPr>
                <w:rFonts w:ascii="仿宋" w:hAnsi="仿宋" w:eastAsia="仿宋" w:cs="Times New Roman"/>
                <w:b/>
                <w:sz w:val="18"/>
                <w:szCs w:val="18"/>
              </w:rPr>
              <w:t>:</w:t>
            </w: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药理类别、主要适应症、用法用量及疗程、储存运输条件、件包装量及空间占位大小（长×宽×高</w:t>
            </w:r>
            <w:r>
              <w:rPr>
                <w:rFonts w:ascii="仿宋" w:hAnsi="仿宋" w:eastAsia="仿宋" w:cs="Times New Roman"/>
                <w:b/>
                <w:sz w:val="18"/>
                <w:szCs w:val="18"/>
              </w:rPr>
              <w:t>cm</w:t>
            </w: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），同类产品有效性、安全性、经济性等对比评价资料等</w:t>
            </w: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  <w:bookmarkStart w:id="0" w:name="_GoBack"/>
            <w:bookmarkEnd w:id="0"/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申报人</w:t>
            </w:r>
          </w:p>
        </w:tc>
        <w:tc>
          <w:tcPr>
            <w:tcW w:w="15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1739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878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申请人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签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字</w:t>
            </w:r>
          </w:p>
        </w:tc>
        <w:tc>
          <w:tcPr>
            <w:tcW w:w="4121" w:type="pct"/>
            <w:gridSpan w:val="5"/>
            <w:vAlign w:val="bottom"/>
          </w:tcPr>
          <w:p>
            <w:pPr>
              <w:spacing w:line="360" w:lineRule="auto"/>
              <w:ind w:right="480"/>
              <w:jc w:val="both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jc w:val="right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日</w:t>
            </w:r>
          </w:p>
        </w:tc>
      </w:tr>
    </w:tbl>
    <w:p>
      <w:pPr>
        <w:spacing w:line="360" w:lineRule="auto"/>
        <w:ind w:left="-540" w:leftChars="-257"/>
        <w:rPr>
          <w:rFonts w:ascii="仿宋" w:hAnsi="仿宋" w:eastAsia="仿宋" w:cs="Times New Roman"/>
          <w:sz w:val="24"/>
          <w:szCs w:val="24"/>
        </w:rPr>
      </w:pPr>
    </w:p>
    <w:p>
      <w:pPr>
        <w:widowControl/>
        <w:jc w:val="left"/>
        <w:rPr>
          <w:rFonts w:ascii="仿宋" w:hAnsi="仿宋" w:eastAsia="仿宋" w:cs="Times New Roman"/>
          <w:b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                                    </w:t>
      </w:r>
      <w:r>
        <w:rPr>
          <w:rFonts w:ascii="仿宋" w:hAnsi="仿宋" w:eastAsia="仿宋" w:cs="Times New Roman"/>
          <w:b/>
          <w:sz w:val="24"/>
          <w:szCs w:val="24"/>
        </w:rPr>
        <w:t xml:space="preserve">  </w:t>
      </w:r>
    </w:p>
    <w:p>
      <w:pPr>
        <w:jc w:val="right"/>
      </w:pPr>
      <w:r>
        <w:rPr>
          <w:rFonts w:hint="eastAsia" w:ascii="仿宋" w:hAnsi="仿宋" w:eastAsia="仿宋" w:cs="Times New Roman"/>
          <w:b/>
          <w:sz w:val="24"/>
          <w:szCs w:val="24"/>
        </w:rPr>
        <w:t>申报企业（盖章）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776C"/>
    <w:rsid w:val="00121A6B"/>
    <w:rsid w:val="001875EE"/>
    <w:rsid w:val="00CB05E7"/>
    <w:rsid w:val="00DD1EAF"/>
    <w:rsid w:val="00EE5075"/>
    <w:rsid w:val="00FB776C"/>
    <w:rsid w:val="016F4FA2"/>
    <w:rsid w:val="19264663"/>
    <w:rsid w:val="230A12D6"/>
    <w:rsid w:val="291A4998"/>
    <w:rsid w:val="4861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uiPriority w:val="99"/>
    <w:pPr>
      <w:jc w:val="left"/>
    </w:pPr>
    <w:rPr>
      <w:rFonts w:ascii="等线" w:hAnsi="等线" w:eastAsia="等线" w:cs="Times New Roman"/>
    </w:r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7"/>
    <w:link w:val="2"/>
    <w:semiHidden/>
    <w:qFormat/>
    <w:uiPriority w:val="99"/>
    <w:rPr>
      <w:rFonts w:ascii="等线" w:hAnsi="等线" w:eastAsia="等线" w:cs="Times New Roman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59</Words>
  <Characters>340</Characters>
  <Lines>2</Lines>
  <Paragraphs>1</Paragraphs>
  <TotalTime>1</TotalTime>
  <ScaleCrop>false</ScaleCrop>
  <LinksUpToDate>false</LinksUpToDate>
  <CharactersWithSpaces>398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2019-11-25T09:04:00Z</dcterms:created>
  <dc:creator>xmin</dc:creator>
  <cp:lastModifiedBy>赵佼佼</cp:lastModifiedBy>
  <dcterms:modified xsi:type="dcterms:W3CDTF">2020-07-20T06:32:51Z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